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琼海市</w:t>
      </w:r>
      <w:r>
        <w:rPr>
          <w:rFonts w:hint="eastAsia" w:ascii="方正小标宋简体" w:hAnsi="方正小标宋简体" w:eastAsia="方正小标宋简体" w:cs="方正小标宋简体"/>
          <w:b w:val="0"/>
          <w:bCs w:val="0"/>
          <w:color w:val="000000" w:themeColor="text1"/>
          <w:sz w:val="44"/>
          <w:szCs w:val="44"/>
          <w14:textFill>
            <w14:solidFill>
              <w14:schemeClr w14:val="tx1"/>
            </w14:solidFill>
          </w14:textFill>
        </w:rPr>
        <w:t>征地青苗及地上附着物补偿标准</w:t>
      </w:r>
    </w:p>
    <w:p>
      <w:pPr>
        <w:spacing w:line="560" w:lineRule="exact"/>
        <w:ind w:firstLine="480" w:firstLineChars="200"/>
        <w:rPr>
          <w:rFonts w:ascii="Times New Roman" w:hAnsi="Times New Roman" w:eastAsia="仿宋" w:cs="Times New Roman"/>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一、征地青苗及地上附着物补偿标准包括青苗补偿标准和地上附着物补偿标准。青苗补偿标准是指国家征收农民集体所有土地时，对其地上短期农作物、中长期经济作物、林木、苗圃、观赏性苗木等青苗给予所有权人的经济补偿。地上附着物补偿标准是指国家征收农民集体所有土地时，对其地上各类建筑物、构筑物等附着物给予所有权人的经济补偿。本标准中地上附着物补偿标准仅指养殖塘补偿标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凡在琼海市范围内依法征收农民集体所有土地涉及青苗及地上附着物补偿的，均按本标准执行（具体补偿标准见附件）。依法收回国有农用地土地使用权涉及青苗及地上附着物补偿的，参照本标准执行。临时占用土地涉及青苗及地上附着物补偿的，参照本标准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三、在征地预公告发布之前，征收地块上只有一类青苗且违背科学合理株数密度种植的，可视种植年限和实际收获情况进行清点，可全部清点统计，其中种植均已满2年或大部分已满2年以上的，作价补偿部分株数不得超过亩合理株数的130%；种植均不满2年或大部分不满2年的，作价补偿部分株数不得超过亩合理株数。中长期经济作物成果期（采收期、出产期、大丛）超出部分青苗由其所有权人与征收人在政府规定期限内协商处理，其他类型青苗超出部分由其所有权人在政府规定期限内自行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四、在征地预公告发布之前，同一地块上套（间）种两种或两种以上青苗的，实际工作中可全部清点统计，由征收人与被征收人协商选定两种青苗为主、次种青苗，其中主种青苗每亩补偿金额不得超过相应规格单株补偿价格乘以亩合理株数，主种青苗以外的其余青苗每亩补偿金额不得超过次种青苗相应规格单株补偿价格乘以亩合理株数的2/3，剩余部分由其所有权人在政府规定期限内自行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五、本标准中的青苗不包括名贵树木、特大树木等特殊苗木。涉及特殊苗木补偿的，应委托有相关资质的估价机构评估补偿，取得所有权人同意的也可以按照议价方式补偿。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六、涉及本标准中未列的青苗，应委托有相关资质的估价机构评估补偿，取得所有权人同意的也可以按照议价方式补偿。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七、涉及不在本标准中的地上各类建筑物、构筑物等地上附着物，</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应</w:t>
      </w:r>
      <w:r>
        <w:rPr>
          <w:rFonts w:hint="eastAsia" w:ascii="仿宋_GB2312" w:hAnsi="仿宋_GB2312" w:eastAsia="仿宋_GB2312" w:cs="仿宋_GB2312"/>
          <w:color w:val="000000" w:themeColor="text1"/>
          <w:sz w:val="32"/>
          <w:szCs w:val="32"/>
          <w14:textFill>
            <w14:solidFill>
              <w14:schemeClr w14:val="tx1"/>
            </w14:solidFill>
          </w14:textFill>
        </w:rPr>
        <w:t>按照</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琼海</w:t>
      </w:r>
      <w:r>
        <w:rPr>
          <w:rFonts w:hint="eastAsia" w:ascii="仿宋_GB2312" w:hAnsi="仿宋_GB2312" w:eastAsia="仿宋_GB2312" w:cs="仿宋_GB2312"/>
          <w:color w:val="000000" w:themeColor="text1"/>
          <w:sz w:val="32"/>
          <w:szCs w:val="32"/>
          <w14:textFill>
            <w14:solidFill>
              <w14:schemeClr w14:val="tx1"/>
            </w14:solidFill>
          </w14:textFill>
        </w:rPr>
        <w:t>市政府最新批准的房屋参考基价进行补偿</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特殊情况可</w:t>
      </w:r>
      <w:r>
        <w:rPr>
          <w:rFonts w:hint="eastAsia" w:ascii="仿宋_GB2312" w:hAnsi="仿宋_GB2312" w:eastAsia="仿宋_GB2312" w:cs="仿宋_GB2312"/>
          <w:color w:val="000000" w:themeColor="text1"/>
          <w:sz w:val="32"/>
          <w:szCs w:val="32"/>
          <w14:textFill>
            <w14:solidFill>
              <w14:schemeClr w14:val="tx1"/>
            </w14:solidFill>
          </w14:textFill>
        </w:rPr>
        <w:t>委托</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具</w:t>
      </w:r>
      <w:r>
        <w:rPr>
          <w:rFonts w:hint="eastAsia" w:ascii="仿宋_GB2312" w:hAnsi="仿宋_GB2312" w:eastAsia="仿宋_GB2312" w:cs="仿宋_GB2312"/>
          <w:color w:val="000000" w:themeColor="text1"/>
          <w:sz w:val="32"/>
          <w:szCs w:val="32"/>
          <w14:textFill>
            <w14:solidFill>
              <w14:schemeClr w14:val="tx1"/>
            </w14:solidFill>
          </w14:textFill>
        </w:rPr>
        <w:t>有相关资质的估价机构评估补偿，取得所有权人同意的也可以按照议价方式补偿。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八、涉及补偿被征收土地上的电力、通讯、水利、交通等设施的，应委托有相关资质的估价机构评估补偿，取得所有权人同意的也可以按照议价方式补偿。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九、征收土地预公告发布之后，突击抢栽的作物、抢建的建筑物及其他附着物，依法不予补偿。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十、本标准施行之日前，已公告征收土地补偿安置方案的，补偿标准按照公告确定的补偿标准执行；未公告征收土地补偿安置方案的，按本标准执行。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十一、本标准自公布之日起施行。</w:t>
      </w:r>
    </w:p>
    <w:p>
      <w:pPr>
        <w:keepNext w:val="0"/>
        <w:keepLines w:val="0"/>
        <w:pageBreakBefore w:val="0"/>
        <w:widowControl w:val="0"/>
        <w:kinsoku/>
        <w:wordWrap/>
        <w:overflowPunct/>
        <w:topLinePunct w:val="0"/>
        <w:autoSpaceDE/>
        <w:autoSpaceDN/>
        <w:bidi w:val="0"/>
        <w:adjustRightInd/>
        <w:snapToGrid/>
        <w:spacing w:line="560" w:lineRule="exact"/>
        <w:ind w:firstLine="616" w:firstLineChars="200"/>
        <w:textAlignment w:val="auto"/>
        <w:rPr>
          <w:rFonts w:hint="eastAsia" w:ascii="仿宋_GB2312" w:hAnsi="仿宋_GB2312" w:eastAsia="仿宋_GB2312" w:cs="仿宋_GB2312"/>
          <w:color w:val="000000" w:themeColor="text1"/>
          <w:spacing w:val="-6"/>
          <w:sz w:val="32"/>
          <w:szCs w:val="32"/>
          <w14:textFill>
            <w14:solidFill>
              <w14:schemeClr w14:val="tx1"/>
            </w14:solidFill>
          </w14:textFill>
        </w:rPr>
      </w:pPr>
      <w:r>
        <w:rPr>
          <w:rFonts w:hint="eastAsia" w:ascii="仿宋_GB2312" w:hAnsi="仿宋_GB2312" w:eastAsia="仿宋_GB2312" w:cs="仿宋_GB2312"/>
          <w:color w:val="000000" w:themeColor="text1"/>
          <w:spacing w:val="-6"/>
          <w:sz w:val="32"/>
          <w:szCs w:val="32"/>
          <w14:textFill>
            <w14:solidFill>
              <w14:schemeClr w14:val="tx1"/>
            </w14:solidFill>
          </w14:textFill>
        </w:rPr>
        <w:t>十二、本标准最终解释权归琼海市自然资源和规划局所有。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bookmarkStart w:id="2" w:name="_GoBack"/>
      <w:bookmarkEnd w:id="2"/>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附件：1.短期农作物补偿标准</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w:t>
      </w:r>
      <w:bookmarkStart w:id="0" w:name="_Hlk134085342"/>
      <w:r>
        <w:rPr>
          <w:rFonts w:hint="eastAsia" w:ascii="仿宋_GB2312" w:hAnsi="仿宋_GB2312" w:eastAsia="仿宋_GB2312" w:cs="仿宋_GB2312"/>
          <w:color w:val="000000" w:themeColor="text1"/>
          <w:sz w:val="32"/>
          <w:szCs w:val="32"/>
          <w14:textFill>
            <w14:solidFill>
              <w14:schemeClr w14:val="tx1"/>
            </w14:solidFill>
          </w14:textFill>
        </w:rPr>
        <w:t>中长期经济作物补偿标准</w:t>
      </w:r>
      <w:bookmarkEnd w:id="0"/>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3.林木补偿标准</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4.苗圃迁移费补助标准</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5.观赏性苗木补偿标准</w:t>
      </w:r>
    </w:p>
    <w:p>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6.养殖塘补偿标准</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bCs/>
          <w:color w:val="000000" w:themeColor="text1"/>
          <w:sz w:val="32"/>
          <w:szCs w:val="32"/>
          <w14:textFill>
            <w14:solidFill>
              <w14:schemeClr w14:val="tx1"/>
            </w14:solidFill>
          </w14:textFill>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jc w:val="left"/>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附件1</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短期农作物补偿标准</w:t>
      </w:r>
    </w:p>
    <w:tbl>
      <w:tblPr>
        <w:tblStyle w:val="23"/>
        <w:tblW w:w="5000" w:type="pct"/>
        <w:jc w:val="center"/>
        <w:tblLayout w:type="fixed"/>
        <w:tblCellMar>
          <w:top w:w="0" w:type="dxa"/>
          <w:left w:w="108" w:type="dxa"/>
          <w:bottom w:w="0" w:type="dxa"/>
          <w:right w:w="108" w:type="dxa"/>
        </w:tblCellMar>
      </w:tblPr>
      <w:tblGrid>
        <w:gridCol w:w="3199"/>
        <w:gridCol w:w="5323"/>
      </w:tblGrid>
      <w:tr>
        <w:tblPrEx>
          <w:tblCellMar>
            <w:top w:w="0" w:type="dxa"/>
            <w:left w:w="108" w:type="dxa"/>
            <w:bottom w:w="0" w:type="dxa"/>
            <w:right w:w="108" w:type="dxa"/>
          </w:tblCellMar>
        </w:tblPrEx>
        <w:trPr>
          <w:trHeight w:val="651" w:hRule="atLeast"/>
          <w:tblHeader/>
          <w:jc w:val="center"/>
        </w:trPr>
        <w:tc>
          <w:tcPr>
            <w:tcW w:w="187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作物名称</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补偿价格</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（元/亩）</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水稻</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2340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旱稻</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2688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高粱</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2610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粟</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3060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制种水稻</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3409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玉米</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2363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番薯</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2749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木薯</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2316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花生</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2666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木豆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2750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3000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红豆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3019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绿豆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3010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黑豆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3126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毛豆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3199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甘蔗</w:t>
            </w:r>
            <w:r>
              <w:rPr>
                <w:rFonts w:hint="eastAsia" w:ascii="Times New Roman" w:hAnsi="Times New Roman" w:eastAsia="仿宋" w:cs="Times New Roman"/>
                <w:color w:val="000000" w:themeColor="text1"/>
                <w:kern w:val="0"/>
                <w:szCs w:val="21"/>
                <w14:textFill>
                  <w14:solidFill>
                    <w14:schemeClr w14:val="tx1"/>
                  </w14:solidFill>
                </w14:textFill>
                <w14:ligatures w14:val="none"/>
              </w:rPr>
              <w:t>（</w:t>
            </w:r>
            <w:r>
              <w:rPr>
                <w:rFonts w:ascii="Times New Roman" w:hAnsi="Times New Roman" w:eastAsia="仿宋" w:cs="Times New Roman"/>
                <w:color w:val="000000" w:themeColor="text1"/>
                <w:kern w:val="0"/>
                <w:szCs w:val="21"/>
                <w14:textFill>
                  <w14:solidFill>
                    <w14:schemeClr w14:val="tx1"/>
                  </w14:solidFill>
                </w14:textFill>
                <w14:ligatures w14:val="none"/>
              </w:rPr>
              <w:t>糖蔗</w:t>
            </w:r>
            <w:r>
              <w:rPr>
                <w:rFonts w:hint="eastAsia" w:ascii="Times New Roman" w:hAnsi="Times New Roman" w:eastAsia="仿宋" w:cs="Times New Roman"/>
                <w:color w:val="000000" w:themeColor="text1"/>
                <w:kern w:val="0"/>
                <w:szCs w:val="21"/>
                <w14:textFill>
                  <w14:solidFill>
                    <w14:schemeClr w14:val="tx1"/>
                  </w14:solidFill>
                </w14:textFill>
                <w14:ligatures w14:val="none"/>
              </w:rPr>
              <w:t>）</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3920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甘蔗</w:t>
            </w:r>
            <w:r>
              <w:rPr>
                <w:rFonts w:hint="eastAsia" w:ascii="Times New Roman" w:hAnsi="Times New Roman" w:eastAsia="仿宋" w:cs="Times New Roman"/>
                <w:color w:val="000000" w:themeColor="text1"/>
                <w:kern w:val="0"/>
                <w:szCs w:val="21"/>
                <w14:textFill>
                  <w14:solidFill>
                    <w14:schemeClr w14:val="tx1"/>
                  </w14:solidFill>
                </w14:textFill>
                <w14:ligatures w14:val="none"/>
              </w:rPr>
              <w:t>（</w:t>
            </w:r>
            <w:r>
              <w:rPr>
                <w:rFonts w:ascii="Times New Roman" w:hAnsi="Times New Roman" w:eastAsia="仿宋" w:cs="Times New Roman"/>
                <w:color w:val="000000" w:themeColor="text1"/>
                <w:kern w:val="0"/>
                <w:szCs w:val="21"/>
                <w14:textFill>
                  <w14:solidFill>
                    <w14:schemeClr w14:val="tx1"/>
                  </w14:solidFill>
                </w14:textFill>
                <w14:ligatures w14:val="none"/>
              </w:rPr>
              <w:t>果蔗</w:t>
            </w:r>
            <w:r>
              <w:rPr>
                <w:rFonts w:hint="eastAsia" w:ascii="Times New Roman" w:hAnsi="Times New Roman" w:eastAsia="仿宋" w:cs="Times New Roman"/>
                <w:color w:val="000000" w:themeColor="text1"/>
                <w:kern w:val="0"/>
                <w:szCs w:val="21"/>
                <w14:textFill>
                  <w14:solidFill>
                    <w14:schemeClr w14:val="tx1"/>
                  </w14:solidFill>
                </w14:textFill>
                <w14:ligatures w14:val="none"/>
              </w:rPr>
              <w:t>）</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5473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白菜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4558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菠菜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4468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春菜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4680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芥菜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5356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韭菜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4431</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芹菜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5031</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5183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菜心</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4610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甘蓝</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4614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茼蒿</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5850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空心菜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4722</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龙须菜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4800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油麦菜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4420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珍珠菜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4925</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上海青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5139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黄秋葵</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5704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苋菜（汉菜）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4669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葱</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4813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5390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大蒜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5200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白萝卜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4831</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胡萝卜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5550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豇豆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6125</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四季豆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5350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四棱豆</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5563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冬瓜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6836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6365</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苦瓜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6683</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南瓜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6378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丝瓜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6726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白瓜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5400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节瓜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6700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蒲瓜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6500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佛手瓜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5200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西葫芦</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5720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茄子</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7132</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西红柿</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6898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青椒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7420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尖椒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7426</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线椒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7558</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杭椒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7514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小米椒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7494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螺丝椒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7627</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朝天椒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8094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黄灯笼辣椒</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7392</w:t>
            </w:r>
          </w:p>
        </w:tc>
      </w:tr>
      <w:tr>
        <w:tblPrEx>
          <w:tblCellMar>
            <w:top w:w="0" w:type="dxa"/>
            <w:left w:w="108" w:type="dxa"/>
            <w:bottom w:w="0" w:type="dxa"/>
            <w:right w:w="108" w:type="dxa"/>
          </w:tblCellMar>
        </w:tblPrEx>
        <w:trPr>
          <w:trHeight w:val="175"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牧草</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ascii="Times New Roman" w:hAnsi="Times New Roman" w:eastAsia="仿宋" w:cs="Times New Roman"/>
                <w:b/>
                <w:bCs/>
                <w:color w:val="000000" w:themeColor="text1"/>
                <w14:textFill>
                  <w14:solidFill>
                    <w14:schemeClr w14:val="tx1"/>
                  </w14:solidFill>
                </w14:textFill>
              </w:rPr>
              <w:t>1750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魔芋</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8800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芝麻</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2879</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冬粉薯</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3250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淮山</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6452</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芋头</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8750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茭白</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6750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莲藕</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6000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香瓜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8250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羊角蜜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6000</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圣女果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10484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西瓜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9764</w:t>
            </w:r>
          </w:p>
        </w:tc>
      </w:tr>
      <w:tr>
        <w:tblPrEx>
          <w:tblCellMar>
            <w:top w:w="0" w:type="dxa"/>
            <w:left w:w="108" w:type="dxa"/>
            <w:bottom w:w="0" w:type="dxa"/>
            <w:right w:w="108" w:type="dxa"/>
          </w:tblCellMar>
        </w:tblPrEx>
        <w:trPr>
          <w:trHeight w:val="20" w:hRule="atLeast"/>
          <w:jc w:val="center"/>
        </w:trPr>
        <w:tc>
          <w:tcPr>
            <w:tcW w:w="1877"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哈密瓜</w:t>
            </w:r>
          </w:p>
        </w:tc>
        <w:tc>
          <w:tcPr>
            <w:tcW w:w="3123"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14:textFill>
                  <w14:solidFill>
                    <w14:schemeClr w14:val="tx1"/>
                  </w14:solidFill>
                </w14:textFill>
              </w:rPr>
            </w:pPr>
            <w:r>
              <w:rPr>
                <w:rFonts w:hint="eastAsia" w:ascii="Times New Roman" w:hAnsi="Times New Roman" w:eastAsia="仿宋" w:cs="Times New Roman"/>
                <w:b/>
                <w:bCs/>
                <w:color w:val="000000" w:themeColor="text1"/>
                <w14:textFill>
                  <w14:solidFill>
                    <w14:schemeClr w14:val="tx1"/>
                  </w14:solidFill>
                </w14:textFill>
              </w:rPr>
              <w:t>12837</w:t>
            </w:r>
          </w:p>
        </w:tc>
      </w:tr>
      <w:tr>
        <w:tblPrEx>
          <w:tblCellMar>
            <w:top w:w="0" w:type="dxa"/>
            <w:left w:w="108" w:type="dxa"/>
            <w:bottom w:w="0" w:type="dxa"/>
            <w:right w:w="108" w:type="dxa"/>
          </w:tblCellMar>
        </w:tblPrEx>
        <w:trPr>
          <w:trHeight w:val="20" w:hRule="atLeast"/>
          <w:jc w:val="center"/>
        </w:trPr>
        <w:tc>
          <w:tcPr>
            <w:tcW w:w="5000"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注：1.本标准中的短期农作物是指一年种植一季（造）或多季（造）的农作物；</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2.</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实际工作中涉及不在本标准中的短期农作物，取得所有权人同意后可参考同类作物的补偿标准；</w:t>
            </w:r>
          </w:p>
          <w:p>
            <w:pPr>
              <w:widowControl/>
              <w:ind w:firstLine="421" w:firstLineChars="200"/>
              <w:rPr>
                <w:rFonts w:hint="eastAsia" w:ascii="Times New Roman" w:hAnsi="Times New Roman" w:eastAsia="仿宋" w:cs="Times New Roman"/>
                <w:b/>
                <w:bCs/>
                <w:color w:val="000000" w:themeColor="text1"/>
                <w14:textFill>
                  <w14:solidFill>
                    <w14:schemeClr w14:val="tx1"/>
                  </w14:solidFill>
                </w14:textFill>
              </w:rPr>
            </w:pPr>
            <w:r>
              <w:rPr>
                <w:rFonts w:ascii="Times New Roman" w:hAnsi="Times New Roman" w:eastAsia="仿宋" w:cs="Times New Roman"/>
                <w:b/>
                <w:bCs/>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.本标准不含设施设备。</w:t>
            </w:r>
          </w:p>
        </w:tc>
      </w:tr>
    </w:tbl>
    <w:p>
      <w:pPr>
        <w:rPr>
          <w:rFonts w:ascii="Times New Roman" w:hAnsi="Times New Roman" w:eastAsia="仿宋" w:cs="Times New Roman"/>
          <w:b/>
          <w:bCs/>
          <w:color w:val="000000" w:themeColor="text1"/>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tabs>
          <w:tab w:val="left" w:pos="2129"/>
        </w:tabs>
        <w:jc w:val="left"/>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附件2</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中长期经济作物补偿标准</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2"/>
        <w:gridCol w:w="1922"/>
        <w:gridCol w:w="1157"/>
        <w:gridCol w:w="5811"/>
        <w:gridCol w:w="1451"/>
        <w:gridCol w:w="19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678" w:type="pct"/>
            <w:vMerge w:val="restart"/>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作物名称</w:t>
            </w:r>
          </w:p>
        </w:tc>
        <w:tc>
          <w:tcPr>
            <w:tcW w:w="678" w:type="pct"/>
            <w:vMerge w:val="restart"/>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类别</w:t>
            </w:r>
          </w:p>
        </w:tc>
        <w:tc>
          <w:tcPr>
            <w:tcW w:w="408" w:type="pct"/>
            <w:vMerge w:val="restart"/>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生长</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阶段</w:t>
            </w:r>
          </w:p>
        </w:tc>
        <w:tc>
          <w:tcPr>
            <w:tcW w:w="2050" w:type="pct"/>
            <w:vMerge w:val="restart"/>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规格特征</w:t>
            </w:r>
          </w:p>
        </w:tc>
        <w:tc>
          <w:tcPr>
            <w:tcW w:w="512" w:type="pct"/>
            <w:vMerge w:val="restart"/>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亩合理株数（株）</w:t>
            </w:r>
          </w:p>
        </w:tc>
        <w:tc>
          <w:tcPr>
            <w:tcW w:w="674" w:type="pct"/>
            <w:vMerge w:val="restart"/>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补偿价格</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（元/株）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tblHeader/>
          <w:jc w:val="center"/>
        </w:trPr>
        <w:tc>
          <w:tcPr>
            <w:tcW w:w="678"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408"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2050"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512"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674" w:type="pct"/>
            <w:vMerge w:val="continue"/>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椰子</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矮种椰子</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起杆，未成果。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未起杆。</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高1米以下，幼苗。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高种椰子</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起杆，未成果。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未起杆。</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高1米以下，幼苗。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荔枝</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种植5年以上，胸径8厘米以上，成果。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种植3-5年，胸径5-8厘米，未成果。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芒果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种植5年以上，胸径8厘米以上，成果。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种植3-5年，胸径5-8厘米，未成果。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龙眼</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种植5年以上，胸径8厘米以上，成果。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种植3-5年，胸径5-8厘米，未成果。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菠萝蜜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种植5年以上，胸径10厘米以上，成果。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种植3-5年，胸径7-10厘米，未成果。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种植1-3年，胸径3-7厘米，未成果。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种植1年以下，胸径3厘米以下，幼苗。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榴莲蜜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榴莲蜜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嘉宝果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嘉宝果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种植7年以上，地径8厘米以上，成果。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种植4-7年，地径6-8厘米，未成果。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种植1-4年，地径3-6厘米，未成果。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种植1年以下，地径3厘米以下，幼苗。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杨梅</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杨梅</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种植4年以上，高3米以上，成果。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种植2-4年，高2-3米，未成果。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种植1-2年，高1-2米，未成果。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种植1年以下，高1米以下，幼苗。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杨桃</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种植0.5-2年，高0.5米以上，未成果。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种植0.5年以下，高0.5米以下，幼苗。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莲雾</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黄皮</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种植5年以上，胸径8厘米以上，成果。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种植3-5年，胸径5-8厘米，未成果。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番荔枝</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74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地径2-6厘米，未成果。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74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地径2-6厘米，未成果。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番木瓜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番木瓜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152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番石榴</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种植8个月以上，成果。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种植4-8个月，高0.6米以上，未成果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种植4个月以下，高0.6米以下，幼苗。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毛叶枣</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毛叶枣</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种植2年以上，地径5厘米以上，成果。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种植1-2年，地径2-5厘米，未成果。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人心果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人心果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蛋黄果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蛋黄果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种植3年以上，高1米以上，成果。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461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种植2-3年，高0.8-1米，未成果。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224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种植0.5-2年，高0.6-0.8米，幼苗。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黄晶果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黄晶果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种植3年以上，高1米以上，成果。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种植2-3年，高0.8-1米，未成果。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种植0.5-2年，高0.6-0.8米，幼苗。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牛油果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牛油果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沃柑</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沃柑</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426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桔子</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桔子</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种植2年以上，成果。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7</w:t>
            </w:r>
            <w:r>
              <w:rPr>
                <w:rFonts w:ascii="Times New Roman" w:hAnsi="Times New Roman" w:eastAsia="仿宋" w:cs="Times New Roman"/>
                <w:color w:val="000000" w:themeColor="text1"/>
                <w:kern w:val="0"/>
                <w:szCs w:val="21"/>
                <w14:textFill>
                  <w14:solidFill>
                    <w14:schemeClr w14:val="tx1"/>
                  </w14:solidFill>
                </w14:textFill>
                <w14:ligatures w14:val="none"/>
              </w:rPr>
              <w:t>4</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352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高0.6米以上，未成果。</w:t>
            </w:r>
          </w:p>
        </w:tc>
        <w:tc>
          <w:tcPr>
            <w:tcW w:w="512" w:type="pct"/>
            <w:vMerge w:val="continue"/>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高0.6米以下，幼苗。</w:t>
            </w:r>
          </w:p>
        </w:tc>
        <w:tc>
          <w:tcPr>
            <w:tcW w:w="512" w:type="pct"/>
            <w:vMerge w:val="continue"/>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橙</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橙</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439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204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柚</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柚</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476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215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柠檬</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柠檬</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56</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宋体" w:cs="Times New Roman"/>
                <w:b/>
                <w:bCs/>
                <w:color w:val="000000" w:themeColor="text1"/>
                <w:szCs w:val="21"/>
                <w14:textFill>
                  <w14:solidFill>
                    <w14:schemeClr w14:val="tx1"/>
                  </w14:solidFill>
                </w14:textFill>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香蕉</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香蕉</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152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西番莲（百香果）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西番莲（百香果）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种植6个月以上，成果。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278</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种植3-6个月，上架分枝，未成果。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种植3个月以下，未上架，幼苗。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菠萝</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巴厘菠萝</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3100</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12570元/亩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高0.4米以上，未成果。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6422元/亩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高0.4米以下，幼苗。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3442元/亩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台农系列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2800</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14948元/亩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高0.4米以上，未成果。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8466元/亩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高0.4米以下，幼苗。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4538元/亩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火龙果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传统立柱式</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532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种植0.5-1年，高0.5米以上，未成果。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种植0.5年以下，高0.5米以下，幼苗。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新型排式</w:t>
            </w:r>
            <w:r>
              <w:rPr>
                <w:rFonts w:hint="eastAsia" w:ascii="Times New Roman" w:hAnsi="Times New Roman" w:eastAsia="仿宋" w:cs="Times New Roman"/>
                <w:color w:val="000000" w:themeColor="text1"/>
                <w:kern w:val="0"/>
                <w:szCs w:val="21"/>
                <w14:textFill>
                  <w14:solidFill>
                    <w14:schemeClr w14:val="tx1"/>
                  </w14:solidFill>
                </w14:textFill>
                <w14:ligatures w14:val="none"/>
              </w:rPr>
              <w:t>（不含燕窝果）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1778</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43026元/亩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种植0.5-1年，高0.5米以上，未成果。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12576元/亩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种植0.5年以下，高0.5米以下，幼苗。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6288元/亩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新型排式</w:t>
            </w:r>
            <w:r>
              <w:rPr>
                <w:rFonts w:hint="eastAsia" w:ascii="Times New Roman" w:hAnsi="Times New Roman" w:eastAsia="仿宋" w:cs="Times New Roman"/>
                <w:color w:val="000000" w:themeColor="text1"/>
                <w:kern w:val="0"/>
                <w:szCs w:val="21"/>
                <w14:textFill>
                  <w14:solidFill>
                    <w14:schemeClr w14:val="tx1"/>
                  </w14:solidFill>
                </w14:textFill>
                <w14:ligatures w14:val="none"/>
              </w:rPr>
              <w:t>（燕窝果）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1778</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55887元/亩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种植0.5-1年，高0.5米以上，未成果。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17578元/亩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种植0.5年以下，高0.5米以下，幼苗。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8789元/亩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葡萄</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葡萄</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48773元/亩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高0.6米以上，上架，未成果。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15886元/亩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7943元/亩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桑</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果桑</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178</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蚕桑</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高0.6米以上，采收。</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1112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11267元/亩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3472元/亩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茶</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茶</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种植2年以上，采收。</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1112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近采期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种植1.5-2年，未采收。</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种植0.5-1.5年，未采收。</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种植1年以下，未采收。</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槟榔</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槟榔</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133</w:t>
            </w: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410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种植3-5年，起杆，未成果。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169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种植1-3年，高0.6米以上，未起杆。</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szCs w:val="21"/>
                <w14:textFill>
                  <w14:solidFill>
                    <w14:schemeClr w14:val="tx1"/>
                  </w14:solidFill>
                </w14:textFill>
              </w:rPr>
            </w:pPr>
            <w:r>
              <w:rPr>
                <w:rFonts w:hint="eastAsia" w:ascii="Times New Roman" w:hAnsi="Times New Roman" w:eastAsia="宋体" w:cs="Times New Roman"/>
                <w:b/>
                <w:bCs/>
                <w:color w:val="000000" w:themeColor="text1"/>
                <w:szCs w:val="21"/>
                <w14:textFill>
                  <w14:solidFill>
                    <w14:schemeClr w14:val="tx1"/>
                  </w14:solidFill>
                </w14:textFill>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咖啡</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咖啡</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种植2年以上，高1.5米以上，成果。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107</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种植1-2年，高0.6-1.5米，未成果。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种植1年以下，高0.6米以下。</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胡椒</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胡椒</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种植3年以上，高1.8米以上，成果。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133</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种植2-3年，高1.5-1.8米，未成果。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高0.5-1.5米，未成果。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高0.5米以下，幼苗。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腰果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腰果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269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油棕</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油棕</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种植1-3年，高1米以上，未成果。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种植1年以下，高1米以下，幼苗。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油茶</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实生苗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种植5年以上，地径6厘米以上，成果。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种植3-5年，地径4-6厘米，未成果。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嫁接苗</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种植3年以上，地径6厘米以上，成果。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种植2-3年，地径4-6厘米，未成果。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种植0.5-2年，地径2-4厘米，未成果。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种植0.5年以下，地径2厘米以下，幼苗。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剑麻</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剑麻</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高1米以上，采收。</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278</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高1米以下，幼苗。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橡胶</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橡胶</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出产期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种植6年以上，胸径15厘米以上，开割。</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42</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近产期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种植3-6年，胸径7-15厘米，未开割。</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种植1-3年，胸径3-7厘米，未开割。</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种植1年以下，胸径3厘米以下，幼苗。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64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益智</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益智</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大丛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根盘丛径20厘米以上。</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148丛</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52元/丛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中丛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根盘丛径10-20厘米。</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25元/丛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小丛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根盘丛径10厘米以下。</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13元/丛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砂仁</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砂仁</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成果期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种植2年以上，成果。</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222丛</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5323元/亩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种植1-2年，高0.6米以上，未成果。</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2175元/亩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1088元/亩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草豆蔻</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草豆蔻</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大丛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根盘丛径20厘米以上。</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222丛</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49元/丛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中丛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根盘丛径10-20厘米。</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24元/丛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小丛</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根盘丛径10厘米以下。</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9元/丛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粽叶</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粽叶</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种植2年以上，可采收。</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222丛</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36元/丛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种植0.5-2年，高0.6米以上，未采收。</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17元/丛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种植0.5年以下，高0.6米以下，幼苗。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5元/丛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斑兰叶（香露兜）</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斑兰叶（香露兜）</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种植1年以上，采收。</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1334</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种植3-12个月，未采收。</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种植3个月以下，幼苗。</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牛大力</w:t>
            </w:r>
          </w:p>
        </w:tc>
        <w:tc>
          <w:tcPr>
            <w:tcW w:w="678"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牛大力</w:t>
            </w: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采收期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种植4年以上。</w:t>
            </w:r>
          </w:p>
        </w:tc>
        <w:tc>
          <w:tcPr>
            <w:tcW w:w="512" w:type="pct"/>
            <w:vMerge w:val="restar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667</w:t>
            </w: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31894元/亩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近采期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种植3-4年。</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17159元/亩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生长期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种植1-3年。</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10725元/亩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8"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408" w:type="pct"/>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幼苗期</w:t>
            </w:r>
          </w:p>
        </w:tc>
        <w:tc>
          <w:tcPr>
            <w:tcW w:w="2050" w:type="pct"/>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种植1年以下。</w:t>
            </w:r>
          </w:p>
        </w:tc>
        <w:tc>
          <w:tcPr>
            <w:tcW w:w="512" w:type="pct"/>
            <w:vMerge w:val="continue"/>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674" w:type="pct"/>
            <w:shd w:val="clear" w:color="auto" w:fill="auto"/>
            <w:vAlign w:val="center"/>
          </w:tcPr>
          <w:p>
            <w:pPr>
              <w:widowControl/>
              <w:jc w:val="center"/>
              <w:rPr>
                <w:rFonts w:ascii="Times New Roman" w:hAnsi="Times New Roman" w:eastAsia="宋体" w:cs="Times New Roman"/>
                <w:b/>
                <w:bCs/>
                <w:color w:val="000000" w:themeColor="text1"/>
                <w:kern w:val="0"/>
                <w:szCs w:val="21"/>
                <w14:textFill>
                  <w14:solidFill>
                    <w14:schemeClr w14:val="tx1"/>
                  </w14:solidFill>
                </w14:textFill>
                <w14:ligatures w14:val="none"/>
              </w:rPr>
            </w:pPr>
            <w:r>
              <w:rPr>
                <w:rFonts w:ascii="Times New Roman" w:hAnsi="Times New Roman" w:eastAsia="宋体" w:cs="Times New Roman"/>
                <w:b/>
                <w:bCs/>
                <w:color w:val="000000" w:themeColor="text1"/>
                <w:szCs w:val="21"/>
                <w14:textFill>
                  <w14:solidFill>
                    <w14:schemeClr w14:val="tx1"/>
                  </w14:solidFill>
                </w14:textFill>
              </w:rPr>
              <w:t>4290元/亩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6"/>
            <w:shd w:val="clear" w:color="auto" w:fill="auto"/>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注：1.本标准中的中长期经济作物是指种植以采集根、茎、叶、花、果、汁为主的多年生木本和草本农作物；</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2.</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实际工作中涉及不在本标准中的中长期经济作物，取得所有权人同意后可参考同类作物的补偿标准；</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.青苗规格划分界限下含上不含，例如：“种植3-5年，胸径5-8厘米”表示“3年≤种植年限＜5年，5厘米≤胸径＜8厘米”；</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4.</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本标准中的苗木高是指苗木自地面至最高生长点之间的垂直距离；</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本标准中的胸径是指苗木距地面130厘米处的直径；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6.</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本标准中的地径是指苗木距地面20厘米处的直径；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7.</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本标准中的根盘丛径指丛生植物生长形成束状结构根盘的直径；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8.</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本标准中的实生苗是指由种子繁殖培育而成的苗木；</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9.</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本标准中的嫁接苗是指由嫁接的方法培育而成的苗木；</w:t>
            </w:r>
          </w:p>
          <w:p>
            <w:pPr>
              <w:widowControl/>
              <w:ind w:firstLine="421" w:firstLineChars="200"/>
              <w:rPr>
                <w:rFonts w:hint="eastAsia" w:ascii="Times New Roman" w:hAnsi="Times New Roman" w:eastAsia="宋体" w:cs="Times New Roman"/>
                <w:b/>
                <w:bCs/>
                <w:color w:val="000000" w:themeColor="text1"/>
                <w:szCs w:val="21"/>
                <w14:textFill>
                  <w14:solidFill>
                    <w14:schemeClr w14:val="tx1"/>
                  </w14:solidFill>
                </w14:textFill>
              </w:rPr>
            </w:pPr>
            <w:r>
              <w:rPr>
                <w:rFonts w:ascii="Times New Roman" w:hAnsi="Times New Roman" w:eastAsia="仿宋" w:cs="Times New Roman"/>
                <w:b/>
                <w:bCs/>
                <w:color w:val="000000" w:themeColor="text1"/>
                <w:kern w:val="0"/>
                <w:szCs w:val="21"/>
                <w14:textFill>
                  <w14:solidFill>
                    <w14:schemeClr w14:val="tx1"/>
                  </w14:solidFill>
                </w14:textFill>
                <w14:ligatures w14:val="none"/>
              </w:rPr>
              <w:t>10</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.本标准不含设施设备。</w:t>
            </w:r>
          </w:p>
        </w:tc>
      </w:tr>
    </w:tbl>
    <w:p>
      <w:pPr>
        <w:jc w:val="center"/>
        <w:rPr>
          <w:rFonts w:ascii="Times New Roman" w:hAnsi="Times New Roman" w:eastAsia="仿宋" w:cs="Times New Roman"/>
          <w:b/>
          <w:bCs/>
          <w:color w:val="000000" w:themeColor="text1"/>
          <w14:textFill>
            <w14:solidFill>
              <w14:schemeClr w14:val="tx1"/>
            </w14:solidFill>
          </w14:textFill>
        </w:rPr>
        <w:sectPr>
          <w:pgSz w:w="16838" w:h="11906" w:orient="landscape"/>
          <w:pgMar w:top="1800" w:right="1440" w:bottom="1800" w:left="1440" w:header="851" w:footer="992" w:gutter="0"/>
          <w:cols w:space="425" w:num="1"/>
          <w:docGrid w:type="lines" w:linePitch="312" w:charSpace="0"/>
        </w:sectPr>
      </w:pPr>
    </w:p>
    <w:p>
      <w:pPr>
        <w:jc w:val="left"/>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附件3</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林木补偿标准</w:t>
      </w:r>
    </w:p>
    <w:tbl>
      <w:tblPr>
        <w:tblStyle w:val="2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50"/>
        <w:gridCol w:w="3412"/>
        <w:gridCol w:w="1531"/>
        <w:gridCol w:w="18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blHeader/>
          <w:jc w:val="center"/>
        </w:trPr>
        <w:tc>
          <w:tcPr>
            <w:tcW w:w="1027"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作物名称</w:t>
            </w:r>
          </w:p>
        </w:tc>
        <w:tc>
          <w:tcPr>
            <w:tcW w:w="2002"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规格特征</w:t>
            </w:r>
          </w:p>
        </w:tc>
        <w:tc>
          <w:tcPr>
            <w:tcW w:w="898"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亩合理株数（株）</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补偿价格</w:t>
            </w:r>
            <w:r>
              <w:rPr>
                <w:rFonts w:ascii="Times New Roman" w:hAnsi="Times New Roman" w:eastAsia="仿宋" w:cs="Times New Roman"/>
                <w:b/>
                <w:bCs/>
                <w:color w:val="000000" w:themeColor="text1"/>
                <w:kern w:val="0"/>
                <w:szCs w:val="21"/>
                <w14:textFill>
                  <w14:solidFill>
                    <w14:schemeClr w14:val="tx1"/>
                  </w14:solidFill>
                </w14:textFill>
                <w14:ligatures w14:val="none"/>
              </w:rPr>
              <w:br w:type="textWrapping"/>
            </w:r>
            <w:r>
              <w:rPr>
                <w:rFonts w:ascii="Times New Roman" w:hAnsi="Times New Roman" w:eastAsia="仿宋" w:cs="Times New Roman"/>
                <w:b/>
                <w:bCs/>
                <w:color w:val="000000" w:themeColor="text1"/>
                <w:kern w:val="0"/>
                <w:szCs w:val="21"/>
                <w14:textFill>
                  <w14:solidFill>
                    <w14:schemeClr w14:val="tx1"/>
                  </w14:solidFill>
                </w14:textFill>
                <w14:ligatures w14:val="none"/>
              </w:rPr>
              <w:t>（元/株）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bookmarkStart w:id="1" w:name="_Hlk135753784"/>
            <w:r>
              <w:rPr>
                <w:rFonts w:ascii="Times New Roman" w:hAnsi="Times New Roman" w:eastAsia="仿宋" w:cs="Times New Roman"/>
                <w:color w:val="000000" w:themeColor="text1"/>
                <w:kern w:val="0"/>
                <w:szCs w:val="21"/>
                <w14:textFill>
                  <w14:solidFill>
                    <w14:schemeClr w14:val="tx1"/>
                  </w14:solidFill>
                </w14:textFill>
                <w14:ligatures w14:val="none"/>
              </w:rPr>
              <w:t>木麻黄</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w:t>
            </w:r>
            <w:r>
              <w:rPr>
                <w:rFonts w:ascii="Times New Roman" w:hAnsi="Times New Roman" w:eastAsia="仿宋" w:cs="Times New Roman"/>
                <w:color w:val="000000" w:themeColor="text1"/>
                <w:kern w:val="0"/>
                <w:szCs w:val="21"/>
                <w14:textFill>
                  <w14:solidFill>
                    <w14:schemeClr w14:val="tx1"/>
                  </w14:solidFill>
                </w14:textFill>
                <w14:ligatures w14:val="none"/>
              </w:rPr>
              <w:t>-30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167</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等线" w:cs="Times New Roman"/>
                <w:b/>
                <w:bCs/>
                <w:color w:val="000000" w:themeColor="text1"/>
                <w:szCs w:val="21"/>
                <w14:textFill>
                  <w14:solidFill>
                    <w14:schemeClr w14:val="tx1"/>
                  </w14:solidFill>
                </w14:textFill>
              </w:rPr>
            </w:pPr>
            <w:r>
              <w:rPr>
                <w:rFonts w:ascii="Times New Roman" w:hAnsi="Times New Roman" w:eastAsia="等线" w:cs="Times New Roman"/>
                <w:b/>
                <w:bCs/>
                <w:color w:val="000000" w:themeColor="text1"/>
                <w:szCs w:val="21"/>
                <w14:textFill>
                  <w14:solidFill>
                    <w14:schemeClr w14:val="tx1"/>
                  </w14:solidFill>
                </w14:textFill>
              </w:rPr>
              <w:t>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46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桉树</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w:t>
            </w:r>
            <w:r>
              <w:rPr>
                <w:rFonts w:ascii="Times New Roman" w:hAnsi="Times New Roman" w:eastAsia="仿宋" w:cs="Times New Roman"/>
                <w:color w:val="000000" w:themeColor="text1"/>
                <w:kern w:val="0"/>
                <w:szCs w:val="21"/>
                <w14:textFill>
                  <w14:solidFill>
                    <w14:schemeClr w14:val="tx1"/>
                  </w14:solidFill>
                </w14:textFill>
                <w14:ligatures w14:val="none"/>
              </w:rPr>
              <w:t>-30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167</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103</w:t>
            </w:r>
          </w:p>
        </w:tc>
      </w:tr>
      <w:bookmarkEnd w:id="1"/>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马占相思</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胸径25-30厘米。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167</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81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49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苦楝</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胸径25-30厘米。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120</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松树</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胸径25-30厘米。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120</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1027" w:type="pc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竹林</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以竹丛根盘面积补偿。</w:t>
            </w:r>
          </w:p>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注：每亩补偿面积不得高于</w:t>
            </w:r>
            <w:r>
              <w:rPr>
                <w:rFonts w:ascii="Times New Roman" w:hAnsi="Times New Roman" w:eastAsia="仿宋" w:cs="Times New Roman"/>
                <w:color w:val="000000" w:themeColor="text1"/>
                <w:kern w:val="0"/>
                <w:szCs w:val="21"/>
                <w14:textFill>
                  <w14:solidFill>
                    <w14:schemeClr w14:val="tx1"/>
                  </w14:solidFill>
                </w14:textFill>
                <w14:ligatures w14:val="none"/>
              </w:rPr>
              <w:t>80平方米。</w:t>
            </w:r>
          </w:p>
        </w:tc>
        <w:tc>
          <w:tcPr>
            <w:tcW w:w="898" w:type="pc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305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元/平方米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其他</w:t>
            </w:r>
            <w:r>
              <w:rPr>
                <w:rFonts w:ascii="Times New Roman" w:hAnsi="Times New Roman" w:eastAsia="仿宋" w:cs="Times New Roman"/>
                <w:color w:val="000000" w:themeColor="text1"/>
                <w:kern w:val="0"/>
                <w:szCs w:val="21"/>
                <w14:textFill>
                  <w14:solidFill>
                    <w14:schemeClr w14:val="tx1"/>
                  </w14:solidFill>
                </w14:textFill>
                <w14:ligatures w14:val="none"/>
              </w:rPr>
              <w:t>乔木</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胸径25-30厘米。</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167</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胸径20</w:t>
            </w:r>
            <w:r>
              <w:rPr>
                <w:rFonts w:ascii="Times New Roman" w:hAnsi="Times New Roman" w:eastAsia="仿宋" w:cs="Times New Roman"/>
                <w:color w:val="000000" w:themeColor="text1"/>
                <w:kern w:val="0"/>
                <w:szCs w:val="21"/>
                <w14:textFill>
                  <w14:solidFill>
                    <w14:schemeClr w14:val="tx1"/>
                  </w14:solidFill>
                </w14:textFill>
                <w14:ligatures w14:val="none"/>
              </w:rPr>
              <w:t>-25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15-20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10-15</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3-10</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胸径</w:t>
            </w:r>
            <w:r>
              <w:rPr>
                <w:rFonts w:ascii="Times New Roman" w:hAnsi="Times New Roman" w:eastAsia="仿宋" w:cs="Times New Roman"/>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color w:val="000000" w:themeColor="text1"/>
                <w:kern w:val="0"/>
                <w:szCs w:val="21"/>
                <w14:textFill>
                  <w14:solidFill>
                    <w14:schemeClr w14:val="tx1"/>
                  </w14:solidFill>
                </w14:textFill>
                <w14:ligatures w14:val="none"/>
              </w:rPr>
              <w:t>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自然丛灌木</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以自然丛灌木投影面积补偿。</w:t>
            </w:r>
          </w:p>
        </w:tc>
        <w:tc>
          <w:tcPr>
            <w:tcW w:w="898" w:type="pc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1286元/亩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降香黄檀</w:t>
            </w:r>
            <w:r>
              <w:rPr>
                <w:rFonts w:ascii="Times New Roman" w:hAnsi="Times New Roman" w:eastAsia="仿宋" w:cs="Times New Roman"/>
                <w:color w:val="000000" w:themeColor="text1"/>
                <w:kern w:val="0"/>
                <w:szCs w:val="21"/>
                <w14:textFill>
                  <w14:solidFill>
                    <w14:schemeClr w14:val="tx1"/>
                  </w14:solidFill>
                </w14:textFill>
                <w14:ligatures w14:val="none"/>
              </w:rPr>
              <w:br w:type="textWrapping"/>
            </w:r>
            <w:r>
              <w:rPr>
                <w:rFonts w:ascii="Times New Roman" w:hAnsi="Times New Roman" w:eastAsia="仿宋" w:cs="Times New Roman"/>
                <w:color w:val="000000" w:themeColor="text1"/>
                <w:kern w:val="0"/>
                <w:szCs w:val="21"/>
                <w14:textFill>
                  <w14:solidFill>
                    <w14:schemeClr w14:val="tx1"/>
                  </w14:solidFill>
                </w14:textFill>
                <w14:ligatures w14:val="none"/>
              </w:rPr>
              <w:t>（海南黄花梨）</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胸径9-12厘米，未出格。</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111</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胸径6-9厘米。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胸径3-6厘米。</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胸径3厘米以下。</w:t>
            </w:r>
          </w:p>
        </w:tc>
        <w:tc>
          <w:tcPr>
            <w:tcW w:w="898" w:type="pct"/>
            <w:vMerge w:val="continue"/>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沉香</w:t>
            </w: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胸径6-9厘米，未结香。</w:t>
            </w:r>
          </w:p>
        </w:tc>
        <w:tc>
          <w:tcPr>
            <w:tcW w:w="898" w:type="pct"/>
            <w:vMerge w:val="restart"/>
            <w:shd w:val="clear" w:color="000000" w:fill="FFFFFF"/>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167</w:t>
            </w: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胸径3-6厘米。</w:t>
            </w:r>
          </w:p>
        </w:tc>
        <w:tc>
          <w:tcPr>
            <w:tcW w:w="898"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132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27"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002" w:type="pct"/>
            <w:shd w:val="clear" w:color="000000" w:fill="FFFFFF"/>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胸径3厘米以下。</w:t>
            </w:r>
          </w:p>
        </w:tc>
        <w:tc>
          <w:tcPr>
            <w:tcW w:w="898" w:type="pct"/>
            <w:vMerge w:val="continue"/>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073" w:type="pct"/>
            <w:shd w:val="clear" w:color="000000" w:fill="FFFFFF"/>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等线" w:cs="Times New Roman"/>
                <w:b/>
                <w:bCs/>
                <w:color w:val="000000" w:themeColor="text1"/>
                <w:szCs w:val="21"/>
                <w14:textFill>
                  <w14:solidFill>
                    <w14:schemeClr w14:val="tx1"/>
                  </w14:solidFill>
                </w14:textFill>
              </w:rPr>
              <w:t>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00" w:type="pct"/>
            <w:gridSpan w:val="4"/>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注：1.本标准中的林木是指用于生产木材的树木、其他乔木、自然丛灌木及竹林；</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2.实际工作中涉及超出规格特征的林木，应委托有相关资质的估价机构评估补偿，取得所有权人同意的也可以按照议价方式补偿；</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3.</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青苗规格划分界限下含上不含，例如：“胸径20-25厘米”表示“</w:t>
            </w:r>
            <w:r>
              <w:rPr>
                <w:rFonts w:ascii="Times New Roman" w:hAnsi="Times New Roman" w:eastAsia="仿宋" w:cs="Times New Roman"/>
                <w:b/>
                <w:bCs/>
                <w:color w:val="000000" w:themeColor="text1"/>
                <w:kern w:val="0"/>
                <w:szCs w:val="21"/>
                <w14:textFill>
                  <w14:solidFill>
                    <w14:schemeClr w14:val="tx1"/>
                  </w14:solidFill>
                </w14:textFill>
                <w14:ligatures w14:val="none"/>
              </w:rPr>
              <w:t>20</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厘米≤胸径＜2</w:t>
            </w: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厘米”；</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4.</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本标准中的其他乔木是指中长期经济作物、林木、观赏性苗木以外，且不属于名贵树木、特大树木的乔木；</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.本标准中的降香黄檀（海南黄花梨）、沉香为未出芯材（格）和未结香的补偿价格；</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6.</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本标准中的胸径是指苗木距地面130厘米处的直径；</w:t>
            </w:r>
          </w:p>
          <w:p>
            <w:pPr>
              <w:widowControl/>
              <w:ind w:firstLine="421" w:firstLineChars="200"/>
              <w:rPr>
                <w:rFonts w:ascii="Times New Roman" w:hAnsi="Times New Roman" w:eastAsia="等线" w:cs="Times New Roman"/>
                <w:b/>
                <w:bCs/>
                <w:color w:val="000000" w:themeColor="text1"/>
                <w:szCs w:val="21"/>
                <w14:textFill>
                  <w14:solidFill>
                    <w14:schemeClr w14:val="tx1"/>
                  </w14:solidFill>
                </w14:textFill>
              </w:rPr>
            </w:pPr>
            <w:r>
              <w:rPr>
                <w:rFonts w:ascii="Times New Roman" w:hAnsi="Times New Roman" w:eastAsia="仿宋" w:cs="Times New Roman"/>
                <w:b/>
                <w:bCs/>
                <w:color w:val="000000" w:themeColor="text1"/>
                <w:kern w:val="0"/>
                <w:szCs w:val="21"/>
                <w14:textFill>
                  <w14:solidFill>
                    <w14:schemeClr w14:val="tx1"/>
                  </w14:solidFill>
                </w14:textFill>
                <w14:ligatures w14:val="none"/>
              </w:rPr>
              <w:t>7.</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本标准中的根盘面积是指丛生植物生长形成束状结构根盘的面积。</w:t>
            </w:r>
          </w:p>
        </w:tc>
      </w:tr>
    </w:tbl>
    <w:p>
      <w:pPr>
        <w:widowControl/>
        <w:jc w:val="left"/>
        <w:rPr>
          <w:rFonts w:ascii="Times New Roman" w:hAnsi="Times New Roman" w:eastAsia="仿宋" w:cs="Times New Roman"/>
          <w:b/>
          <w:bCs/>
          <w:color w:val="000000" w:themeColor="text1"/>
          <w14:textFill>
            <w14:solidFill>
              <w14:schemeClr w14:val="tx1"/>
            </w14:solidFill>
          </w14:textFill>
        </w:rPr>
      </w:pPr>
      <w:r>
        <w:rPr>
          <w:rFonts w:ascii="Times New Roman" w:hAnsi="Times New Roman" w:eastAsia="仿宋" w:cs="Times New Roman"/>
          <w:b/>
          <w:bCs/>
          <w:color w:val="000000" w:themeColor="text1"/>
          <w14:textFill>
            <w14:solidFill>
              <w14:schemeClr w14:val="tx1"/>
            </w14:solidFill>
          </w14:textFill>
        </w:rPr>
        <w:br w:type="page"/>
      </w:r>
      <w:r>
        <w:rPr>
          <w:rFonts w:ascii="Times New Roman" w:hAnsi="Times New Roman" w:eastAsia="仿宋" w:cs="Times New Roman"/>
          <w:b/>
          <w:bCs/>
          <w:color w:val="000000" w:themeColor="text1"/>
          <w:sz w:val="24"/>
          <w:szCs w:val="28"/>
          <w14:textFill>
            <w14:solidFill>
              <w14:schemeClr w14:val="tx1"/>
            </w14:solidFill>
          </w14:textFill>
        </w:rPr>
        <w:t>附件4</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苗圃迁移费补助标准</w:t>
      </w:r>
    </w:p>
    <w:tbl>
      <w:tblPr>
        <w:tblStyle w:val="23"/>
        <w:tblW w:w="5000" w:type="pct"/>
        <w:jc w:val="center"/>
        <w:tblLayout w:type="autofit"/>
        <w:tblCellMar>
          <w:top w:w="0" w:type="dxa"/>
          <w:left w:w="108" w:type="dxa"/>
          <w:bottom w:w="0" w:type="dxa"/>
          <w:right w:w="108" w:type="dxa"/>
        </w:tblCellMar>
      </w:tblPr>
      <w:tblGrid>
        <w:gridCol w:w="1017"/>
        <w:gridCol w:w="1018"/>
        <w:gridCol w:w="2911"/>
        <w:gridCol w:w="1602"/>
        <w:gridCol w:w="1974"/>
      </w:tblGrid>
      <w:tr>
        <w:tblPrEx>
          <w:tblCellMar>
            <w:top w:w="0" w:type="dxa"/>
            <w:left w:w="108" w:type="dxa"/>
            <w:bottom w:w="0" w:type="dxa"/>
            <w:right w:w="108" w:type="dxa"/>
          </w:tblCellMar>
        </w:tblPrEx>
        <w:trPr>
          <w:trHeight w:val="20" w:hRule="atLeast"/>
          <w:jc w:val="center"/>
        </w:trPr>
        <w:tc>
          <w:tcPr>
            <w:tcW w:w="1194" w:type="pct"/>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种类名称</w:t>
            </w:r>
          </w:p>
        </w:tc>
        <w:tc>
          <w:tcPr>
            <w:tcW w:w="1708" w:type="pct"/>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规格特征</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亩株（丛）数</w:t>
            </w:r>
          </w:p>
        </w:tc>
        <w:tc>
          <w:tcPr>
            <w:tcW w:w="1158" w:type="pc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亩</w:t>
            </w:r>
            <w:r>
              <w:rPr>
                <w:rFonts w:ascii="Times New Roman" w:hAnsi="Times New Roman" w:eastAsia="仿宋" w:cs="Times New Roman"/>
                <w:b/>
                <w:bCs/>
                <w:color w:val="000000" w:themeColor="text1"/>
                <w:kern w:val="0"/>
                <w:szCs w:val="21"/>
                <w14:textFill>
                  <w14:solidFill>
                    <w14:schemeClr w14:val="tx1"/>
                  </w14:solidFill>
                </w14:textFill>
                <w14:ligatures w14:val="none"/>
              </w:rPr>
              <w:t>迁移费补助价格</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（元/亩）</w:t>
            </w:r>
          </w:p>
        </w:tc>
      </w:tr>
      <w:tr>
        <w:tblPrEx>
          <w:tblCellMar>
            <w:top w:w="0" w:type="dxa"/>
            <w:left w:w="108" w:type="dxa"/>
            <w:bottom w:w="0" w:type="dxa"/>
            <w:right w:w="108" w:type="dxa"/>
          </w:tblCellMar>
        </w:tblPrEx>
        <w:trPr>
          <w:trHeight w:val="340" w:hRule="atLeast"/>
          <w:jc w:val="center"/>
        </w:trPr>
        <w:tc>
          <w:tcPr>
            <w:tcW w:w="1194" w:type="pct"/>
            <w:gridSpan w:val="2"/>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盆（袋）栽苗</w:t>
            </w: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盆（袋）口径30厘米以上。</w:t>
            </w:r>
          </w:p>
        </w:tc>
        <w:tc>
          <w:tcPr>
            <w:tcW w:w="940" w:type="pct"/>
            <w:tcBorders>
              <w:top w:val="single" w:color="auto" w:sz="4" w:space="0"/>
              <w:left w:val="nil"/>
              <w:bottom w:val="single" w:color="auto" w:sz="4" w:space="0"/>
              <w:right w:val="single" w:color="auto" w:sz="4" w:space="0"/>
            </w:tcBorders>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7987</w:t>
            </w:r>
          </w:p>
        </w:tc>
      </w:tr>
      <w:tr>
        <w:tblPrEx>
          <w:tblCellMar>
            <w:top w:w="0" w:type="dxa"/>
            <w:left w:w="108" w:type="dxa"/>
            <w:bottom w:w="0" w:type="dxa"/>
            <w:right w:w="108" w:type="dxa"/>
          </w:tblCellMar>
        </w:tblPrEx>
        <w:trPr>
          <w:trHeight w:val="340" w:hRule="atLeast"/>
          <w:jc w:val="center"/>
        </w:trPr>
        <w:tc>
          <w:tcPr>
            <w:tcW w:w="1194" w:type="pct"/>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盆（袋）口径15-30厘米。</w:t>
            </w:r>
          </w:p>
        </w:tc>
        <w:tc>
          <w:tcPr>
            <w:tcW w:w="940" w:type="pct"/>
            <w:tcBorders>
              <w:top w:val="single" w:color="auto" w:sz="4" w:space="0"/>
              <w:left w:val="nil"/>
              <w:bottom w:val="single" w:color="auto" w:sz="4" w:space="0"/>
              <w:right w:val="single" w:color="auto" w:sz="4" w:space="0"/>
            </w:tcBorders>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6261</w:t>
            </w:r>
          </w:p>
        </w:tc>
      </w:tr>
      <w:tr>
        <w:tblPrEx>
          <w:tblCellMar>
            <w:top w:w="0" w:type="dxa"/>
            <w:left w:w="108" w:type="dxa"/>
            <w:bottom w:w="0" w:type="dxa"/>
            <w:right w:w="108" w:type="dxa"/>
          </w:tblCellMar>
        </w:tblPrEx>
        <w:trPr>
          <w:trHeight w:val="340" w:hRule="atLeast"/>
          <w:jc w:val="center"/>
        </w:trPr>
        <w:tc>
          <w:tcPr>
            <w:tcW w:w="1194" w:type="pct"/>
            <w:gridSpan w:val="2"/>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盆（袋）口径15厘米以下。</w:t>
            </w:r>
          </w:p>
        </w:tc>
        <w:tc>
          <w:tcPr>
            <w:tcW w:w="940" w:type="pct"/>
            <w:tcBorders>
              <w:top w:val="single" w:color="auto" w:sz="4" w:space="0"/>
              <w:left w:val="nil"/>
              <w:bottom w:val="single" w:color="auto" w:sz="4" w:space="0"/>
              <w:right w:val="single" w:color="auto" w:sz="4" w:space="0"/>
            </w:tcBorders>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4524</w:t>
            </w:r>
          </w:p>
        </w:tc>
      </w:tr>
      <w:tr>
        <w:tblPrEx>
          <w:tblCellMar>
            <w:top w:w="0" w:type="dxa"/>
            <w:left w:w="108" w:type="dxa"/>
            <w:bottom w:w="0" w:type="dxa"/>
            <w:right w:w="108" w:type="dxa"/>
          </w:tblCellMar>
        </w:tblPrEx>
        <w:trPr>
          <w:trHeight w:val="340" w:hRule="atLeast"/>
          <w:jc w:val="center"/>
        </w:trPr>
        <w:tc>
          <w:tcPr>
            <w:tcW w:w="597" w:type="pct"/>
            <w:vMerge w:val="restart"/>
            <w:tcBorders>
              <w:top w:val="nil"/>
              <w:left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地栽苗</w:t>
            </w:r>
          </w:p>
        </w:tc>
        <w:tc>
          <w:tcPr>
            <w:tcW w:w="597"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绿化</w:t>
            </w:r>
          </w:p>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乔木类</w:t>
            </w: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胸径15-20厘米。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100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21725</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胸径10-15厘米。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150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18263</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胸径5-10厘米。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240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14289</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胸径5厘米以下。</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350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7803</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灌木类</w:t>
            </w: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冠幅150-200厘米。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167</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15665</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冠幅100-150厘米。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260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11966</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冠幅50-100厘米。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400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8962</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冠幅50厘米以下。</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700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5354</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棕榈类</w:t>
            </w: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高4-6米。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60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15455</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高3-4米。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60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11102</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高2-3米。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90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9862</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高1-2米。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120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8155</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高0.5-1米。</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180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5115</w:t>
            </w:r>
          </w:p>
        </w:tc>
      </w:tr>
      <w:tr>
        <w:tblPrEx>
          <w:tblCellMar>
            <w:top w:w="0" w:type="dxa"/>
            <w:left w:w="108" w:type="dxa"/>
            <w:bottom w:w="0" w:type="dxa"/>
            <w:right w:w="108" w:type="dxa"/>
          </w:tblCellMar>
        </w:tblPrEx>
        <w:trPr>
          <w:trHeight w:val="340" w:hRule="atLeast"/>
          <w:jc w:val="center"/>
        </w:trPr>
        <w:tc>
          <w:tcPr>
            <w:tcW w:w="597" w:type="pct"/>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597"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1708" w:type="pct"/>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高0.5米以下。</w:t>
            </w:r>
          </w:p>
        </w:tc>
        <w:tc>
          <w:tcPr>
            <w:tcW w:w="940" w:type="pct"/>
            <w:tcBorders>
              <w:top w:val="single" w:color="auto" w:sz="4" w:space="0"/>
              <w:left w:val="nil"/>
              <w:bottom w:val="single" w:color="auto" w:sz="4" w:space="0"/>
              <w:right w:val="single" w:color="auto" w:sz="4" w:space="0"/>
            </w:tcBorders>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250</w:t>
            </w:r>
          </w:p>
        </w:tc>
        <w:tc>
          <w:tcPr>
            <w:tcW w:w="115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4623</w:t>
            </w:r>
          </w:p>
        </w:tc>
      </w:tr>
      <w:tr>
        <w:tblPrEx>
          <w:tblCellMar>
            <w:top w:w="0" w:type="dxa"/>
            <w:left w:w="108" w:type="dxa"/>
            <w:bottom w:w="0" w:type="dxa"/>
            <w:right w:w="108" w:type="dxa"/>
          </w:tblCellMar>
        </w:tblPrEx>
        <w:trPr>
          <w:trHeight w:val="20" w:hRule="atLeast"/>
          <w:jc w:val="center"/>
        </w:trPr>
        <w:tc>
          <w:tcPr>
            <w:tcW w:w="5000" w:type="pct"/>
            <w:gridSpan w:val="5"/>
            <w:tcBorders>
              <w:top w:val="single" w:color="auto" w:sz="4" w:space="0"/>
              <w:left w:val="single" w:color="auto" w:sz="4" w:space="0"/>
              <w:bottom w:val="single" w:color="auto" w:sz="4" w:space="0"/>
              <w:right w:val="single" w:color="auto" w:sz="4" w:space="0"/>
            </w:tcBorders>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注：</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w:t>
            </w:r>
            <w:r>
              <w:rPr>
                <w:rFonts w:ascii="Times New Roman" w:hAnsi="Times New Roman" w:eastAsia="仿宋" w:cs="Times New Roman"/>
                <w:b/>
                <w:bCs/>
                <w:color w:val="000000" w:themeColor="text1"/>
                <w:kern w:val="0"/>
                <w:szCs w:val="21"/>
                <w14:textFill>
                  <w14:solidFill>
                    <w14:schemeClr w14:val="tx1"/>
                  </w14:solidFill>
                </w14:textFill>
                <w14:ligatures w14:val="none"/>
              </w:rPr>
              <w:t>.</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苗圃是指用于培育苗木的场所或土地，本标准中的苗圃迁移费补助标准是针对苗圃培育场地上青苗的迁移费补助；</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2</w:t>
            </w:r>
            <w:r>
              <w:rPr>
                <w:rFonts w:ascii="Times New Roman" w:hAnsi="Times New Roman" w:eastAsia="仿宋" w:cs="Times New Roman"/>
                <w:b/>
                <w:bCs/>
                <w:color w:val="000000" w:themeColor="text1"/>
                <w:kern w:val="0"/>
                <w:szCs w:val="21"/>
                <w14:textFill>
                  <w14:solidFill>
                    <w14:schemeClr w14:val="tx1"/>
                  </w14:solidFill>
                </w14:textFill>
                <w14:ligatures w14:val="none"/>
              </w:rPr>
              <w:t>.</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盆（袋）裁苗培育地内投影面积达到70%以上（含70%）按本标准执行，若不足70%以实际投影面积比例除以70%乘上相应规格亩迁移补助价格确定其迁移费补助价格；</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3</w:t>
            </w:r>
            <w:r>
              <w:rPr>
                <w:rFonts w:ascii="Times New Roman" w:hAnsi="Times New Roman" w:eastAsia="仿宋" w:cs="Times New Roman"/>
                <w:b/>
                <w:bCs/>
                <w:color w:val="000000" w:themeColor="text1"/>
                <w:kern w:val="0"/>
                <w:szCs w:val="21"/>
                <w14:textFill>
                  <w14:solidFill>
                    <w14:schemeClr w14:val="tx1"/>
                  </w14:solidFill>
                </w14:textFill>
                <w14:ligatures w14:val="none"/>
              </w:rPr>
              <w:t>.</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地栽苗按实际种植清点株（丛）数，达到或超出本标准亩株（丛）数的</w:t>
            </w:r>
            <w:r>
              <w:rPr>
                <w:rFonts w:ascii="Times New Roman" w:hAnsi="Times New Roman" w:eastAsia="仿宋" w:cs="Times New Roman"/>
                <w:b/>
                <w:bCs/>
                <w:color w:val="000000" w:themeColor="text1"/>
                <w:kern w:val="0"/>
                <w:szCs w:val="21"/>
                <w14:textFill>
                  <w14:solidFill>
                    <w14:schemeClr w14:val="tx1"/>
                  </w14:solidFill>
                </w14:textFill>
                <w14:ligatures w14:val="none"/>
              </w:rPr>
              <w:t>按本标准执行，不足</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本标准亩株（丛）数的以实际亩株（丛）数</w:t>
            </w:r>
            <w:r>
              <w:rPr>
                <w:rFonts w:ascii="Times New Roman" w:hAnsi="Times New Roman" w:eastAsia="仿宋" w:cs="Times New Roman"/>
                <w:b/>
                <w:bCs/>
                <w:color w:val="000000" w:themeColor="text1"/>
                <w:kern w:val="0"/>
                <w:szCs w:val="21"/>
                <w14:textFill>
                  <w14:solidFill>
                    <w14:schemeClr w14:val="tx1"/>
                  </w14:solidFill>
                </w14:textFill>
                <w14:ligatures w14:val="none"/>
              </w:rPr>
              <w:t>除以</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本标准亩株（丛）数再</w:t>
            </w:r>
            <w:r>
              <w:rPr>
                <w:rFonts w:ascii="Times New Roman" w:hAnsi="Times New Roman" w:eastAsia="仿宋" w:cs="Times New Roman"/>
                <w:b/>
                <w:bCs/>
                <w:color w:val="000000" w:themeColor="text1"/>
                <w:kern w:val="0"/>
                <w:szCs w:val="21"/>
                <w14:textFill>
                  <w14:solidFill>
                    <w14:schemeClr w14:val="tx1"/>
                  </w14:solidFill>
                </w14:textFill>
                <w14:ligatures w14:val="none"/>
              </w:rPr>
              <w:t>乘上相应规格亩迁移补助</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价格</w:t>
            </w:r>
            <w:r>
              <w:rPr>
                <w:rFonts w:ascii="Times New Roman" w:hAnsi="Times New Roman" w:eastAsia="仿宋" w:cs="Times New Roman"/>
                <w:b/>
                <w:bCs/>
                <w:color w:val="000000" w:themeColor="text1"/>
                <w:kern w:val="0"/>
                <w:szCs w:val="21"/>
                <w14:textFill>
                  <w14:solidFill>
                    <w14:schemeClr w14:val="tx1"/>
                  </w14:solidFill>
                </w14:textFill>
                <w14:ligatures w14:val="none"/>
              </w:rPr>
              <w:t>确定其迁移费补助</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价格;</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4.</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青苗规格划分界限下含上不含，例如：“胸径5</w:t>
            </w:r>
            <w:r>
              <w:rPr>
                <w:rFonts w:ascii="Times New Roman" w:hAnsi="Times New Roman" w:eastAsia="仿宋" w:cs="Times New Roman"/>
                <w:b/>
                <w:bCs/>
                <w:color w:val="000000" w:themeColor="text1"/>
                <w:kern w:val="0"/>
                <w:szCs w:val="21"/>
                <w14:textFill>
                  <w14:solidFill>
                    <w14:schemeClr w14:val="tx1"/>
                  </w14:solidFill>
                </w14:textFill>
                <w14:ligatures w14:val="none"/>
              </w:rPr>
              <w:t>-</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10厘米”表示 “5厘米≤胸径＜1</w:t>
            </w:r>
            <w:r>
              <w:rPr>
                <w:rFonts w:ascii="Times New Roman" w:hAnsi="Times New Roman" w:eastAsia="仿宋" w:cs="Times New Roman"/>
                <w:b/>
                <w:bCs/>
                <w:color w:val="000000" w:themeColor="text1"/>
                <w:kern w:val="0"/>
                <w:szCs w:val="21"/>
                <w14:textFill>
                  <w14:solidFill>
                    <w14:schemeClr w14:val="tx1"/>
                  </w14:solidFill>
                </w14:textFill>
                <w14:ligatures w14:val="none"/>
              </w:rPr>
              <w:t>0</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厘米”;</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本标准中的盆（袋）栽苗是指以盆、袋为容器培育种植的苗木；</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6.</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本标准中的地栽苗是指直接生长在地里培育的苗木；</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7</w:t>
            </w:r>
            <w:r>
              <w:rPr>
                <w:rFonts w:ascii="Times New Roman" w:hAnsi="Times New Roman" w:eastAsia="仿宋" w:cs="Times New Roman"/>
                <w:b/>
                <w:bCs/>
                <w:color w:val="000000" w:themeColor="text1"/>
                <w:kern w:val="0"/>
                <w:szCs w:val="21"/>
                <w14:textFill>
                  <w14:solidFill>
                    <w14:schemeClr w14:val="tx1"/>
                  </w14:solidFill>
                </w14:textFill>
                <w14:ligatures w14:val="none"/>
              </w:rPr>
              <w:t>.</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本标准中的口径是指盆</w:t>
            </w:r>
            <w:r>
              <w:rPr>
                <w:rFonts w:ascii="Times New Roman" w:hAnsi="Times New Roman" w:eastAsia="仿宋" w:cs="Times New Roman"/>
                <w:b/>
                <w:bCs/>
                <w:color w:val="000000" w:themeColor="text1"/>
                <w:kern w:val="0"/>
                <w:szCs w:val="21"/>
                <w14:textFill>
                  <w14:solidFill>
                    <w14:schemeClr w14:val="tx1"/>
                  </w14:solidFill>
                </w14:textFill>
                <w14:ligatures w14:val="none"/>
              </w:rPr>
              <w:t>（袋）</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最大内直径；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8</w:t>
            </w:r>
            <w:r>
              <w:rPr>
                <w:rFonts w:ascii="Times New Roman" w:hAnsi="Times New Roman" w:eastAsia="仿宋" w:cs="Times New Roman"/>
                <w:b/>
                <w:bCs/>
                <w:color w:val="000000" w:themeColor="text1"/>
                <w:kern w:val="0"/>
                <w:szCs w:val="21"/>
                <w14:textFill>
                  <w14:solidFill>
                    <w14:schemeClr w14:val="tx1"/>
                  </w14:solidFill>
                </w14:textFill>
                <w14:ligatures w14:val="none"/>
              </w:rPr>
              <w:t>.本标准中的胸径是指苗木距地面130厘米处的直径；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9.本标准中的</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冠幅是指苗木南北和东西方向宽度的平均值；</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1</w:t>
            </w:r>
            <w:r>
              <w:rPr>
                <w:rFonts w:ascii="Times New Roman" w:hAnsi="Times New Roman" w:eastAsia="仿宋" w:cs="Times New Roman"/>
                <w:b/>
                <w:bCs/>
                <w:color w:val="000000" w:themeColor="text1"/>
                <w:kern w:val="0"/>
                <w:szCs w:val="21"/>
                <w14:textFill>
                  <w14:solidFill>
                    <w14:schemeClr w14:val="tx1"/>
                  </w14:solidFill>
                </w14:textFill>
                <w14:ligatures w14:val="none"/>
              </w:rPr>
              <w:t>0.</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本标准中的苗木高是指苗木自地面至最高生长点之间的垂直距离；</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11</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.本标准不含设施设备。</w:t>
            </w:r>
          </w:p>
        </w:tc>
      </w:tr>
    </w:tbl>
    <w:p>
      <w:pPr>
        <w:jc w:val="center"/>
        <w:rPr>
          <w:rFonts w:ascii="Times New Roman" w:hAnsi="Times New Roman" w:eastAsia="仿宋" w:cs="Times New Roman"/>
          <w:b/>
          <w:bCs/>
          <w:color w:val="000000" w:themeColor="text1"/>
          <w14:textFill>
            <w14:solidFill>
              <w14:schemeClr w14:val="tx1"/>
            </w14:solidFill>
          </w14:textFill>
        </w:rPr>
      </w:pPr>
    </w:p>
    <w:p>
      <w:pPr>
        <w:widowControl/>
        <w:jc w:val="left"/>
        <w:rPr>
          <w:rFonts w:ascii="Times New Roman" w:hAnsi="Times New Roman" w:eastAsia="仿宋" w:cs="Times New Roman"/>
          <w:b/>
          <w:bCs/>
          <w:color w:val="000000" w:themeColor="text1"/>
          <w14:textFill>
            <w14:solidFill>
              <w14:schemeClr w14:val="tx1"/>
            </w14:solidFill>
          </w14:textFill>
        </w:rPr>
      </w:pPr>
      <w:r>
        <w:rPr>
          <w:rFonts w:ascii="Times New Roman" w:hAnsi="Times New Roman" w:eastAsia="仿宋" w:cs="Times New Roman"/>
          <w:b/>
          <w:bCs/>
          <w:color w:val="000000" w:themeColor="text1"/>
          <w14:textFill>
            <w14:solidFill>
              <w14:schemeClr w14:val="tx1"/>
            </w14:solidFill>
          </w14:textFill>
        </w:rPr>
        <w:br w:type="page"/>
      </w:r>
    </w:p>
    <w:p>
      <w:pPr>
        <w:jc w:val="left"/>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附件5</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观赏性苗木补偿标准</w:t>
      </w:r>
    </w:p>
    <w:tbl>
      <w:tblPr>
        <w:tblStyle w:val="2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16"/>
        <w:gridCol w:w="3736"/>
        <w:gridCol w:w="21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blHeader/>
        </w:trPr>
        <w:tc>
          <w:tcPr>
            <w:tcW w:w="2547" w:type="dxa"/>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作物名称</w:t>
            </w:r>
          </w:p>
        </w:tc>
        <w:tc>
          <w:tcPr>
            <w:tcW w:w="3637" w:type="dxa"/>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规格特征</w:t>
            </w:r>
          </w:p>
        </w:tc>
        <w:tc>
          <w:tcPr>
            <w:tcW w:w="2112" w:type="dxa"/>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补偿价格</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（元/株）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秋枫</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凤凰树（凤凰木）</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368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榄仁树（大叶榄仁）</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小叶榄仁</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木棉</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青皮木棉</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美丽异木棉</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印度紫檀</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火焰树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白兰</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榕树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雨树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吊灯树（吊瓜树）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黄花风铃木</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紫花风铃木</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幌伞枫</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非洲楝</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盆架树（盆架子）</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黄槿</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酸豆树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591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海南红豆</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樟树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鹅掌柴（鸭脚木）</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海棠树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琼崖海棠</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海南蒲桃</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金蒲桃</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麻楝</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胸径20-25厘米。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光瓜栗（发财树）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地径12-17厘米。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地径8-12厘米。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地径5-8厘米。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地径2-5厘米。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地径2厘米以下。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大花紫薇（大叶紫薇）</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胸径12-17厘米。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胸径8-12厘米。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胸径3-8厘米。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胸径3厘米以下。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罗汉松</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胸径5-8厘米。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胸径3-5厘米。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胸径3厘米以下。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九里香</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高2-3米。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高1.5-2米。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高1-1.5米。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高0.6-1米。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高0.6米以下。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三角梅</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地径7-9厘米。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地径5-7厘米。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地径3-5厘米。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地径3厘米以下。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鸡蛋花树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高2-2.5米。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高1.5-2米。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高1-1.5米。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高0.5-1米。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龙血树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地径15-20厘米。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地径10-15厘米。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地径5-10厘米。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地径5厘米以下。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棕榈树</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高4-6米。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高3-4米。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273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高2-3米。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87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高0.5-1米。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狐尾椰子</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高4-6米。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高3-4米。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高2-3米。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高0.5-1米。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散尾葵</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高3-4米。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210元/丛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高2-3米。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125元/丛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70元/丛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33元/丛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苏铁</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高1.5-2米。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高0.8-1.5米。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高0.5-0.8米。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旅人蕉</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高3-5米。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高2-3米。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高1.5-2米。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restart"/>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美人蕉</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高1米以上。</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高0.5-1米。</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vMerge w:val="continue"/>
            <w:shd w:val="clear" w:color="auto" w:fill="auto"/>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高0.5米以下。</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47"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草坪</w:t>
            </w:r>
          </w:p>
        </w:tc>
        <w:tc>
          <w:tcPr>
            <w:tcW w:w="3637" w:type="dxa"/>
            <w:shd w:val="clear" w:color="auto" w:fill="auto"/>
            <w:noWrap/>
            <w:vAlign w:val="center"/>
          </w:tcPr>
          <w:p>
            <w:pPr>
              <w:widowControl/>
              <w:jc w:val="left"/>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kern w:val="0"/>
                <w:szCs w:val="21"/>
                <w14:textFill>
                  <w14:solidFill>
                    <w14:schemeClr w14:val="tx1"/>
                  </w14:solidFill>
                </w14:textFill>
                <w14:ligatures w14:val="none"/>
              </w:rPr>
              <w:t>以草坪面积补偿。</w:t>
            </w:r>
          </w:p>
        </w:tc>
        <w:tc>
          <w:tcPr>
            <w:tcW w:w="2112" w:type="dxa"/>
            <w:shd w:val="clear" w:color="auto" w:fill="auto"/>
            <w:noWrap/>
            <w:vAlign w:val="center"/>
          </w:tcPr>
          <w:p>
            <w:pPr>
              <w:widowControl/>
              <w:jc w:val="center"/>
              <w:rPr>
                <w:rFonts w:ascii="Times New Roman" w:hAnsi="Times New Roman" w:eastAsia="仿宋_GB2312" w:cs="Times New Roman"/>
                <w:color w:val="000000" w:themeColor="text1"/>
                <w:kern w:val="0"/>
                <w:szCs w:val="21"/>
                <w14:textFill>
                  <w14:solidFill>
                    <w14:schemeClr w14:val="tx1"/>
                  </w14:solidFill>
                </w14:textFill>
                <w14:ligatures w14:val="none"/>
              </w:rPr>
            </w:pPr>
            <w:r>
              <w:rPr>
                <w:rFonts w:ascii="Times New Roman" w:hAnsi="Times New Roman" w:eastAsia="仿宋_GB2312" w:cs="Times New Roman"/>
                <w:color w:val="000000" w:themeColor="text1"/>
                <w:szCs w:val="21"/>
                <w14:textFill>
                  <w14:solidFill>
                    <w14:schemeClr w14:val="tx1"/>
                  </w14:solidFill>
                </w14:textFill>
              </w:rPr>
              <w:t>6元/平方米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3"/>
            <w:shd w:val="clear" w:color="auto" w:fill="auto"/>
            <w:noWrap/>
            <w:vAlign w:val="center"/>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注：1.观赏性苗木是指具有一定的观赏价值适用于美化环境、改善环境并丰富人们生活的植物，本标准中的观赏性苗木补偿标准是针对苗圃培育场外，已完成定植、非规模成片种植的零星观赏性苗木；</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2.实际工作中涉及超出规格特征和有特殊加工造型的观赏性苗木，应委托有相关资质的估价机构评估补偿，取得所有权人同意的也可以按照议价方式补偿；</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3.景观竹丛按林木补偿标准中的“竹林”补偿；</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4.</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青苗规格划分界限下含上不含，例如：胸径15-20厘米表示“1</w:t>
            </w: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厘米≤胸径＜</w:t>
            </w:r>
            <w:r>
              <w:rPr>
                <w:rFonts w:ascii="Times New Roman" w:hAnsi="Times New Roman" w:eastAsia="仿宋" w:cs="Times New Roman"/>
                <w:b/>
                <w:bCs/>
                <w:color w:val="000000" w:themeColor="text1"/>
                <w:kern w:val="0"/>
                <w:szCs w:val="21"/>
                <w14:textFill>
                  <w14:solidFill>
                    <w14:schemeClr w14:val="tx1"/>
                  </w14:solidFill>
                </w14:textFill>
                <w14:ligatures w14:val="none"/>
              </w:rPr>
              <w:t>20</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厘米”；</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5.</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本标准中的苗木高是指苗木自地面至最高生长点之间的垂直距离；</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6.</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本标准中的胸径是指苗木距地面130厘米处的直径；</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7.</w:t>
            </w: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本标准中的地径是指苗木距地面20厘米处的直径。</w:t>
            </w:r>
          </w:p>
        </w:tc>
      </w:tr>
    </w:tbl>
    <w:p>
      <w:pPr>
        <w:jc w:val="left"/>
        <w:rPr>
          <w:rFonts w:ascii="Times New Roman" w:hAnsi="Times New Roman" w:eastAsia="仿宋" w:cs="Times New Roman"/>
          <w:b/>
          <w:bCs/>
          <w:color w:val="000000" w:themeColor="text1"/>
          <w:sz w:val="24"/>
          <w:szCs w:val="28"/>
          <w14:textFill>
            <w14:solidFill>
              <w14:schemeClr w14:val="tx1"/>
            </w14:solidFill>
          </w14:textFill>
        </w:rPr>
        <w:sectPr>
          <w:pgSz w:w="11906" w:h="16838"/>
          <w:pgMar w:top="1440" w:right="1800" w:bottom="1440" w:left="1800" w:header="851" w:footer="992" w:gutter="0"/>
          <w:cols w:space="425" w:num="1"/>
          <w:docGrid w:type="lines" w:linePitch="312" w:charSpace="0"/>
        </w:sectPr>
      </w:pPr>
    </w:p>
    <w:p>
      <w:pPr>
        <w:jc w:val="left"/>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附件6</w:t>
      </w:r>
    </w:p>
    <w:p>
      <w:pPr>
        <w:jc w:val="center"/>
        <w:rPr>
          <w:rFonts w:ascii="Times New Roman" w:hAnsi="Times New Roman" w:eastAsia="仿宋" w:cs="Times New Roman"/>
          <w:b/>
          <w:bCs/>
          <w:color w:val="000000" w:themeColor="text1"/>
          <w:sz w:val="24"/>
          <w:szCs w:val="28"/>
          <w14:textFill>
            <w14:solidFill>
              <w14:schemeClr w14:val="tx1"/>
            </w14:solidFill>
          </w14:textFill>
        </w:rPr>
      </w:pPr>
      <w:r>
        <w:rPr>
          <w:rFonts w:ascii="Times New Roman" w:hAnsi="Times New Roman" w:eastAsia="仿宋" w:cs="Times New Roman"/>
          <w:b/>
          <w:bCs/>
          <w:color w:val="000000" w:themeColor="text1"/>
          <w:sz w:val="24"/>
          <w:szCs w:val="28"/>
          <w14:textFill>
            <w14:solidFill>
              <w14:schemeClr w14:val="tx1"/>
            </w14:solidFill>
          </w14:textFill>
        </w:rPr>
        <w:t>养殖塘补偿标准</w:t>
      </w:r>
    </w:p>
    <w:tbl>
      <w:tblPr>
        <w:tblStyle w:val="23"/>
        <w:tblW w:w="5000" w:type="pct"/>
        <w:jc w:val="center"/>
        <w:tblLayout w:type="fixed"/>
        <w:tblCellMar>
          <w:top w:w="0" w:type="dxa"/>
          <w:left w:w="108" w:type="dxa"/>
          <w:bottom w:w="0" w:type="dxa"/>
          <w:right w:w="108" w:type="dxa"/>
        </w:tblCellMar>
      </w:tblPr>
      <w:tblGrid>
        <w:gridCol w:w="1890"/>
        <w:gridCol w:w="4579"/>
        <w:gridCol w:w="2053"/>
      </w:tblGrid>
      <w:tr>
        <w:tblPrEx>
          <w:tblCellMar>
            <w:top w:w="0" w:type="dxa"/>
            <w:left w:w="108" w:type="dxa"/>
            <w:bottom w:w="0" w:type="dxa"/>
            <w:right w:w="108" w:type="dxa"/>
          </w:tblCellMar>
        </w:tblPrEx>
        <w:trPr>
          <w:trHeight w:val="357" w:hRule="atLeast"/>
          <w:jc w:val="center"/>
        </w:trPr>
        <w:tc>
          <w:tcPr>
            <w:tcW w:w="1109" w:type="pct"/>
            <w:vMerge w:val="restart"/>
            <w:tcBorders>
              <w:top w:val="single" w:color="auto" w:sz="4" w:space="0"/>
              <w:left w:val="single" w:color="auto" w:sz="4" w:space="0"/>
              <w:right w:val="single" w:color="auto" w:sz="4" w:space="0"/>
            </w:tcBorders>
            <w:shd w:val="clear" w:color="auto" w:fill="auto"/>
            <w:noWrap/>
            <w:vAlign w:val="center"/>
          </w:tcPr>
          <w:p>
            <w:pPr>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类别</w:t>
            </w:r>
            <w:r>
              <w:rPr>
                <w:rFonts w:ascii="Times New Roman" w:hAnsi="Times New Roman" w:eastAsia="仿宋" w:cs="Times New Roman"/>
                <w:b/>
                <w:bCs/>
                <w:color w:val="000000" w:themeColor="text1"/>
                <w:kern w:val="0"/>
                <w:szCs w:val="21"/>
                <w14:textFill>
                  <w14:solidFill>
                    <w14:schemeClr w14:val="tx1"/>
                  </w14:solidFill>
                </w14:textFill>
                <w14:ligatures w14:val="none"/>
              </w:rPr>
              <w:t>名称</w:t>
            </w:r>
          </w:p>
        </w:tc>
        <w:tc>
          <w:tcPr>
            <w:tcW w:w="2686" w:type="pct"/>
            <w:vMerge w:val="restart"/>
            <w:tcBorders>
              <w:top w:val="single" w:color="auto" w:sz="4" w:space="0"/>
              <w:left w:val="nil"/>
              <w:right w:val="single" w:color="auto" w:sz="4" w:space="0"/>
            </w:tcBorders>
            <w:shd w:val="clear" w:color="auto" w:fill="auto"/>
            <w:vAlign w:val="center"/>
          </w:tcPr>
          <w:p>
            <w:pPr>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建造规格</w:t>
            </w:r>
          </w:p>
        </w:tc>
        <w:tc>
          <w:tcPr>
            <w:tcW w:w="1205" w:type="pct"/>
            <w:vMerge w:val="restart"/>
            <w:tcBorders>
              <w:top w:val="single" w:color="auto" w:sz="4" w:space="0"/>
              <w:left w:val="nil"/>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补偿价格</w:t>
            </w:r>
          </w:p>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eastAsia="仿宋" w:cs="Times New Roman"/>
                <w:b/>
                <w:bCs/>
                <w:color w:val="000000" w:themeColor="text1"/>
                <w:kern w:val="0"/>
                <w:szCs w:val="21"/>
                <w14:textFill>
                  <w14:solidFill>
                    <w14:schemeClr w14:val="tx1"/>
                  </w14:solidFill>
                </w14:textFill>
                <w14:ligatures w14:val="none"/>
              </w:rPr>
              <w:t>（元/亩）</w:t>
            </w:r>
          </w:p>
        </w:tc>
      </w:tr>
      <w:tr>
        <w:tblPrEx>
          <w:tblCellMar>
            <w:top w:w="0" w:type="dxa"/>
            <w:left w:w="108" w:type="dxa"/>
            <w:bottom w:w="0" w:type="dxa"/>
            <w:right w:w="108" w:type="dxa"/>
          </w:tblCellMar>
        </w:tblPrEx>
        <w:trPr>
          <w:trHeight w:val="312" w:hRule="atLeast"/>
          <w:jc w:val="center"/>
        </w:trPr>
        <w:tc>
          <w:tcPr>
            <w:tcW w:w="1109" w:type="pct"/>
            <w:vMerge w:val="continue"/>
            <w:tcBorders>
              <w:left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2686" w:type="pct"/>
            <w:vMerge w:val="continue"/>
            <w:tcBorders>
              <w:left w:val="nil"/>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1205" w:type="pct"/>
            <w:vMerge w:val="continue"/>
            <w:tcBorders>
              <w:left w:val="nil"/>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r>
      <w:tr>
        <w:tblPrEx>
          <w:tblCellMar>
            <w:top w:w="0" w:type="dxa"/>
            <w:left w:w="108" w:type="dxa"/>
            <w:bottom w:w="0" w:type="dxa"/>
            <w:right w:w="108" w:type="dxa"/>
          </w:tblCellMar>
        </w:tblPrEx>
        <w:trPr>
          <w:trHeight w:val="312" w:hRule="atLeast"/>
          <w:jc w:val="center"/>
        </w:trPr>
        <w:tc>
          <w:tcPr>
            <w:tcW w:w="1109" w:type="pct"/>
            <w:vMerge w:val="continue"/>
            <w:tcBorders>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2686" w:type="pct"/>
            <w:vMerge w:val="continue"/>
            <w:tcBorders>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c>
          <w:tcPr>
            <w:tcW w:w="1205" w:type="pct"/>
            <w:vMerge w:val="continue"/>
            <w:tcBorders>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p>
        </w:tc>
      </w:tr>
      <w:tr>
        <w:tblPrEx>
          <w:tblCellMar>
            <w:top w:w="0" w:type="dxa"/>
            <w:left w:w="108" w:type="dxa"/>
            <w:bottom w:w="0" w:type="dxa"/>
            <w:right w:w="108" w:type="dxa"/>
          </w:tblCellMar>
        </w:tblPrEx>
        <w:trPr>
          <w:trHeight w:val="397" w:hRule="atLeast"/>
          <w:jc w:val="center"/>
        </w:trPr>
        <w:tc>
          <w:tcPr>
            <w:tcW w:w="1109" w:type="pct"/>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土坡养殖塘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土坡、泥（沙）底，塘深2米以上。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9978</w:t>
            </w:r>
          </w:p>
        </w:tc>
      </w:tr>
      <w:tr>
        <w:tblPrEx>
          <w:tblCellMar>
            <w:top w:w="0" w:type="dxa"/>
            <w:left w:w="108" w:type="dxa"/>
            <w:bottom w:w="0" w:type="dxa"/>
            <w:right w:w="108" w:type="dxa"/>
          </w:tblCellMar>
        </w:tblPrEx>
        <w:trPr>
          <w:trHeight w:val="397" w:hRule="atLeast"/>
          <w:jc w:val="center"/>
        </w:trPr>
        <w:tc>
          <w:tcPr>
            <w:tcW w:w="1109" w:type="pct"/>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土坡、泥（沙）底，塘深2米以下。</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7566</w:t>
            </w:r>
          </w:p>
        </w:tc>
      </w:tr>
      <w:tr>
        <w:tblPrEx>
          <w:tblCellMar>
            <w:top w:w="0" w:type="dxa"/>
            <w:left w:w="108" w:type="dxa"/>
            <w:bottom w:w="0" w:type="dxa"/>
            <w:right w:w="108" w:type="dxa"/>
          </w:tblCellMar>
        </w:tblPrEx>
        <w:trPr>
          <w:trHeight w:val="397" w:hRule="atLeast"/>
          <w:jc w:val="center"/>
        </w:trPr>
        <w:tc>
          <w:tcPr>
            <w:tcW w:w="1109" w:type="pct"/>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石块护坡养殖塘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石块护坡、泥（沙）底，塘深2米以上。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24052</w:t>
            </w:r>
          </w:p>
        </w:tc>
      </w:tr>
      <w:tr>
        <w:tblPrEx>
          <w:tblCellMar>
            <w:top w:w="0" w:type="dxa"/>
            <w:left w:w="108" w:type="dxa"/>
            <w:bottom w:w="0" w:type="dxa"/>
            <w:right w:w="108" w:type="dxa"/>
          </w:tblCellMar>
        </w:tblPrEx>
        <w:trPr>
          <w:trHeight w:val="397" w:hRule="atLeast"/>
          <w:jc w:val="center"/>
        </w:trPr>
        <w:tc>
          <w:tcPr>
            <w:tcW w:w="1109" w:type="pct"/>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石块护坡、泥（沙）底，塘深2米以下。</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17218</w:t>
            </w:r>
          </w:p>
        </w:tc>
      </w:tr>
      <w:tr>
        <w:tblPrEx>
          <w:tblCellMar>
            <w:top w:w="0" w:type="dxa"/>
            <w:left w:w="108" w:type="dxa"/>
            <w:bottom w:w="0" w:type="dxa"/>
            <w:right w:w="108" w:type="dxa"/>
          </w:tblCellMar>
        </w:tblPrEx>
        <w:trPr>
          <w:trHeight w:val="397" w:hRule="atLeast"/>
          <w:jc w:val="center"/>
        </w:trPr>
        <w:tc>
          <w:tcPr>
            <w:tcW w:w="1109" w:type="pct"/>
            <w:vMerge w:val="restar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砖砌护坡养殖塘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砖砌护坡、泥（沙）底，塘深2米以上。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29176</w:t>
            </w:r>
          </w:p>
        </w:tc>
      </w:tr>
      <w:tr>
        <w:tblPrEx>
          <w:tblCellMar>
            <w:top w:w="0" w:type="dxa"/>
            <w:left w:w="108" w:type="dxa"/>
            <w:bottom w:w="0" w:type="dxa"/>
            <w:right w:w="108" w:type="dxa"/>
          </w:tblCellMar>
        </w:tblPrEx>
        <w:trPr>
          <w:trHeight w:val="397" w:hRule="atLeast"/>
          <w:jc w:val="center"/>
        </w:trPr>
        <w:tc>
          <w:tcPr>
            <w:tcW w:w="1109" w:type="pct"/>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砖砌护坡、泥（沙）底，塘深2米以下。</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20984</w:t>
            </w:r>
          </w:p>
        </w:tc>
      </w:tr>
      <w:tr>
        <w:tblPrEx>
          <w:tblCellMar>
            <w:top w:w="0" w:type="dxa"/>
            <w:left w:w="108" w:type="dxa"/>
            <w:bottom w:w="0" w:type="dxa"/>
            <w:right w:w="108" w:type="dxa"/>
          </w:tblCellMar>
        </w:tblPrEx>
        <w:trPr>
          <w:trHeight w:val="397" w:hRule="atLeast"/>
          <w:jc w:val="center"/>
        </w:trPr>
        <w:tc>
          <w:tcPr>
            <w:tcW w:w="110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铺膜护坡养殖塘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hint="eastAsia" w:ascii="Times New Roman" w:hAnsi="Times New Roman" w:eastAsia="仿宋" w:cs="Times New Roman"/>
                <w:color w:val="000000" w:themeColor="text1"/>
                <w:kern w:val="0"/>
                <w:szCs w:val="21"/>
                <w14:textFill>
                  <w14:solidFill>
                    <w14:schemeClr w14:val="tx1"/>
                  </w14:solidFill>
                </w14:textFill>
                <w14:ligatures w14:val="none"/>
              </w:rPr>
              <w:t>薄膜护坡、泥（沙）底，塘深2米以上。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22677</w:t>
            </w:r>
          </w:p>
        </w:tc>
      </w:tr>
      <w:tr>
        <w:tblPrEx>
          <w:tblCellMar>
            <w:top w:w="0" w:type="dxa"/>
            <w:left w:w="108" w:type="dxa"/>
            <w:bottom w:w="0" w:type="dxa"/>
            <w:right w:w="108" w:type="dxa"/>
          </w:tblCellMar>
        </w:tblPrEx>
        <w:trPr>
          <w:trHeight w:val="397" w:hRule="atLeast"/>
          <w:jc w:val="center"/>
        </w:trPr>
        <w:tc>
          <w:tcPr>
            <w:tcW w:w="1109" w:type="pct"/>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全塘铺膜养殖塘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薄膜护坡、薄膜底，塘深2米以上。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29739</w:t>
            </w:r>
          </w:p>
        </w:tc>
      </w:tr>
      <w:tr>
        <w:tblPrEx>
          <w:tblCellMar>
            <w:top w:w="0" w:type="dxa"/>
            <w:left w:w="108" w:type="dxa"/>
            <w:bottom w:w="0" w:type="dxa"/>
            <w:right w:w="108" w:type="dxa"/>
          </w:tblCellMar>
        </w:tblPrEx>
        <w:trPr>
          <w:trHeight w:val="397" w:hRule="atLeast"/>
          <w:jc w:val="center"/>
        </w:trPr>
        <w:tc>
          <w:tcPr>
            <w:tcW w:w="1109" w:type="pct"/>
            <w:tcBorders>
              <w:top w:val="nil"/>
              <w:left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水泥护坡养殖塘</w:t>
            </w:r>
          </w:p>
        </w:tc>
        <w:tc>
          <w:tcPr>
            <w:tcW w:w="2686" w:type="pct"/>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 w:cs="Times New Roman"/>
                <w:color w:val="000000" w:themeColor="text1"/>
                <w:kern w:val="0"/>
                <w:szCs w:val="21"/>
                <w14:textFill>
                  <w14:solidFill>
                    <w14:schemeClr w14:val="tx1"/>
                  </w14:solidFill>
                </w14:textFill>
                <w14:ligatures w14:val="none"/>
              </w:rPr>
            </w:pPr>
            <w:r>
              <w:rPr>
                <w:rFonts w:ascii="Times New Roman" w:hAnsi="Times New Roman" w:eastAsia="仿宋" w:cs="Times New Roman"/>
                <w:color w:val="000000" w:themeColor="text1"/>
                <w:kern w:val="0"/>
                <w:szCs w:val="21"/>
                <w14:textFill>
                  <w14:solidFill>
                    <w14:schemeClr w14:val="tx1"/>
                  </w14:solidFill>
                </w14:textFill>
                <w14:ligatures w14:val="none"/>
              </w:rPr>
              <w:t>水泥护坡、薄膜底，塘深2米以上。</w:t>
            </w:r>
          </w:p>
        </w:tc>
        <w:tc>
          <w:tcPr>
            <w:tcW w:w="1205" w:type="pct"/>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ascii="Times New Roman" w:hAnsi="Times New Roman" w:cs="Times New Roman"/>
                <w:b/>
                <w:bCs/>
                <w:color w:val="000000" w:themeColor="text1"/>
                <w14:textFill>
                  <w14:solidFill>
                    <w14:schemeClr w14:val="tx1"/>
                  </w14:solidFill>
                </w14:textFill>
              </w:rPr>
              <w:t>37764</w:t>
            </w:r>
          </w:p>
        </w:tc>
      </w:tr>
      <w:tr>
        <w:tblPrEx>
          <w:tblCellMar>
            <w:top w:w="0" w:type="dxa"/>
            <w:left w:w="108" w:type="dxa"/>
            <w:bottom w:w="0" w:type="dxa"/>
            <w:right w:w="108" w:type="dxa"/>
          </w:tblCellMar>
        </w:tblPrEx>
        <w:trPr>
          <w:trHeight w:val="288" w:hRule="atLeast"/>
          <w:jc w:val="center"/>
        </w:trPr>
        <w:tc>
          <w:tcPr>
            <w:tcW w:w="5000" w:type="pct"/>
            <w:gridSpan w:val="3"/>
            <w:tcBorders>
              <w:top w:val="single" w:color="auto" w:sz="4" w:space="0"/>
              <w:left w:val="single" w:color="auto" w:sz="4" w:space="0"/>
              <w:bottom w:val="single" w:color="auto" w:sz="4" w:space="0"/>
              <w:right w:val="single" w:color="auto" w:sz="4" w:space="0"/>
            </w:tcBorders>
          </w:tcPr>
          <w:p>
            <w:pPr>
              <w:widowControl/>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注：1.养殖塘是指人工修建用于养殖各类水产品的室外养殖塘，本标准中的养殖塘补偿标准仅对养殖塘建设补偿，包含养殖塘开发建设、单塘灌排系统；</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2.塘外共用灌排系统、深水井等固定设备设施，应委托有相关资质的估价机构评估补偿，取得所有权人同意的也可以按照议价方式补偿；</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3.塘深以护坡上沿至塘底的垂直深度确定；</w:t>
            </w:r>
          </w:p>
          <w:p>
            <w:pPr>
              <w:widowControl/>
              <w:ind w:firstLine="421" w:firstLineChars="200"/>
              <w:jc w:val="left"/>
              <w:rPr>
                <w:rFonts w:ascii="Times New Roman" w:hAnsi="Times New Roman" w:eastAsia="仿宋" w:cs="Times New Roman"/>
                <w:b/>
                <w:bCs/>
                <w:color w:val="000000" w:themeColor="text1"/>
                <w:kern w:val="0"/>
                <w:szCs w:val="21"/>
                <w14:textFill>
                  <w14:solidFill>
                    <w14:schemeClr w14:val="tx1"/>
                  </w14:solidFill>
                </w14:textFill>
                <w14:ligatures w14:val="none"/>
              </w:rPr>
            </w:pPr>
            <w:r>
              <w:rPr>
                <w:rFonts w:hint="eastAsia" w:ascii="Times New Roman" w:hAnsi="Times New Roman" w:eastAsia="仿宋" w:cs="Times New Roman"/>
                <w:b/>
                <w:bCs/>
                <w:color w:val="000000" w:themeColor="text1"/>
                <w:kern w:val="0"/>
                <w:szCs w:val="21"/>
                <w14:textFill>
                  <w14:solidFill>
                    <w14:schemeClr w14:val="tx1"/>
                  </w14:solidFill>
                </w14:textFill>
                <w14:ligatures w14:val="none"/>
              </w:rPr>
              <w:t>4.养殖塘面积指护坡上沿内侧围合区域面积。</w:t>
            </w:r>
          </w:p>
        </w:tc>
      </w:tr>
    </w:tbl>
    <w:p>
      <w:pPr>
        <w:rPr>
          <w:rFonts w:ascii="Times New Roman" w:hAnsi="Times New Roman" w:eastAsia="仿宋" w:cs="Times New Roman"/>
          <w:b/>
          <w:bCs/>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仿宋"/>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Gubbi"/>
    <w:panose1 w:val="00000000000000000000"/>
    <w:charset w:val="00"/>
    <w:family w:val="auto"/>
    <w:pitch w:val="default"/>
    <w:sig w:usb0="00000000" w:usb1="00000000" w:usb2="00000000" w:usb3="00000000" w:csb0="00000000" w:csb1="00000000"/>
  </w:font>
  <w:font w:name="等线 Light">
    <w:altName w:val="华文仿宋"/>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Microsoft YaHei UI">
    <w:altName w:val="Droid Sans Fallback"/>
    <w:panose1 w:val="020B0503020204020204"/>
    <w:charset w:val="86"/>
    <w:family w:val="swiss"/>
    <w:pitch w:val="default"/>
    <w:sig w:usb0="00000000" w:usb1="00000000" w:usb2="00000016" w:usb3="00000000" w:csb0="0004001F" w:csb1="00000000"/>
  </w:font>
  <w:font w:name="仿宋">
    <w:panose1 w:val="02010609060101010101"/>
    <w:charset w:val="86"/>
    <w:family w:val="modern"/>
    <w:pitch w:val="default"/>
    <w:sig w:usb0="800002BF" w:usb1="38CF7CFA" w:usb2="00000016" w:usb3="00000000" w:csb0="00040001" w:csb1="00000000"/>
  </w:font>
  <w:font w:name="Gubbi">
    <w:panose1 w:val="00000400000000000000"/>
    <w:charset w:val="00"/>
    <w:family w:val="auto"/>
    <w:pitch w:val="default"/>
    <w:sig w:usb0="004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方正宋体S-超大字符集">
    <w:panose1 w:val="02000000000000000000"/>
    <w:charset w:val="86"/>
    <w:family w:val="auto"/>
    <w:pitch w:val="default"/>
    <w:sig w:usb0="00000001" w:usb1="08000000" w:usb2="00000000" w:usb3="00000000" w:csb0="00040000" w:csb1="00000000"/>
  </w:font>
  <w:font w:name="等线 Light">
    <w:altName w:val="Gubbi"/>
    <w:panose1 w:val="00000000000000000000"/>
    <w:charset w:val="00"/>
    <w:family w:val="auto"/>
    <w:pitch w:val="default"/>
    <w:sig w:usb0="00000000" w:usb1="00000000" w:usb2="00000000" w:usb3="00000000" w:csb0="00000000" w:csb1="00000000"/>
  </w:font>
  <w:font w:name="汉仪中圆B5">
    <w:panose1 w:val="02010600000101010101"/>
    <w:charset w:val="88"/>
    <w:family w:val="auto"/>
    <w:pitch w:val="default"/>
    <w:sig w:usb0="00000001" w:usb1="080E0800" w:usb2="00000002" w:usb3="00000000" w:csb0="00100000"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40913815"/>
      <w:docPartObj>
        <w:docPartGallery w:val="autotext"/>
      </w:docPartObj>
    </w:sdtPr>
    <w:sdtEndPr>
      <w:rPr>
        <w:rFonts w:ascii="Times New Roman" w:hAnsi="Times New Roman" w:cs="Times New Roman"/>
      </w:rPr>
    </w:sdtEndPr>
    <w:sdtContent>
      <w:p>
        <w:pPr>
          <w:pStyle w:val="1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pPr>
      <w:pStyle w:val="1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A69"/>
    <w:rsid w:val="00006F1B"/>
    <w:rsid w:val="000208F2"/>
    <w:rsid w:val="00020FFB"/>
    <w:rsid w:val="00025957"/>
    <w:rsid w:val="00030D81"/>
    <w:rsid w:val="00035ED4"/>
    <w:rsid w:val="000376E0"/>
    <w:rsid w:val="00037B7B"/>
    <w:rsid w:val="00044911"/>
    <w:rsid w:val="00045CF6"/>
    <w:rsid w:val="0005134B"/>
    <w:rsid w:val="0006698E"/>
    <w:rsid w:val="00066E8A"/>
    <w:rsid w:val="00075357"/>
    <w:rsid w:val="00081054"/>
    <w:rsid w:val="000A2A15"/>
    <w:rsid w:val="000B5CB3"/>
    <w:rsid w:val="000D4714"/>
    <w:rsid w:val="000E69C1"/>
    <w:rsid w:val="000E7705"/>
    <w:rsid w:val="000F3B3C"/>
    <w:rsid w:val="00105546"/>
    <w:rsid w:val="00124707"/>
    <w:rsid w:val="00124E10"/>
    <w:rsid w:val="0013060E"/>
    <w:rsid w:val="00136B00"/>
    <w:rsid w:val="00136F13"/>
    <w:rsid w:val="001426E5"/>
    <w:rsid w:val="00150FF3"/>
    <w:rsid w:val="00154814"/>
    <w:rsid w:val="00163635"/>
    <w:rsid w:val="00166169"/>
    <w:rsid w:val="00186F83"/>
    <w:rsid w:val="00194B43"/>
    <w:rsid w:val="001A18FB"/>
    <w:rsid w:val="001B2E27"/>
    <w:rsid w:val="001C1F3A"/>
    <w:rsid w:val="001C5BFE"/>
    <w:rsid w:val="001D0767"/>
    <w:rsid w:val="001D17AF"/>
    <w:rsid w:val="001D28A3"/>
    <w:rsid w:val="001D2CC3"/>
    <w:rsid w:val="00211E09"/>
    <w:rsid w:val="0021435A"/>
    <w:rsid w:val="0022471A"/>
    <w:rsid w:val="00240C9E"/>
    <w:rsid w:val="0025210B"/>
    <w:rsid w:val="00275106"/>
    <w:rsid w:val="00282BD5"/>
    <w:rsid w:val="0029188D"/>
    <w:rsid w:val="00294185"/>
    <w:rsid w:val="002A3A05"/>
    <w:rsid w:val="002B0BB5"/>
    <w:rsid w:val="002B4D97"/>
    <w:rsid w:val="002C06E3"/>
    <w:rsid w:val="002C6D7C"/>
    <w:rsid w:val="002D2212"/>
    <w:rsid w:val="002D67C1"/>
    <w:rsid w:val="002E5374"/>
    <w:rsid w:val="002E68BD"/>
    <w:rsid w:val="002F7601"/>
    <w:rsid w:val="00305BF0"/>
    <w:rsid w:val="003074C1"/>
    <w:rsid w:val="00310B3D"/>
    <w:rsid w:val="00317351"/>
    <w:rsid w:val="0033080C"/>
    <w:rsid w:val="0033202B"/>
    <w:rsid w:val="00332FDB"/>
    <w:rsid w:val="00352053"/>
    <w:rsid w:val="00360E4F"/>
    <w:rsid w:val="00362E1D"/>
    <w:rsid w:val="00370A65"/>
    <w:rsid w:val="00382D68"/>
    <w:rsid w:val="00387467"/>
    <w:rsid w:val="00397F62"/>
    <w:rsid w:val="003A3B72"/>
    <w:rsid w:val="003A59A3"/>
    <w:rsid w:val="003B112A"/>
    <w:rsid w:val="003B2095"/>
    <w:rsid w:val="003C0B6A"/>
    <w:rsid w:val="003C0D47"/>
    <w:rsid w:val="003C5EEC"/>
    <w:rsid w:val="003D0CE8"/>
    <w:rsid w:val="003D1C0A"/>
    <w:rsid w:val="003E0B49"/>
    <w:rsid w:val="003E23A6"/>
    <w:rsid w:val="003E62F0"/>
    <w:rsid w:val="003F3FAB"/>
    <w:rsid w:val="003F7AA7"/>
    <w:rsid w:val="004014CF"/>
    <w:rsid w:val="00403EED"/>
    <w:rsid w:val="0041504F"/>
    <w:rsid w:val="004226F7"/>
    <w:rsid w:val="00430092"/>
    <w:rsid w:val="00431A98"/>
    <w:rsid w:val="0044065E"/>
    <w:rsid w:val="004510F5"/>
    <w:rsid w:val="004739B9"/>
    <w:rsid w:val="004747E9"/>
    <w:rsid w:val="00475FDA"/>
    <w:rsid w:val="00485032"/>
    <w:rsid w:val="0049240A"/>
    <w:rsid w:val="004969CD"/>
    <w:rsid w:val="004A2715"/>
    <w:rsid w:val="004A389A"/>
    <w:rsid w:val="004A74DA"/>
    <w:rsid w:val="004B0C9D"/>
    <w:rsid w:val="004B4C87"/>
    <w:rsid w:val="004C6334"/>
    <w:rsid w:val="004D0E67"/>
    <w:rsid w:val="004D725D"/>
    <w:rsid w:val="004F4710"/>
    <w:rsid w:val="00506D0A"/>
    <w:rsid w:val="00510661"/>
    <w:rsid w:val="005146D9"/>
    <w:rsid w:val="005259E3"/>
    <w:rsid w:val="00542493"/>
    <w:rsid w:val="005458D2"/>
    <w:rsid w:val="00546715"/>
    <w:rsid w:val="005518E6"/>
    <w:rsid w:val="00552AB8"/>
    <w:rsid w:val="00554EA5"/>
    <w:rsid w:val="005613E0"/>
    <w:rsid w:val="00586F1B"/>
    <w:rsid w:val="00595D5D"/>
    <w:rsid w:val="00596409"/>
    <w:rsid w:val="005A1ED2"/>
    <w:rsid w:val="005A3759"/>
    <w:rsid w:val="005C522C"/>
    <w:rsid w:val="005C5904"/>
    <w:rsid w:val="005D06D8"/>
    <w:rsid w:val="005E0DA2"/>
    <w:rsid w:val="005E31B2"/>
    <w:rsid w:val="005F623A"/>
    <w:rsid w:val="00602B4F"/>
    <w:rsid w:val="00611CDC"/>
    <w:rsid w:val="0064312E"/>
    <w:rsid w:val="00657FAB"/>
    <w:rsid w:val="00671B12"/>
    <w:rsid w:val="00684C64"/>
    <w:rsid w:val="006908D0"/>
    <w:rsid w:val="006933E3"/>
    <w:rsid w:val="006A04A8"/>
    <w:rsid w:val="006A5F05"/>
    <w:rsid w:val="006C0845"/>
    <w:rsid w:val="006C2A5C"/>
    <w:rsid w:val="006C5571"/>
    <w:rsid w:val="006D6086"/>
    <w:rsid w:val="00712973"/>
    <w:rsid w:val="0072163A"/>
    <w:rsid w:val="0072255B"/>
    <w:rsid w:val="00724E98"/>
    <w:rsid w:val="00744914"/>
    <w:rsid w:val="00753A69"/>
    <w:rsid w:val="00760D28"/>
    <w:rsid w:val="007647D8"/>
    <w:rsid w:val="007700A2"/>
    <w:rsid w:val="00777D5D"/>
    <w:rsid w:val="007841A7"/>
    <w:rsid w:val="00790021"/>
    <w:rsid w:val="007A7C84"/>
    <w:rsid w:val="007C38AC"/>
    <w:rsid w:val="007D5122"/>
    <w:rsid w:val="007F4A62"/>
    <w:rsid w:val="007F519B"/>
    <w:rsid w:val="008032AD"/>
    <w:rsid w:val="00804D20"/>
    <w:rsid w:val="008211FB"/>
    <w:rsid w:val="008306BC"/>
    <w:rsid w:val="00833573"/>
    <w:rsid w:val="008376DA"/>
    <w:rsid w:val="00844496"/>
    <w:rsid w:val="0085271E"/>
    <w:rsid w:val="00853F39"/>
    <w:rsid w:val="00856CE9"/>
    <w:rsid w:val="00863B51"/>
    <w:rsid w:val="00892EB1"/>
    <w:rsid w:val="00892EDA"/>
    <w:rsid w:val="00896687"/>
    <w:rsid w:val="008A1A42"/>
    <w:rsid w:val="008A5782"/>
    <w:rsid w:val="008E3A98"/>
    <w:rsid w:val="008F09E4"/>
    <w:rsid w:val="00917612"/>
    <w:rsid w:val="0092155E"/>
    <w:rsid w:val="00944B01"/>
    <w:rsid w:val="00951E63"/>
    <w:rsid w:val="00952CF4"/>
    <w:rsid w:val="009A0BCA"/>
    <w:rsid w:val="009A0F0F"/>
    <w:rsid w:val="009A19FB"/>
    <w:rsid w:val="009B08BA"/>
    <w:rsid w:val="009C1029"/>
    <w:rsid w:val="009C5A2E"/>
    <w:rsid w:val="009D7A58"/>
    <w:rsid w:val="009E2963"/>
    <w:rsid w:val="009E7D0C"/>
    <w:rsid w:val="009F1396"/>
    <w:rsid w:val="009F19E9"/>
    <w:rsid w:val="00A10A48"/>
    <w:rsid w:val="00A211FF"/>
    <w:rsid w:val="00A24419"/>
    <w:rsid w:val="00A3683F"/>
    <w:rsid w:val="00A50D79"/>
    <w:rsid w:val="00A52E46"/>
    <w:rsid w:val="00A741D7"/>
    <w:rsid w:val="00A757EA"/>
    <w:rsid w:val="00A860E1"/>
    <w:rsid w:val="00A940FC"/>
    <w:rsid w:val="00A95759"/>
    <w:rsid w:val="00A95ED2"/>
    <w:rsid w:val="00AA1E5E"/>
    <w:rsid w:val="00AB7375"/>
    <w:rsid w:val="00AC1065"/>
    <w:rsid w:val="00AD4EC4"/>
    <w:rsid w:val="00AD5C08"/>
    <w:rsid w:val="00AE066A"/>
    <w:rsid w:val="00AE2B0D"/>
    <w:rsid w:val="00AE5B1E"/>
    <w:rsid w:val="00AF20C6"/>
    <w:rsid w:val="00AF714C"/>
    <w:rsid w:val="00B03664"/>
    <w:rsid w:val="00B12A46"/>
    <w:rsid w:val="00B275FE"/>
    <w:rsid w:val="00B309DD"/>
    <w:rsid w:val="00B3738B"/>
    <w:rsid w:val="00B54B6A"/>
    <w:rsid w:val="00B605F1"/>
    <w:rsid w:val="00B6159B"/>
    <w:rsid w:val="00B63C3A"/>
    <w:rsid w:val="00B647EC"/>
    <w:rsid w:val="00B751F4"/>
    <w:rsid w:val="00B76634"/>
    <w:rsid w:val="00B87A46"/>
    <w:rsid w:val="00B96D66"/>
    <w:rsid w:val="00BA1425"/>
    <w:rsid w:val="00BB3C99"/>
    <w:rsid w:val="00BE0A26"/>
    <w:rsid w:val="00BE0B1C"/>
    <w:rsid w:val="00BE7A6C"/>
    <w:rsid w:val="00C06D70"/>
    <w:rsid w:val="00C07FFA"/>
    <w:rsid w:val="00C1367E"/>
    <w:rsid w:val="00C27542"/>
    <w:rsid w:val="00C27707"/>
    <w:rsid w:val="00C331F1"/>
    <w:rsid w:val="00C35911"/>
    <w:rsid w:val="00C36CD7"/>
    <w:rsid w:val="00C417FF"/>
    <w:rsid w:val="00C428A2"/>
    <w:rsid w:val="00C435EA"/>
    <w:rsid w:val="00C53067"/>
    <w:rsid w:val="00C55886"/>
    <w:rsid w:val="00C61440"/>
    <w:rsid w:val="00C62E0E"/>
    <w:rsid w:val="00C6716C"/>
    <w:rsid w:val="00C77BE4"/>
    <w:rsid w:val="00C83927"/>
    <w:rsid w:val="00C8662A"/>
    <w:rsid w:val="00C931DE"/>
    <w:rsid w:val="00CA3A92"/>
    <w:rsid w:val="00CB15E0"/>
    <w:rsid w:val="00CB7B19"/>
    <w:rsid w:val="00CC43E9"/>
    <w:rsid w:val="00CE2C7E"/>
    <w:rsid w:val="00CE7E1B"/>
    <w:rsid w:val="00CF15BC"/>
    <w:rsid w:val="00D03DBC"/>
    <w:rsid w:val="00D159FE"/>
    <w:rsid w:val="00D20259"/>
    <w:rsid w:val="00D233B3"/>
    <w:rsid w:val="00D34FD8"/>
    <w:rsid w:val="00D3542C"/>
    <w:rsid w:val="00D43B12"/>
    <w:rsid w:val="00D50F59"/>
    <w:rsid w:val="00D52266"/>
    <w:rsid w:val="00D532BA"/>
    <w:rsid w:val="00D5362B"/>
    <w:rsid w:val="00D80FE0"/>
    <w:rsid w:val="00D8360D"/>
    <w:rsid w:val="00D864E7"/>
    <w:rsid w:val="00D92724"/>
    <w:rsid w:val="00D95B4F"/>
    <w:rsid w:val="00DA187E"/>
    <w:rsid w:val="00DB0944"/>
    <w:rsid w:val="00DB33EB"/>
    <w:rsid w:val="00DB78FB"/>
    <w:rsid w:val="00DC42E8"/>
    <w:rsid w:val="00DC6904"/>
    <w:rsid w:val="00DC709C"/>
    <w:rsid w:val="00DD3836"/>
    <w:rsid w:val="00DE140E"/>
    <w:rsid w:val="00DF5066"/>
    <w:rsid w:val="00DF6B6D"/>
    <w:rsid w:val="00E050EA"/>
    <w:rsid w:val="00E3038C"/>
    <w:rsid w:val="00E30CB5"/>
    <w:rsid w:val="00E514DA"/>
    <w:rsid w:val="00E53A83"/>
    <w:rsid w:val="00E54424"/>
    <w:rsid w:val="00E64496"/>
    <w:rsid w:val="00E73463"/>
    <w:rsid w:val="00E828CE"/>
    <w:rsid w:val="00E836ED"/>
    <w:rsid w:val="00E879CA"/>
    <w:rsid w:val="00E926F6"/>
    <w:rsid w:val="00E93D12"/>
    <w:rsid w:val="00E94948"/>
    <w:rsid w:val="00E962B9"/>
    <w:rsid w:val="00E97A79"/>
    <w:rsid w:val="00EA44FD"/>
    <w:rsid w:val="00EA5659"/>
    <w:rsid w:val="00EB2020"/>
    <w:rsid w:val="00EB2BC3"/>
    <w:rsid w:val="00EB41A8"/>
    <w:rsid w:val="00EB61E5"/>
    <w:rsid w:val="00EC0C2D"/>
    <w:rsid w:val="00EC2ED7"/>
    <w:rsid w:val="00EE2364"/>
    <w:rsid w:val="00EF18DF"/>
    <w:rsid w:val="00F102AF"/>
    <w:rsid w:val="00F11B7D"/>
    <w:rsid w:val="00F13A4C"/>
    <w:rsid w:val="00F14DC6"/>
    <w:rsid w:val="00F2441D"/>
    <w:rsid w:val="00F260CF"/>
    <w:rsid w:val="00F330C4"/>
    <w:rsid w:val="00F37DB6"/>
    <w:rsid w:val="00F50DD3"/>
    <w:rsid w:val="00F5229B"/>
    <w:rsid w:val="00F5313E"/>
    <w:rsid w:val="00FA69D5"/>
    <w:rsid w:val="00FA7E5D"/>
    <w:rsid w:val="00FB07B8"/>
    <w:rsid w:val="00FC009C"/>
    <w:rsid w:val="00FC3B47"/>
    <w:rsid w:val="00FD3DAC"/>
    <w:rsid w:val="00FD614B"/>
    <w:rsid w:val="00FE68A4"/>
    <w:rsid w:val="00FF0E21"/>
    <w:rsid w:val="00FF75B6"/>
    <w:rsid w:val="017352C6"/>
    <w:rsid w:val="10BE0A0A"/>
    <w:rsid w:val="235A4302"/>
    <w:rsid w:val="3C991E93"/>
    <w:rsid w:val="3FBE4951"/>
    <w:rsid w:val="6FFEA205"/>
    <w:rsid w:val="E7FBB2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styleId="4">
    <w:name w:val="heading 1"/>
    <w:basedOn w:val="1"/>
    <w:next w:val="1"/>
    <w:link w:val="34"/>
    <w:qFormat/>
    <w:uiPriority w:val="0"/>
    <w:pPr>
      <w:keepNext/>
      <w:keepLines/>
      <w:spacing w:before="340" w:after="330" w:line="578" w:lineRule="auto"/>
      <w:outlineLvl w:val="0"/>
    </w:pPr>
    <w:rPr>
      <w:rFonts w:ascii="Times New Roman" w:hAnsi="Times New Roman" w:eastAsia="宋体" w:cs="Times New Roman"/>
      <w:b/>
      <w:bCs/>
      <w:kern w:val="44"/>
      <w:sz w:val="44"/>
      <w:szCs w:val="44"/>
      <w:lang w:val="zh-CN" w:eastAsia="zh-CN"/>
      <w14:ligatures w14:val="none"/>
    </w:rPr>
  </w:style>
  <w:style w:type="paragraph" w:styleId="5">
    <w:name w:val="heading 2"/>
    <w:basedOn w:val="1"/>
    <w:next w:val="1"/>
    <w:link w:val="35"/>
    <w:qFormat/>
    <w:uiPriority w:val="0"/>
    <w:pPr>
      <w:keepNext/>
      <w:keepLines/>
      <w:spacing w:before="260" w:after="260" w:line="416" w:lineRule="auto"/>
      <w:outlineLvl w:val="1"/>
    </w:pPr>
    <w:rPr>
      <w:rFonts w:ascii="Arial" w:hAnsi="Arial" w:eastAsia="黑体" w:cs="Times New Roman"/>
      <w:b/>
      <w:bCs/>
      <w:sz w:val="32"/>
      <w:szCs w:val="32"/>
      <w:lang w:val="zh-CN" w:eastAsia="zh-CN"/>
      <w14:ligatures w14:val="none"/>
    </w:rPr>
  </w:style>
  <w:style w:type="paragraph" w:styleId="6">
    <w:name w:val="heading 3"/>
    <w:basedOn w:val="1"/>
    <w:next w:val="1"/>
    <w:link w:val="36"/>
    <w:qFormat/>
    <w:uiPriority w:val="9"/>
    <w:pPr>
      <w:keepNext/>
      <w:keepLines/>
      <w:spacing w:before="260" w:after="260" w:line="416" w:lineRule="auto"/>
      <w:outlineLvl w:val="2"/>
    </w:pPr>
    <w:rPr>
      <w:rFonts w:ascii="Calibri" w:hAnsi="Calibri" w:eastAsia="宋体" w:cs="Times New Roman"/>
      <w:b/>
      <w:bCs/>
      <w:sz w:val="32"/>
      <w:szCs w:val="32"/>
      <w:lang w:val="zh-CN" w:eastAsia="zh-CN"/>
      <w14:ligatures w14:val="none"/>
    </w:rPr>
  </w:style>
  <w:style w:type="paragraph" w:styleId="7">
    <w:name w:val="heading 4"/>
    <w:basedOn w:val="1"/>
    <w:next w:val="1"/>
    <w:link w:val="37"/>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14:ligatures w14:val="none"/>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2">
    <w:name w:val="Body Text First Indent"/>
    <w:basedOn w:val="3"/>
    <w:unhideWhenUsed/>
    <w:qFormat/>
    <w:uiPriority w:val="99"/>
    <w:pPr>
      <w:ind w:firstLine="420" w:firstLineChars="100"/>
    </w:pPr>
    <w:rPr>
      <w:kern w:val="0"/>
      <w:sz w:val="20"/>
      <w:szCs w:val="20"/>
    </w:rPr>
  </w:style>
  <w:style w:type="paragraph" w:styleId="3">
    <w:name w:val="Body Text"/>
    <w:basedOn w:val="1"/>
    <w:next w:val="1"/>
    <w:link w:val="48"/>
    <w:qFormat/>
    <w:uiPriority w:val="0"/>
    <w:pPr>
      <w:spacing w:line="440" w:lineRule="exact"/>
    </w:pPr>
    <w:rPr>
      <w:rFonts w:ascii="黑体" w:hAnsi="宋体" w:eastAsia="黑体" w:cs="Times New Roman"/>
      <w:color w:val="000000"/>
      <w:sz w:val="24"/>
      <w:szCs w:val="24"/>
      <w:lang w:val="zh-CN" w:eastAsia="zh-CN"/>
      <w14:ligatures w14:val="none"/>
    </w:rPr>
  </w:style>
  <w:style w:type="paragraph" w:styleId="8">
    <w:name w:val="Normal Indent"/>
    <w:basedOn w:val="1"/>
    <w:qFormat/>
    <w:uiPriority w:val="0"/>
    <w:pPr>
      <w:ind w:firstLine="420"/>
    </w:pPr>
    <w:rPr>
      <w:rFonts w:ascii="Times New Roman" w:hAnsi="Times New Roman" w:eastAsia="仿宋_GB2312" w:cs="Times New Roman"/>
      <w:sz w:val="28"/>
      <w:szCs w:val="20"/>
      <w14:ligatures w14:val="none"/>
    </w:rPr>
  </w:style>
  <w:style w:type="paragraph" w:styleId="9">
    <w:name w:val="Document Map"/>
    <w:basedOn w:val="1"/>
    <w:link w:val="53"/>
    <w:semiHidden/>
    <w:qFormat/>
    <w:uiPriority w:val="0"/>
    <w:pPr>
      <w:shd w:val="clear" w:color="auto" w:fill="000080"/>
    </w:pPr>
    <w:rPr>
      <w:rFonts w:ascii="Calibri" w:hAnsi="Calibri" w:eastAsia="宋体" w:cs="Times New Roman"/>
      <w14:ligatures w14:val="none"/>
    </w:rPr>
  </w:style>
  <w:style w:type="paragraph" w:styleId="10">
    <w:name w:val="annotation text"/>
    <w:basedOn w:val="1"/>
    <w:link w:val="54"/>
    <w:semiHidden/>
    <w:qFormat/>
    <w:uiPriority w:val="0"/>
    <w:pPr>
      <w:jc w:val="left"/>
    </w:pPr>
    <w:rPr>
      <w:rFonts w:ascii="Calibri" w:hAnsi="Calibri" w:eastAsia="宋体" w:cs="Times New Roman"/>
      <w14:ligatures w14:val="none"/>
    </w:rPr>
  </w:style>
  <w:style w:type="paragraph" w:styleId="11">
    <w:name w:val="Body Text Indent"/>
    <w:basedOn w:val="1"/>
    <w:link w:val="43"/>
    <w:unhideWhenUsed/>
    <w:qFormat/>
    <w:uiPriority w:val="99"/>
    <w:pPr>
      <w:spacing w:after="120"/>
      <w:ind w:left="420" w:leftChars="200"/>
    </w:pPr>
    <w:rPr>
      <w:rFonts w:ascii="Calibri" w:hAnsi="Calibri" w:eastAsia="宋体" w:cs="Times New Roman"/>
      <w:lang w:val="zh-CN" w:eastAsia="zh-CN"/>
      <w14:ligatures w14:val="none"/>
    </w:rPr>
  </w:style>
  <w:style w:type="paragraph" w:styleId="12">
    <w:name w:val="toc 3"/>
    <w:basedOn w:val="1"/>
    <w:next w:val="1"/>
    <w:unhideWhenUsed/>
    <w:qFormat/>
    <w:uiPriority w:val="39"/>
    <w:pPr>
      <w:ind w:left="840" w:leftChars="400"/>
    </w:pPr>
    <w:rPr>
      <w:rFonts w:ascii="Calibri" w:hAnsi="Calibri" w:eastAsia="宋体" w:cs="Times New Roman"/>
      <w14:ligatures w14:val="none"/>
    </w:rPr>
  </w:style>
  <w:style w:type="paragraph" w:styleId="13">
    <w:name w:val="Plain Text"/>
    <w:basedOn w:val="1"/>
    <w:link w:val="38"/>
    <w:qFormat/>
    <w:uiPriority w:val="0"/>
    <w:pPr>
      <w:ind w:firstLine="200" w:firstLineChars="200"/>
    </w:pPr>
    <w:rPr>
      <w:rFonts w:ascii="宋体" w:hAnsi="Courier New" w:eastAsia="宋体" w:cs="Times New Roman"/>
      <w:bCs/>
      <w:kern w:val="0"/>
      <w:sz w:val="32"/>
      <w:szCs w:val="21"/>
      <w:lang w:val="zh-CN" w:eastAsia="zh-CN"/>
      <w14:ligatures w14:val="none"/>
    </w:rPr>
  </w:style>
  <w:style w:type="paragraph" w:styleId="14">
    <w:name w:val="Date"/>
    <w:basedOn w:val="1"/>
    <w:next w:val="1"/>
    <w:link w:val="148"/>
    <w:semiHidden/>
    <w:unhideWhenUsed/>
    <w:qFormat/>
    <w:uiPriority w:val="99"/>
    <w:pPr>
      <w:ind w:left="100" w:leftChars="2500"/>
    </w:pPr>
    <w:rPr>
      <w14:ligatures w14:val="none"/>
    </w:rPr>
  </w:style>
  <w:style w:type="paragraph" w:styleId="15">
    <w:name w:val="Body Text Indent 2"/>
    <w:basedOn w:val="1"/>
    <w:link w:val="39"/>
    <w:qFormat/>
    <w:uiPriority w:val="0"/>
    <w:pPr>
      <w:spacing w:after="120" w:line="480" w:lineRule="auto"/>
      <w:ind w:left="420" w:leftChars="200"/>
    </w:pPr>
    <w:rPr>
      <w:rFonts w:ascii="宋体" w:hAnsi="宋体" w:eastAsia="宋体" w:cs="Times New Roman"/>
      <w:bCs/>
      <w:kern w:val="0"/>
      <w:sz w:val="20"/>
      <w:szCs w:val="20"/>
      <w:lang w:val="zh-CN" w:eastAsia="zh-CN"/>
      <w14:ligatures w14:val="none"/>
    </w:rPr>
  </w:style>
  <w:style w:type="paragraph" w:styleId="16">
    <w:name w:val="Balloon Text"/>
    <w:basedOn w:val="1"/>
    <w:link w:val="42"/>
    <w:semiHidden/>
    <w:unhideWhenUsed/>
    <w:qFormat/>
    <w:uiPriority w:val="99"/>
    <w:rPr>
      <w:rFonts w:ascii="Calibri" w:hAnsi="Calibri" w:eastAsia="宋体" w:cs="Times New Roman"/>
      <w:kern w:val="0"/>
      <w:sz w:val="18"/>
      <w:szCs w:val="18"/>
      <w:lang w:val="zh-CN" w:eastAsia="zh-CN"/>
      <w14:ligatures w14:val="none"/>
    </w:rPr>
  </w:style>
  <w:style w:type="paragraph" w:styleId="17">
    <w:name w:val="footer"/>
    <w:basedOn w:val="1"/>
    <w:link w:val="33"/>
    <w:unhideWhenUsed/>
    <w:qFormat/>
    <w:uiPriority w:val="99"/>
    <w:pPr>
      <w:tabs>
        <w:tab w:val="center" w:pos="4153"/>
        <w:tab w:val="right" w:pos="8306"/>
      </w:tabs>
      <w:snapToGrid w:val="0"/>
      <w:jc w:val="left"/>
    </w:pPr>
    <w:rPr>
      <w:sz w:val="18"/>
      <w:szCs w:val="18"/>
    </w:rPr>
  </w:style>
  <w:style w:type="paragraph" w:styleId="18">
    <w:name w:val="header"/>
    <w:basedOn w:val="1"/>
    <w:link w:val="32"/>
    <w:unhideWhenUsed/>
    <w:qFormat/>
    <w:uiPriority w:val="99"/>
    <w:pPr>
      <w:pBdr>
        <w:bottom w:val="single" w:color="auto" w:sz="6" w:space="1"/>
      </w:pBdr>
      <w:tabs>
        <w:tab w:val="center" w:pos="4153"/>
        <w:tab w:val="right" w:pos="8306"/>
      </w:tabs>
      <w:snapToGrid w:val="0"/>
      <w:jc w:val="center"/>
    </w:pPr>
    <w:rPr>
      <w:sz w:val="18"/>
      <w:szCs w:val="18"/>
    </w:rPr>
  </w:style>
  <w:style w:type="paragraph" w:styleId="19">
    <w:name w:val="toc 1"/>
    <w:basedOn w:val="1"/>
    <w:next w:val="1"/>
    <w:unhideWhenUsed/>
    <w:qFormat/>
    <w:uiPriority w:val="39"/>
    <w:pPr>
      <w:tabs>
        <w:tab w:val="right" w:leader="dot" w:pos="8296"/>
      </w:tabs>
      <w:spacing w:line="560" w:lineRule="exact"/>
    </w:pPr>
    <w:rPr>
      <w:rFonts w:ascii="Times New Roman" w:hAnsi="Times New Roman" w:eastAsia="宋体" w:cs="Times New Roman"/>
      <w:b/>
      <w:bCs/>
      <w:sz w:val="24"/>
      <w:szCs w:val="24"/>
      <w14:ligatures w14:val="none"/>
    </w:rPr>
  </w:style>
  <w:style w:type="paragraph" w:styleId="20">
    <w:name w:val="Body Text Indent 3"/>
    <w:basedOn w:val="1"/>
    <w:link w:val="40"/>
    <w:qFormat/>
    <w:uiPriority w:val="0"/>
    <w:pPr>
      <w:spacing w:after="120"/>
      <w:ind w:left="420" w:leftChars="200"/>
    </w:pPr>
    <w:rPr>
      <w:rFonts w:ascii="宋体" w:hAnsi="宋体" w:eastAsia="宋体" w:cs="Times New Roman"/>
      <w:bCs/>
      <w:kern w:val="0"/>
      <w:sz w:val="16"/>
      <w:szCs w:val="16"/>
      <w:lang w:val="zh-CN" w:eastAsia="zh-CN"/>
      <w14:ligatures w14:val="none"/>
    </w:rPr>
  </w:style>
  <w:style w:type="paragraph" w:styleId="21">
    <w:name w:val="toc 2"/>
    <w:basedOn w:val="1"/>
    <w:next w:val="1"/>
    <w:unhideWhenUsed/>
    <w:qFormat/>
    <w:uiPriority w:val="39"/>
    <w:pPr>
      <w:widowControl/>
      <w:spacing w:after="100" w:line="259" w:lineRule="auto"/>
      <w:ind w:left="220"/>
      <w:jc w:val="left"/>
    </w:pPr>
    <w:rPr>
      <w:rFonts w:cs="Times New Roman"/>
      <w:kern w:val="0"/>
      <w:sz w:val="22"/>
      <w14:ligatures w14:val="none"/>
    </w:rPr>
  </w:style>
  <w:style w:type="paragraph" w:styleId="22">
    <w:name w:val="annotation subject"/>
    <w:basedOn w:val="10"/>
    <w:next w:val="10"/>
    <w:link w:val="55"/>
    <w:semiHidden/>
    <w:qFormat/>
    <w:uiPriority w:val="0"/>
    <w:rPr>
      <w:b/>
      <w:bCs/>
    </w:rPr>
  </w:style>
  <w:style w:type="table" w:styleId="24">
    <w:name w:val="Table Grid"/>
    <w:basedOn w:val="23"/>
    <w:qFormat/>
    <w:uiPriority w:val="39"/>
    <w:pPr>
      <w:widowControl w:val="0"/>
      <w:jc w:val="both"/>
    </w:pPr>
    <w:rPr>
      <w:rFonts w:ascii="Times New Roman" w:hAnsi="Times New Roman" w:eastAsia="宋体" w:cs="Times New Roman"/>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22"/>
    <w:rPr>
      <w:b/>
      <w:bCs/>
    </w:rPr>
  </w:style>
  <w:style w:type="character" w:styleId="27">
    <w:name w:val="page number"/>
    <w:basedOn w:val="25"/>
    <w:qFormat/>
    <w:uiPriority w:val="0"/>
  </w:style>
  <w:style w:type="character" w:styleId="28">
    <w:name w:val="FollowedHyperlink"/>
    <w:semiHidden/>
    <w:unhideWhenUsed/>
    <w:qFormat/>
    <w:uiPriority w:val="99"/>
    <w:rPr>
      <w:color w:val="800080"/>
      <w:u w:val="single"/>
    </w:rPr>
  </w:style>
  <w:style w:type="character" w:styleId="29">
    <w:name w:val="Emphasis"/>
    <w:basedOn w:val="25"/>
    <w:qFormat/>
    <w:uiPriority w:val="20"/>
    <w:rPr>
      <w:i/>
      <w:iCs/>
    </w:rPr>
  </w:style>
  <w:style w:type="character" w:styleId="30">
    <w:name w:val="Hyperlink"/>
    <w:unhideWhenUsed/>
    <w:qFormat/>
    <w:uiPriority w:val="99"/>
    <w:rPr>
      <w:color w:val="0000FF"/>
      <w:u w:val="single"/>
    </w:rPr>
  </w:style>
  <w:style w:type="character" w:styleId="31">
    <w:name w:val="annotation reference"/>
    <w:semiHidden/>
    <w:qFormat/>
    <w:uiPriority w:val="0"/>
    <w:rPr>
      <w:sz w:val="21"/>
      <w:szCs w:val="21"/>
    </w:rPr>
  </w:style>
  <w:style w:type="character" w:customStyle="1" w:styleId="32">
    <w:name w:val="页眉 字符"/>
    <w:basedOn w:val="25"/>
    <w:link w:val="18"/>
    <w:qFormat/>
    <w:uiPriority w:val="99"/>
    <w:rPr>
      <w:sz w:val="18"/>
      <w:szCs w:val="18"/>
    </w:rPr>
  </w:style>
  <w:style w:type="character" w:customStyle="1" w:styleId="33">
    <w:name w:val="页脚 字符"/>
    <w:basedOn w:val="25"/>
    <w:link w:val="17"/>
    <w:qFormat/>
    <w:uiPriority w:val="99"/>
    <w:rPr>
      <w:sz w:val="18"/>
      <w:szCs w:val="18"/>
    </w:rPr>
  </w:style>
  <w:style w:type="character" w:customStyle="1" w:styleId="34">
    <w:name w:val="标题 1 字符"/>
    <w:basedOn w:val="25"/>
    <w:link w:val="4"/>
    <w:qFormat/>
    <w:uiPriority w:val="0"/>
    <w:rPr>
      <w:rFonts w:ascii="Times New Roman" w:hAnsi="Times New Roman" w:eastAsia="宋体" w:cs="Times New Roman"/>
      <w:b/>
      <w:bCs/>
      <w:kern w:val="44"/>
      <w:sz w:val="44"/>
      <w:szCs w:val="44"/>
      <w:lang w:val="zh-CN" w:eastAsia="zh-CN"/>
      <w14:ligatures w14:val="none"/>
    </w:rPr>
  </w:style>
  <w:style w:type="character" w:customStyle="1" w:styleId="35">
    <w:name w:val="标题 2 字符"/>
    <w:basedOn w:val="25"/>
    <w:link w:val="5"/>
    <w:qFormat/>
    <w:uiPriority w:val="0"/>
    <w:rPr>
      <w:rFonts w:ascii="Arial" w:hAnsi="Arial" w:eastAsia="黑体" w:cs="Times New Roman"/>
      <w:b/>
      <w:bCs/>
      <w:sz w:val="32"/>
      <w:szCs w:val="32"/>
      <w:lang w:val="zh-CN" w:eastAsia="zh-CN"/>
      <w14:ligatures w14:val="none"/>
    </w:rPr>
  </w:style>
  <w:style w:type="character" w:customStyle="1" w:styleId="36">
    <w:name w:val="标题 3 字符"/>
    <w:basedOn w:val="25"/>
    <w:link w:val="6"/>
    <w:qFormat/>
    <w:uiPriority w:val="9"/>
    <w:rPr>
      <w:rFonts w:ascii="Calibri" w:hAnsi="Calibri" w:eastAsia="宋体" w:cs="Times New Roman"/>
      <w:b/>
      <w:bCs/>
      <w:sz w:val="32"/>
      <w:szCs w:val="32"/>
      <w:lang w:val="zh-CN" w:eastAsia="zh-CN"/>
      <w14:ligatures w14:val="none"/>
    </w:rPr>
  </w:style>
  <w:style w:type="character" w:customStyle="1" w:styleId="37">
    <w:name w:val="标题 4 字符"/>
    <w:basedOn w:val="25"/>
    <w:link w:val="7"/>
    <w:qFormat/>
    <w:uiPriority w:val="9"/>
    <w:rPr>
      <w:rFonts w:asciiTheme="majorHAnsi" w:hAnsiTheme="majorHAnsi" w:eastAsiaTheme="majorEastAsia" w:cstheme="majorBidi"/>
      <w:b/>
      <w:bCs/>
      <w:sz w:val="28"/>
      <w:szCs w:val="28"/>
      <w14:ligatures w14:val="none"/>
    </w:rPr>
  </w:style>
  <w:style w:type="character" w:customStyle="1" w:styleId="38">
    <w:name w:val="纯文本 字符"/>
    <w:basedOn w:val="25"/>
    <w:link w:val="13"/>
    <w:qFormat/>
    <w:uiPriority w:val="0"/>
    <w:rPr>
      <w:rFonts w:ascii="宋体" w:hAnsi="Courier New" w:eastAsia="宋体" w:cs="Times New Roman"/>
      <w:bCs/>
      <w:kern w:val="0"/>
      <w:sz w:val="32"/>
      <w:szCs w:val="21"/>
      <w:lang w:val="zh-CN" w:eastAsia="zh-CN"/>
      <w14:ligatures w14:val="none"/>
    </w:rPr>
  </w:style>
  <w:style w:type="character" w:customStyle="1" w:styleId="39">
    <w:name w:val="正文文本缩进 2 字符"/>
    <w:basedOn w:val="25"/>
    <w:link w:val="15"/>
    <w:qFormat/>
    <w:uiPriority w:val="0"/>
    <w:rPr>
      <w:rFonts w:ascii="宋体" w:hAnsi="宋体" w:eastAsia="宋体" w:cs="Times New Roman"/>
      <w:bCs/>
      <w:kern w:val="0"/>
      <w:sz w:val="20"/>
      <w:szCs w:val="20"/>
      <w:lang w:val="zh-CN" w:eastAsia="zh-CN"/>
      <w14:ligatures w14:val="none"/>
    </w:rPr>
  </w:style>
  <w:style w:type="character" w:customStyle="1" w:styleId="40">
    <w:name w:val="正文文本缩进 3 字符"/>
    <w:basedOn w:val="25"/>
    <w:link w:val="20"/>
    <w:qFormat/>
    <w:uiPriority w:val="0"/>
    <w:rPr>
      <w:rFonts w:ascii="宋体" w:hAnsi="宋体" w:eastAsia="宋体" w:cs="Times New Roman"/>
      <w:bCs/>
      <w:kern w:val="0"/>
      <w:sz w:val="16"/>
      <w:szCs w:val="16"/>
      <w:lang w:val="zh-CN" w:eastAsia="zh-CN"/>
      <w14:ligatures w14:val="none"/>
    </w:rPr>
  </w:style>
  <w:style w:type="character" w:customStyle="1" w:styleId="41">
    <w:name w:val="style71"/>
    <w:qFormat/>
    <w:uiPriority w:val="0"/>
    <w:rPr>
      <w:sz w:val="21"/>
      <w:szCs w:val="21"/>
    </w:rPr>
  </w:style>
  <w:style w:type="character" w:customStyle="1" w:styleId="42">
    <w:name w:val="批注框文本 字符"/>
    <w:basedOn w:val="25"/>
    <w:link w:val="16"/>
    <w:semiHidden/>
    <w:qFormat/>
    <w:uiPriority w:val="99"/>
    <w:rPr>
      <w:rFonts w:ascii="Calibri" w:hAnsi="Calibri" w:eastAsia="宋体" w:cs="Times New Roman"/>
      <w:kern w:val="0"/>
      <w:sz w:val="18"/>
      <w:szCs w:val="18"/>
      <w:lang w:val="zh-CN" w:eastAsia="zh-CN"/>
      <w14:ligatures w14:val="none"/>
    </w:rPr>
  </w:style>
  <w:style w:type="character" w:customStyle="1" w:styleId="43">
    <w:name w:val="正文文本缩进 字符"/>
    <w:basedOn w:val="25"/>
    <w:link w:val="11"/>
    <w:qFormat/>
    <w:uiPriority w:val="99"/>
    <w:rPr>
      <w:rFonts w:ascii="Calibri" w:hAnsi="Calibri" w:eastAsia="宋体" w:cs="Times New Roman"/>
      <w:lang w:val="zh-CN" w:eastAsia="zh-CN"/>
      <w14:ligatures w14:val="none"/>
    </w:rPr>
  </w:style>
  <w:style w:type="paragraph" w:customStyle="1" w:styleId="44">
    <w:name w:val="font5"/>
    <w:basedOn w:val="1"/>
    <w:qFormat/>
    <w:uiPriority w:val="0"/>
    <w:pPr>
      <w:widowControl/>
      <w:spacing w:before="100" w:beforeAutospacing="1" w:after="100" w:afterAutospacing="1"/>
      <w:jc w:val="left"/>
    </w:pPr>
    <w:rPr>
      <w:rFonts w:hint="eastAsia" w:ascii="宋体" w:hAnsi="宋体" w:eastAsia="宋体" w:cs="Times New Roman"/>
      <w:kern w:val="0"/>
      <w:sz w:val="18"/>
      <w:szCs w:val="18"/>
      <w14:ligatures w14:val="none"/>
    </w:rPr>
  </w:style>
  <w:style w:type="paragraph" w:customStyle="1" w:styleId="45">
    <w:name w:val="xl24"/>
    <w:basedOn w:val="1"/>
    <w:qFormat/>
    <w:uiPriority w:val="0"/>
    <w:pPr>
      <w:widowControl/>
      <w:spacing w:before="100" w:beforeAutospacing="1" w:after="100" w:afterAutospacing="1"/>
      <w:jc w:val="center"/>
    </w:pPr>
    <w:rPr>
      <w:rFonts w:ascii="宋体" w:hAnsi="宋体" w:eastAsia="宋体" w:cs="Times New Roman"/>
      <w:color w:val="000000"/>
      <w:kern w:val="0"/>
      <w:sz w:val="24"/>
      <w:szCs w:val="24"/>
      <w14:ligatures w14:val="none"/>
    </w:rPr>
  </w:style>
  <w:style w:type="paragraph" w:customStyle="1" w:styleId="46">
    <w:name w:val="xl25"/>
    <w:basedOn w:val="1"/>
    <w:qFormat/>
    <w:uiPriority w:val="0"/>
    <w:pPr>
      <w:widowControl/>
      <w:spacing w:before="100" w:beforeAutospacing="1" w:after="100" w:afterAutospacing="1"/>
      <w:jc w:val="center"/>
    </w:pPr>
    <w:rPr>
      <w:rFonts w:ascii="宋体" w:hAnsi="宋体" w:eastAsia="宋体" w:cs="Times New Roman"/>
      <w:color w:val="000000"/>
      <w:kern w:val="0"/>
      <w:sz w:val="24"/>
      <w:szCs w:val="24"/>
      <w14:ligatures w14:val="none"/>
    </w:rPr>
  </w:style>
  <w:style w:type="paragraph" w:customStyle="1" w:styleId="47">
    <w:name w:val="xl26"/>
    <w:basedOn w:val="1"/>
    <w:qFormat/>
    <w:uiPriority w:val="0"/>
    <w:pPr>
      <w:widowControl/>
      <w:spacing w:before="100" w:beforeAutospacing="1" w:after="100" w:afterAutospacing="1"/>
      <w:jc w:val="center"/>
    </w:pPr>
    <w:rPr>
      <w:rFonts w:ascii="宋体" w:hAnsi="宋体" w:eastAsia="宋体" w:cs="Times New Roman"/>
      <w:color w:val="000000"/>
      <w:kern w:val="0"/>
      <w:sz w:val="24"/>
      <w:szCs w:val="24"/>
      <w14:ligatures w14:val="none"/>
    </w:rPr>
  </w:style>
  <w:style w:type="character" w:customStyle="1" w:styleId="48">
    <w:name w:val="正文文本 字符"/>
    <w:basedOn w:val="25"/>
    <w:link w:val="3"/>
    <w:qFormat/>
    <w:uiPriority w:val="0"/>
    <w:rPr>
      <w:rFonts w:ascii="黑体" w:hAnsi="宋体" w:eastAsia="黑体" w:cs="Times New Roman"/>
      <w:color w:val="000000"/>
      <w:sz w:val="24"/>
      <w:szCs w:val="24"/>
      <w:lang w:val="zh-CN" w:eastAsia="zh-CN"/>
      <w14:ligatures w14:val="none"/>
    </w:rPr>
  </w:style>
  <w:style w:type="paragraph" w:customStyle="1" w:styleId="49">
    <w:name w:val="TOC Heading"/>
    <w:basedOn w:val="4"/>
    <w:next w:val="1"/>
    <w:qFormat/>
    <w:uiPriority w:val="39"/>
    <w:pPr>
      <w:widowControl/>
      <w:spacing w:before="480" w:after="0" w:line="276" w:lineRule="auto"/>
      <w:jc w:val="left"/>
      <w:outlineLvl w:val="9"/>
    </w:pPr>
    <w:rPr>
      <w:rFonts w:ascii="Cambria" w:hAnsi="Cambria"/>
      <w:color w:val="365F91"/>
      <w:kern w:val="0"/>
      <w:sz w:val="28"/>
      <w:szCs w:val="28"/>
    </w:rPr>
  </w:style>
  <w:style w:type="paragraph" w:customStyle="1" w:styleId="50">
    <w:name w:val="目录 11"/>
    <w:basedOn w:val="1"/>
    <w:next w:val="1"/>
    <w:unhideWhenUsed/>
    <w:qFormat/>
    <w:uiPriority w:val="39"/>
    <w:rPr>
      <w:rFonts w:ascii="Calibri" w:hAnsi="Calibri" w:eastAsia="宋体" w:cs="Times New Roman"/>
      <w14:ligatures w14:val="none"/>
    </w:rPr>
  </w:style>
  <w:style w:type="paragraph" w:customStyle="1" w:styleId="51">
    <w:name w:val="目录 21"/>
    <w:basedOn w:val="1"/>
    <w:next w:val="1"/>
    <w:unhideWhenUsed/>
    <w:qFormat/>
    <w:uiPriority w:val="39"/>
    <w:pPr>
      <w:tabs>
        <w:tab w:val="right" w:leader="dot" w:pos="8296"/>
      </w:tabs>
      <w:spacing w:line="560" w:lineRule="exact"/>
      <w:ind w:left="420" w:leftChars="200"/>
    </w:pPr>
    <w:rPr>
      <w:rFonts w:ascii="Calibri" w:hAnsi="Calibri" w:eastAsia="宋体" w:cs="Times New Roman"/>
      <w14:ligatures w14:val="none"/>
    </w:rPr>
  </w:style>
  <w:style w:type="paragraph" w:customStyle="1" w:styleId="52">
    <w:name w:val="目录 31"/>
    <w:basedOn w:val="1"/>
    <w:next w:val="1"/>
    <w:unhideWhenUsed/>
    <w:qFormat/>
    <w:uiPriority w:val="39"/>
    <w:pPr>
      <w:tabs>
        <w:tab w:val="right" w:leader="dot" w:pos="8296"/>
      </w:tabs>
      <w:spacing w:line="560" w:lineRule="exact"/>
      <w:ind w:left="840" w:leftChars="400"/>
    </w:pPr>
    <w:rPr>
      <w:rFonts w:ascii="Calibri" w:hAnsi="Calibri" w:eastAsia="宋体" w:cs="Times New Roman"/>
      <w14:ligatures w14:val="none"/>
    </w:rPr>
  </w:style>
  <w:style w:type="character" w:customStyle="1" w:styleId="53">
    <w:name w:val="文档结构图 字符"/>
    <w:basedOn w:val="25"/>
    <w:link w:val="9"/>
    <w:semiHidden/>
    <w:qFormat/>
    <w:uiPriority w:val="0"/>
    <w:rPr>
      <w:rFonts w:ascii="Calibri" w:hAnsi="Calibri" w:eastAsia="宋体" w:cs="Times New Roman"/>
      <w:shd w:val="clear" w:color="auto" w:fill="000080"/>
      <w14:ligatures w14:val="none"/>
    </w:rPr>
  </w:style>
  <w:style w:type="character" w:customStyle="1" w:styleId="54">
    <w:name w:val="批注文字 字符"/>
    <w:basedOn w:val="25"/>
    <w:link w:val="10"/>
    <w:semiHidden/>
    <w:qFormat/>
    <w:uiPriority w:val="0"/>
    <w:rPr>
      <w:rFonts w:ascii="Calibri" w:hAnsi="Calibri" w:eastAsia="宋体" w:cs="Times New Roman"/>
      <w14:ligatures w14:val="none"/>
    </w:rPr>
  </w:style>
  <w:style w:type="character" w:customStyle="1" w:styleId="55">
    <w:name w:val="批注主题 字符"/>
    <w:basedOn w:val="54"/>
    <w:link w:val="22"/>
    <w:semiHidden/>
    <w:qFormat/>
    <w:uiPriority w:val="0"/>
    <w:rPr>
      <w:rFonts w:ascii="Calibri" w:hAnsi="Calibri" w:eastAsia="宋体" w:cs="Times New Roman"/>
      <w:b/>
      <w:bCs/>
      <w14:ligatures w14:val="none"/>
    </w:rPr>
  </w:style>
  <w:style w:type="paragraph" w:customStyle="1" w:styleId="56">
    <w:name w:val="font6"/>
    <w:basedOn w:val="1"/>
    <w:qFormat/>
    <w:uiPriority w:val="0"/>
    <w:pPr>
      <w:widowControl/>
      <w:spacing w:before="100" w:beforeAutospacing="1" w:after="100" w:afterAutospacing="1"/>
      <w:jc w:val="left"/>
    </w:pPr>
    <w:rPr>
      <w:rFonts w:ascii="Calibri" w:hAnsi="Calibri" w:eastAsia="宋体" w:cs="宋体"/>
      <w:color w:val="000000"/>
      <w:kern w:val="0"/>
      <w:szCs w:val="21"/>
      <w14:ligatures w14:val="none"/>
    </w:rPr>
  </w:style>
  <w:style w:type="paragraph" w:customStyle="1" w:styleId="57">
    <w:name w:val="font7"/>
    <w:basedOn w:val="1"/>
    <w:qFormat/>
    <w:uiPriority w:val="0"/>
    <w:pPr>
      <w:widowControl/>
      <w:spacing w:before="100" w:beforeAutospacing="1" w:after="100" w:afterAutospacing="1"/>
      <w:jc w:val="left"/>
    </w:pPr>
    <w:rPr>
      <w:rFonts w:ascii="宋体" w:hAnsi="宋体" w:eastAsia="宋体" w:cs="宋体"/>
      <w:b/>
      <w:bCs/>
      <w:color w:val="000000"/>
      <w:kern w:val="0"/>
      <w:szCs w:val="21"/>
      <w14:ligatures w14:val="none"/>
    </w:rPr>
  </w:style>
  <w:style w:type="paragraph" w:customStyle="1" w:styleId="58">
    <w:name w:val="font8"/>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Cs w:val="21"/>
      <w14:ligatures w14:val="none"/>
    </w:rPr>
  </w:style>
  <w:style w:type="paragraph" w:customStyle="1" w:styleId="59">
    <w:name w:val="font9"/>
    <w:basedOn w:val="1"/>
    <w:qFormat/>
    <w:uiPriority w:val="0"/>
    <w:pPr>
      <w:widowControl/>
      <w:spacing w:before="100" w:beforeAutospacing="1" w:after="100" w:afterAutospacing="1"/>
      <w:jc w:val="left"/>
    </w:pPr>
    <w:rPr>
      <w:rFonts w:ascii="宋体" w:hAnsi="宋体" w:eastAsia="宋体" w:cs="宋体"/>
      <w:color w:val="000000"/>
      <w:kern w:val="0"/>
      <w:szCs w:val="21"/>
      <w14:ligatures w14:val="none"/>
    </w:rPr>
  </w:style>
  <w:style w:type="paragraph" w:customStyle="1" w:styleId="60">
    <w:name w:val="font10"/>
    <w:basedOn w:val="1"/>
    <w:qFormat/>
    <w:uiPriority w:val="0"/>
    <w:pPr>
      <w:widowControl/>
      <w:spacing w:before="100" w:beforeAutospacing="1" w:after="100" w:afterAutospacing="1"/>
      <w:jc w:val="left"/>
    </w:pPr>
    <w:rPr>
      <w:rFonts w:ascii="Times New Roman" w:hAnsi="Times New Roman" w:eastAsia="宋体" w:cs="Times New Roman"/>
      <w:color w:val="000000"/>
      <w:kern w:val="0"/>
      <w:szCs w:val="21"/>
      <w14:ligatures w14:val="none"/>
    </w:rPr>
  </w:style>
  <w:style w:type="paragraph" w:customStyle="1" w:styleId="61">
    <w:name w:val="font11"/>
    <w:basedOn w:val="1"/>
    <w:qFormat/>
    <w:uiPriority w:val="0"/>
    <w:pPr>
      <w:widowControl/>
      <w:spacing w:before="100" w:beforeAutospacing="1" w:after="100" w:afterAutospacing="1"/>
      <w:jc w:val="left"/>
    </w:pPr>
    <w:rPr>
      <w:rFonts w:ascii="宋体" w:hAnsi="宋体" w:eastAsia="宋体" w:cs="宋体"/>
      <w:color w:val="000000"/>
      <w:kern w:val="0"/>
      <w:szCs w:val="21"/>
      <w14:ligatures w14:val="none"/>
    </w:rPr>
  </w:style>
  <w:style w:type="paragraph" w:customStyle="1" w:styleId="62">
    <w:name w:val="xl64"/>
    <w:basedOn w:val="1"/>
    <w:qFormat/>
    <w:uiPriority w:val="0"/>
    <w:pPr>
      <w:widowControl/>
      <w:shd w:val="clear" w:color="000000" w:fill="FFFF00"/>
      <w:spacing w:before="100" w:beforeAutospacing="1" w:after="100" w:afterAutospacing="1"/>
      <w:jc w:val="center"/>
    </w:pPr>
    <w:rPr>
      <w:rFonts w:ascii="宋体" w:hAnsi="宋体" w:eastAsia="宋体" w:cs="宋体"/>
      <w:b/>
      <w:bCs/>
      <w:kern w:val="0"/>
      <w:sz w:val="24"/>
      <w:szCs w:val="24"/>
      <w14:ligatures w14:val="none"/>
    </w:rPr>
  </w:style>
  <w:style w:type="paragraph" w:customStyle="1" w:styleId="63">
    <w:name w:val="xl65"/>
    <w:basedOn w:val="1"/>
    <w:qFormat/>
    <w:uiPriority w:val="0"/>
    <w:pPr>
      <w:widowControl/>
      <w:shd w:val="clear" w:color="000000" w:fill="FFFF00"/>
      <w:spacing w:before="100" w:beforeAutospacing="1" w:after="100" w:afterAutospacing="1"/>
      <w:jc w:val="center"/>
    </w:pPr>
    <w:rPr>
      <w:rFonts w:ascii="宋体" w:hAnsi="宋体" w:eastAsia="宋体" w:cs="宋体"/>
      <w:b/>
      <w:bCs/>
      <w:kern w:val="0"/>
      <w:sz w:val="24"/>
      <w:szCs w:val="24"/>
      <w14:ligatures w14:val="none"/>
    </w:rPr>
  </w:style>
  <w:style w:type="paragraph" w:customStyle="1" w:styleId="64">
    <w:name w:val="xl66"/>
    <w:basedOn w:val="1"/>
    <w:qFormat/>
    <w:uiPriority w:val="0"/>
    <w:pPr>
      <w:widowControl/>
      <w:shd w:val="clear" w:color="000000" w:fill="FFFF00"/>
      <w:spacing w:before="100" w:beforeAutospacing="1" w:after="100" w:afterAutospacing="1"/>
      <w:jc w:val="center"/>
    </w:pPr>
    <w:rPr>
      <w:rFonts w:ascii="宋体" w:hAnsi="宋体" w:eastAsia="宋体" w:cs="宋体"/>
      <w:b/>
      <w:bCs/>
      <w:kern w:val="0"/>
      <w:sz w:val="24"/>
      <w:szCs w:val="24"/>
      <w14:ligatures w14:val="none"/>
    </w:rPr>
  </w:style>
  <w:style w:type="paragraph" w:customStyle="1" w:styleId="65">
    <w:name w:val="xl67"/>
    <w:basedOn w:val="1"/>
    <w:qFormat/>
    <w:uiPriority w:val="0"/>
    <w:pPr>
      <w:widowControl/>
      <w:shd w:val="clear" w:color="000000" w:fill="FFFF00"/>
      <w:spacing w:before="100" w:beforeAutospacing="1" w:after="100" w:afterAutospacing="1"/>
      <w:jc w:val="center"/>
    </w:pPr>
    <w:rPr>
      <w:rFonts w:ascii="宋体" w:hAnsi="宋体" w:eastAsia="宋体" w:cs="宋体"/>
      <w:b/>
      <w:bCs/>
      <w:kern w:val="0"/>
      <w:sz w:val="24"/>
      <w:szCs w:val="24"/>
      <w14:ligatures w14:val="none"/>
    </w:rPr>
  </w:style>
  <w:style w:type="paragraph" w:customStyle="1" w:styleId="66">
    <w:name w:val="xl68"/>
    <w:basedOn w:val="1"/>
    <w:qFormat/>
    <w:uiPriority w:val="0"/>
    <w:pPr>
      <w:widowControl/>
      <w:shd w:val="clear" w:color="000000" w:fill="FFFF00"/>
      <w:spacing w:before="100" w:beforeAutospacing="1" w:after="100" w:afterAutospacing="1"/>
      <w:jc w:val="left"/>
    </w:pPr>
    <w:rPr>
      <w:rFonts w:ascii="宋体" w:hAnsi="宋体" w:eastAsia="宋体" w:cs="宋体"/>
      <w:kern w:val="0"/>
      <w:sz w:val="24"/>
      <w:szCs w:val="24"/>
      <w14:ligatures w14:val="none"/>
    </w:rPr>
  </w:style>
  <w:style w:type="paragraph" w:customStyle="1" w:styleId="67">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color w:val="000000"/>
      <w:kern w:val="0"/>
      <w:szCs w:val="21"/>
      <w14:ligatures w14:val="none"/>
    </w:rPr>
  </w:style>
  <w:style w:type="paragraph" w:customStyle="1" w:styleId="68">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14:ligatures w14:val="none"/>
    </w:rPr>
  </w:style>
  <w:style w:type="paragraph" w:customStyle="1" w:styleId="69">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Cs w:val="21"/>
      <w14:ligatures w14:val="none"/>
    </w:rPr>
  </w:style>
  <w:style w:type="paragraph" w:customStyle="1" w:styleId="70">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color w:val="000000"/>
      <w:kern w:val="0"/>
      <w:szCs w:val="21"/>
      <w14:ligatures w14:val="none"/>
    </w:rPr>
  </w:style>
  <w:style w:type="paragraph" w:customStyle="1" w:styleId="7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color w:val="000000"/>
      <w:kern w:val="0"/>
      <w:szCs w:val="21"/>
      <w14:ligatures w14:val="none"/>
    </w:rPr>
  </w:style>
  <w:style w:type="paragraph" w:customStyle="1" w:styleId="72">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color w:val="000000"/>
      <w:kern w:val="0"/>
      <w:szCs w:val="21"/>
      <w14:ligatures w14:val="none"/>
    </w:rPr>
  </w:style>
  <w:style w:type="paragraph" w:customStyle="1" w:styleId="73">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Cs w:val="21"/>
      <w14:ligatures w14:val="none"/>
    </w:rPr>
  </w:style>
  <w:style w:type="paragraph" w:customStyle="1" w:styleId="74">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Cs w:val="21"/>
      <w14:ligatures w14:val="none"/>
    </w:rPr>
  </w:style>
  <w:style w:type="paragraph" w:customStyle="1" w:styleId="75">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Cs w:val="21"/>
      <w14:ligatures w14:val="none"/>
    </w:rPr>
  </w:style>
  <w:style w:type="paragraph" w:customStyle="1" w:styleId="7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Cs w:val="21"/>
      <w14:ligatures w14:val="none"/>
    </w:rPr>
  </w:style>
  <w:style w:type="paragraph" w:customStyle="1" w:styleId="77">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Cs w:val="21"/>
      <w14:ligatures w14:val="none"/>
    </w:rPr>
  </w:style>
  <w:style w:type="paragraph" w:customStyle="1" w:styleId="78">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Cs w:val="21"/>
      <w14:ligatures w14:val="none"/>
    </w:rPr>
  </w:style>
  <w:style w:type="paragraph" w:customStyle="1" w:styleId="79">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Calibri" w:hAnsi="Calibri" w:eastAsia="宋体" w:cs="宋体"/>
      <w:kern w:val="0"/>
      <w:szCs w:val="21"/>
      <w14:ligatures w14:val="none"/>
    </w:rPr>
  </w:style>
  <w:style w:type="paragraph" w:customStyle="1" w:styleId="80">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Calibri" w:hAnsi="Calibri" w:eastAsia="宋体" w:cs="宋体"/>
      <w:kern w:val="0"/>
      <w:szCs w:val="21"/>
      <w14:ligatures w14:val="none"/>
    </w:rPr>
  </w:style>
  <w:style w:type="paragraph" w:customStyle="1" w:styleId="81">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Times New Roman" w:hAnsi="Times New Roman" w:eastAsia="宋体" w:cs="Times New Roman"/>
      <w:color w:val="000000"/>
      <w:kern w:val="0"/>
      <w:szCs w:val="21"/>
      <w14:ligatures w14:val="none"/>
    </w:rPr>
  </w:style>
  <w:style w:type="paragraph" w:customStyle="1" w:styleId="82">
    <w:name w:val="xl84"/>
    <w:basedOn w:val="1"/>
    <w:qFormat/>
    <w:uiPriority w:val="0"/>
    <w:pPr>
      <w:widowControl/>
      <w:shd w:val="clear" w:color="000000" w:fill="FFFF00"/>
      <w:spacing w:before="100" w:beforeAutospacing="1" w:after="100" w:afterAutospacing="1"/>
      <w:jc w:val="left"/>
    </w:pPr>
    <w:rPr>
      <w:rFonts w:ascii="宋体" w:hAnsi="宋体" w:eastAsia="宋体" w:cs="宋体"/>
      <w:kern w:val="0"/>
      <w:sz w:val="24"/>
      <w:szCs w:val="24"/>
      <w14:ligatures w14:val="none"/>
    </w:rPr>
  </w:style>
  <w:style w:type="paragraph" w:customStyle="1" w:styleId="83">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pPr>
    <w:rPr>
      <w:rFonts w:ascii="宋体" w:hAnsi="宋体" w:eastAsia="宋体" w:cs="宋体"/>
      <w:kern w:val="0"/>
      <w:szCs w:val="21"/>
      <w14:ligatures w14:val="none"/>
    </w:rPr>
  </w:style>
  <w:style w:type="paragraph" w:customStyle="1" w:styleId="84">
    <w:name w:val="xl86"/>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pPr>
    <w:rPr>
      <w:rFonts w:ascii="宋体" w:hAnsi="宋体" w:eastAsia="宋体" w:cs="宋体"/>
      <w:kern w:val="0"/>
      <w:szCs w:val="21"/>
      <w14:ligatures w14:val="none"/>
    </w:rPr>
  </w:style>
  <w:style w:type="paragraph" w:customStyle="1" w:styleId="85">
    <w:name w:val="xl87"/>
    <w:basedOn w:val="1"/>
    <w:qFormat/>
    <w:uiPriority w:val="0"/>
    <w:pPr>
      <w:widowControl/>
      <w:spacing w:before="100" w:beforeAutospacing="1" w:after="100" w:afterAutospacing="1"/>
      <w:jc w:val="center"/>
    </w:pPr>
    <w:rPr>
      <w:rFonts w:ascii="宋体" w:hAnsi="宋体" w:eastAsia="宋体" w:cs="宋体"/>
      <w:b/>
      <w:bCs/>
      <w:kern w:val="0"/>
      <w:sz w:val="24"/>
      <w:szCs w:val="24"/>
      <w14:ligatures w14:val="none"/>
    </w:rPr>
  </w:style>
  <w:style w:type="paragraph" w:customStyle="1" w:styleId="86">
    <w:name w:val="xl88"/>
    <w:basedOn w:val="1"/>
    <w:qFormat/>
    <w:uiPriority w:val="0"/>
    <w:pPr>
      <w:widowControl/>
      <w:pBdr>
        <w:top w:val="single" w:color="auto" w:sz="4" w:space="0"/>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Times New Roman" w:hAnsi="Times New Roman" w:eastAsia="宋体" w:cs="Times New Roman"/>
      <w:color w:val="000000"/>
      <w:kern w:val="0"/>
      <w:szCs w:val="21"/>
      <w14:ligatures w14:val="none"/>
    </w:rPr>
  </w:style>
  <w:style w:type="paragraph" w:customStyle="1" w:styleId="87">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Cs w:val="21"/>
      <w14:ligatures w14:val="none"/>
    </w:rPr>
  </w:style>
  <w:style w:type="paragraph" w:customStyle="1" w:styleId="88">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14:ligatures w14:val="none"/>
    </w:rPr>
  </w:style>
  <w:style w:type="paragraph" w:customStyle="1" w:styleId="89">
    <w:name w:val="xl91"/>
    <w:basedOn w:val="1"/>
    <w:qFormat/>
    <w:uiPriority w:val="0"/>
    <w:pPr>
      <w:widowControl/>
      <w:pBdr>
        <w:left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14:ligatures w14:val="none"/>
    </w:rPr>
  </w:style>
  <w:style w:type="paragraph" w:customStyle="1" w:styleId="90">
    <w:name w:val="xl92"/>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Cs w:val="21"/>
      <w14:ligatures w14:val="none"/>
    </w:rPr>
  </w:style>
  <w:style w:type="paragraph" w:customStyle="1" w:styleId="91">
    <w:name w:val="xl93"/>
    <w:basedOn w:val="1"/>
    <w:qFormat/>
    <w:uiPriority w:val="0"/>
    <w:pPr>
      <w:widowControl/>
      <w:pBdr>
        <w:top w:val="single" w:color="auto" w:sz="4" w:space="0"/>
        <w:left w:val="single" w:color="auto" w:sz="4" w:space="0"/>
        <w:right w:val="single" w:color="auto" w:sz="4" w:space="0"/>
      </w:pBdr>
      <w:shd w:val="clear" w:color="000000" w:fill="FFFF00"/>
      <w:spacing w:before="100" w:beforeAutospacing="1" w:after="100" w:afterAutospacing="1"/>
      <w:jc w:val="center"/>
    </w:pPr>
    <w:rPr>
      <w:rFonts w:ascii="宋体" w:hAnsi="宋体" w:eastAsia="宋体" w:cs="宋体"/>
      <w:color w:val="000000"/>
      <w:kern w:val="0"/>
      <w:szCs w:val="21"/>
      <w14:ligatures w14:val="none"/>
    </w:rPr>
  </w:style>
  <w:style w:type="paragraph" w:customStyle="1" w:styleId="92">
    <w:name w:val="xl94"/>
    <w:basedOn w:val="1"/>
    <w:qFormat/>
    <w:uiPriority w:val="0"/>
    <w:pPr>
      <w:widowControl/>
      <w:pBdr>
        <w:left w:val="single" w:color="auto" w:sz="4" w:space="0"/>
        <w:right w:val="single" w:color="auto" w:sz="4" w:space="0"/>
      </w:pBdr>
      <w:shd w:val="clear" w:color="000000" w:fill="FFFF00"/>
      <w:spacing w:before="100" w:beforeAutospacing="1" w:after="100" w:afterAutospacing="1"/>
      <w:jc w:val="center"/>
    </w:pPr>
    <w:rPr>
      <w:rFonts w:ascii="宋体" w:hAnsi="宋体" w:eastAsia="宋体" w:cs="宋体"/>
      <w:color w:val="000000"/>
      <w:kern w:val="0"/>
      <w:szCs w:val="21"/>
      <w14:ligatures w14:val="none"/>
    </w:rPr>
  </w:style>
  <w:style w:type="paragraph" w:customStyle="1" w:styleId="93">
    <w:name w:val="xl95"/>
    <w:basedOn w:val="1"/>
    <w:qFormat/>
    <w:uiPriority w:val="0"/>
    <w:pPr>
      <w:widowControl/>
      <w:pBdr>
        <w:left w:val="single" w:color="auto" w:sz="4" w:space="0"/>
        <w:bottom w:val="single" w:color="auto" w:sz="4" w:space="0"/>
        <w:right w:val="single" w:color="auto" w:sz="4" w:space="0"/>
      </w:pBdr>
      <w:shd w:val="clear" w:color="000000" w:fill="FFFF00"/>
      <w:spacing w:before="100" w:beforeAutospacing="1" w:after="100" w:afterAutospacing="1"/>
      <w:jc w:val="center"/>
    </w:pPr>
    <w:rPr>
      <w:rFonts w:ascii="宋体" w:hAnsi="宋体" w:eastAsia="宋体" w:cs="宋体"/>
      <w:color w:val="000000"/>
      <w:kern w:val="0"/>
      <w:szCs w:val="21"/>
      <w14:ligatures w14:val="none"/>
    </w:rPr>
  </w:style>
  <w:style w:type="paragraph" w:customStyle="1" w:styleId="94">
    <w:name w:val="msonormal"/>
    <w:basedOn w:val="1"/>
    <w:qFormat/>
    <w:uiPriority w:val="0"/>
    <w:pPr>
      <w:widowControl/>
      <w:spacing w:before="100" w:beforeAutospacing="1" w:after="100" w:afterAutospacing="1"/>
      <w:jc w:val="left"/>
    </w:pPr>
    <w:rPr>
      <w:rFonts w:ascii="宋体" w:hAnsi="宋体" w:eastAsia="宋体" w:cs="宋体"/>
      <w:kern w:val="0"/>
      <w:sz w:val="24"/>
      <w:szCs w:val="24"/>
      <w14:ligatures w14:val="none"/>
    </w:rPr>
  </w:style>
  <w:style w:type="paragraph" w:customStyle="1" w:styleId="95">
    <w:name w:val="font12"/>
    <w:basedOn w:val="1"/>
    <w:qFormat/>
    <w:uiPriority w:val="0"/>
    <w:pPr>
      <w:widowControl/>
      <w:spacing w:before="100" w:beforeAutospacing="1" w:after="100" w:afterAutospacing="1"/>
      <w:jc w:val="left"/>
    </w:pPr>
    <w:rPr>
      <w:rFonts w:ascii="宋体" w:hAnsi="宋体" w:eastAsia="宋体" w:cs="宋体"/>
      <w:b/>
      <w:bCs/>
      <w:color w:val="000000"/>
      <w:kern w:val="0"/>
      <w:sz w:val="22"/>
      <w14:ligatures w14:val="none"/>
    </w:rPr>
  </w:style>
  <w:style w:type="paragraph" w:customStyle="1" w:styleId="96">
    <w:name w:val="font13"/>
    <w:basedOn w:val="1"/>
    <w:qFormat/>
    <w:uiPriority w:val="0"/>
    <w:pPr>
      <w:widowControl/>
      <w:spacing w:before="100" w:beforeAutospacing="1" w:after="100" w:afterAutospacing="1"/>
      <w:jc w:val="left"/>
    </w:pPr>
    <w:rPr>
      <w:rFonts w:ascii="宋体" w:hAnsi="宋体" w:eastAsia="宋体" w:cs="宋体"/>
      <w:b/>
      <w:bCs/>
      <w:color w:val="000000"/>
      <w:kern w:val="0"/>
      <w:sz w:val="22"/>
      <w14:ligatures w14:val="none"/>
    </w:rPr>
  </w:style>
  <w:style w:type="paragraph" w:customStyle="1" w:styleId="97">
    <w:name w:val="font14"/>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22"/>
      <w14:ligatures w14:val="none"/>
    </w:rPr>
  </w:style>
  <w:style w:type="paragraph" w:customStyle="1" w:styleId="98">
    <w:name w:val="font15"/>
    <w:basedOn w:val="1"/>
    <w:qFormat/>
    <w:uiPriority w:val="0"/>
    <w:pPr>
      <w:widowControl/>
      <w:spacing w:before="100" w:beforeAutospacing="1" w:after="100" w:afterAutospacing="1"/>
      <w:jc w:val="left"/>
    </w:pPr>
    <w:rPr>
      <w:rFonts w:ascii="Microsoft YaHei UI" w:hAnsi="Microsoft YaHei UI" w:eastAsia="Microsoft YaHei UI" w:cs="宋体"/>
      <w:color w:val="000000"/>
      <w:kern w:val="0"/>
      <w:sz w:val="24"/>
      <w:szCs w:val="24"/>
      <w14:ligatures w14:val="none"/>
    </w:rPr>
  </w:style>
  <w:style w:type="paragraph" w:customStyle="1" w:styleId="99">
    <w:name w:val="font16"/>
    <w:basedOn w:val="1"/>
    <w:qFormat/>
    <w:uiPriority w:val="0"/>
    <w:pPr>
      <w:widowControl/>
      <w:spacing w:before="100" w:beforeAutospacing="1" w:after="100" w:afterAutospacing="1"/>
      <w:jc w:val="left"/>
    </w:pPr>
    <w:rPr>
      <w:rFonts w:ascii="宋体" w:hAnsi="宋体" w:eastAsia="宋体" w:cs="宋体"/>
      <w:b/>
      <w:bCs/>
      <w:color w:val="000000"/>
      <w:kern w:val="0"/>
      <w:sz w:val="22"/>
      <w14:ligatures w14:val="none"/>
    </w:rPr>
  </w:style>
  <w:style w:type="paragraph" w:customStyle="1" w:styleId="100">
    <w:name w:val="xl96"/>
    <w:basedOn w:val="1"/>
    <w:qFormat/>
    <w:uiPriority w:val="0"/>
    <w:pPr>
      <w:widowControl/>
      <w:pBdr>
        <w:top w:val="single" w:color="auto" w:sz="4" w:space="0"/>
        <w:left w:val="single" w:color="auto" w:sz="4" w:space="0"/>
        <w:right w:val="single" w:color="auto" w:sz="4" w:space="0"/>
      </w:pBdr>
      <w:shd w:val="clear" w:color="000000" w:fill="auto"/>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01">
    <w:name w:val="xl97"/>
    <w:basedOn w:val="1"/>
    <w:qFormat/>
    <w:uiPriority w:val="0"/>
    <w:pPr>
      <w:widowControl/>
      <w:pBdr>
        <w:top w:val="single" w:color="auto" w:sz="4" w:space="0"/>
        <w:left w:val="single" w:color="auto" w:sz="4" w:space="0"/>
        <w:bottom w:val="single" w:color="auto" w:sz="4" w:space="0"/>
        <w:right w:val="single" w:color="auto" w:sz="4" w:space="0"/>
      </w:pBdr>
      <w:shd w:val="clear" w:color="000000" w:fill="auto"/>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02">
    <w:name w:val="xl98"/>
    <w:basedOn w:val="1"/>
    <w:qFormat/>
    <w:uiPriority w:val="0"/>
    <w:pPr>
      <w:widowControl/>
      <w:pBdr>
        <w:left w:val="single" w:color="auto" w:sz="4" w:space="0"/>
        <w:bottom w:val="single" w:color="auto" w:sz="4" w:space="0"/>
        <w:right w:val="single" w:color="auto" w:sz="4" w:space="0"/>
      </w:pBdr>
      <w:shd w:val="clear" w:color="000000" w:fill="auto"/>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03">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eastAsia="宋体" w:cs="Times New Roman"/>
      <w:color w:val="000000"/>
      <w:kern w:val="0"/>
      <w:sz w:val="24"/>
      <w:szCs w:val="24"/>
      <w14:ligatures w14:val="none"/>
    </w:rPr>
  </w:style>
  <w:style w:type="paragraph" w:customStyle="1" w:styleId="104">
    <w:name w:val="xl10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05">
    <w:name w:val="xl10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06">
    <w:name w:val="xl10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07">
    <w:name w:val="xl10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08">
    <w:name w:val="xl10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24"/>
      <w:szCs w:val="24"/>
      <w14:ligatures w14:val="none"/>
    </w:rPr>
  </w:style>
  <w:style w:type="paragraph" w:customStyle="1" w:styleId="109">
    <w:name w:val="xl105"/>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kern w:val="0"/>
      <w:sz w:val="24"/>
      <w:szCs w:val="24"/>
      <w14:ligatures w14:val="none"/>
    </w:rPr>
  </w:style>
  <w:style w:type="paragraph" w:customStyle="1" w:styleId="110">
    <w:name w:val="xl106"/>
    <w:basedOn w:val="1"/>
    <w:qFormat/>
    <w:uiPriority w:val="0"/>
    <w:pPr>
      <w:widowControl/>
      <w:pBdr>
        <w:left w:val="single" w:color="auto" w:sz="4" w:space="0"/>
        <w:right w:val="single" w:color="auto" w:sz="4" w:space="0"/>
      </w:pBdr>
      <w:shd w:val="clear" w:color="000000" w:fill="auto"/>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11">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12">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13">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b/>
      <w:bCs/>
      <w:color w:val="000000"/>
      <w:kern w:val="0"/>
      <w:sz w:val="24"/>
      <w:szCs w:val="24"/>
      <w14:ligatures w14:val="none"/>
    </w:rPr>
  </w:style>
  <w:style w:type="paragraph" w:customStyle="1" w:styleId="114">
    <w:name w:val="xl110"/>
    <w:basedOn w:val="1"/>
    <w:qFormat/>
    <w:uiPriority w:val="0"/>
    <w:pPr>
      <w:widowControl/>
      <w:pBdr>
        <w:top w:val="single" w:color="auto" w:sz="4" w:space="0"/>
        <w:left w:val="single" w:color="auto" w:sz="4" w:space="0"/>
        <w:bottom w:val="single" w:color="auto" w:sz="4" w:space="0"/>
        <w:right w:val="single" w:color="auto" w:sz="4" w:space="0"/>
      </w:pBdr>
      <w:shd w:val="clear" w:color="000000" w:fill="auto"/>
      <w:spacing w:before="100" w:beforeAutospacing="1" w:after="100" w:afterAutospacing="1"/>
      <w:jc w:val="center"/>
      <w:textAlignment w:val="center"/>
    </w:pPr>
    <w:rPr>
      <w:rFonts w:ascii="宋体" w:hAnsi="宋体" w:eastAsia="宋体" w:cs="宋体"/>
      <w:color w:val="000000"/>
      <w:kern w:val="0"/>
      <w:sz w:val="24"/>
      <w:szCs w:val="24"/>
      <w14:ligatures w14:val="none"/>
    </w:rPr>
  </w:style>
  <w:style w:type="paragraph" w:customStyle="1" w:styleId="115">
    <w:name w:val="font17"/>
    <w:basedOn w:val="1"/>
    <w:qFormat/>
    <w:uiPriority w:val="0"/>
    <w:pPr>
      <w:widowControl/>
      <w:spacing w:before="100" w:beforeAutospacing="1" w:after="100" w:afterAutospacing="1"/>
      <w:jc w:val="left"/>
    </w:pPr>
    <w:rPr>
      <w:rFonts w:ascii="Times New Roman" w:hAnsi="Times New Roman" w:eastAsia="宋体" w:cs="Times New Roman"/>
      <w:b/>
      <w:bCs/>
      <w:color w:val="000000"/>
      <w:kern w:val="0"/>
      <w:sz w:val="22"/>
      <w14:ligatures w14:val="none"/>
    </w:rPr>
  </w:style>
  <w:style w:type="paragraph" w:customStyle="1" w:styleId="116">
    <w:name w:val="font18"/>
    <w:basedOn w:val="1"/>
    <w:qFormat/>
    <w:uiPriority w:val="0"/>
    <w:pPr>
      <w:widowControl/>
      <w:spacing w:before="100" w:beforeAutospacing="1" w:after="100" w:afterAutospacing="1"/>
      <w:jc w:val="left"/>
    </w:pPr>
    <w:rPr>
      <w:rFonts w:ascii="宋体" w:hAnsi="宋体" w:eastAsia="宋体" w:cs="宋体"/>
      <w:color w:val="FF0000"/>
      <w:kern w:val="0"/>
      <w:sz w:val="24"/>
      <w:szCs w:val="24"/>
      <w14:ligatures w14:val="none"/>
    </w:rPr>
  </w:style>
  <w:style w:type="paragraph" w:customStyle="1" w:styleId="117">
    <w:name w:val="font19"/>
    <w:basedOn w:val="1"/>
    <w:qFormat/>
    <w:uiPriority w:val="0"/>
    <w:pPr>
      <w:widowControl/>
      <w:spacing w:before="100" w:beforeAutospacing="1" w:after="100" w:afterAutospacing="1"/>
      <w:jc w:val="left"/>
    </w:pPr>
    <w:rPr>
      <w:rFonts w:ascii="Microsoft YaHei UI" w:hAnsi="Microsoft YaHei UI" w:eastAsia="Microsoft YaHei UI" w:cs="宋体"/>
      <w:color w:val="FF0000"/>
      <w:kern w:val="0"/>
      <w:sz w:val="24"/>
      <w:szCs w:val="24"/>
      <w14:ligatures w14:val="none"/>
    </w:rPr>
  </w:style>
  <w:style w:type="paragraph" w:customStyle="1" w:styleId="118">
    <w:name w:val="font20"/>
    <w:basedOn w:val="1"/>
    <w:qFormat/>
    <w:uiPriority w:val="0"/>
    <w:pPr>
      <w:widowControl/>
      <w:spacing w:before="100" w:beforeAutospacing="1" w:after="100" w:afterAutospacing="1"/>
      <w:jc w:val="left"/>
    </w:pPr>
    <w:rPr>
      <w:rFonts w:ascii="Times New Roman" w:hAnsi="Times New Roman" w:eastAsia="宋体" w:cs="Times New Roman"/>
      <w:color w:val="FF0000"/>
      <w:kern w:val="0"/>
      <w:sz w:val="22"/>
      <w14:ligatures w14:val="none"/>
    </w:rPr>
  </w:style>
  <w:style w:type="paragraph" w:customStyle="1" w:styleId="119">
    <w:name w:val="font21"/>
    <w:basedOn w:val="1"/>
    <w:qFormat/>
    <w:uiPriority w:val="0"/>
    <w:pPr>
      <w:widowControl/>
      <w:spacing w:before="100" w:beforeAutospacing="1" w:after="100" w:afterAutospacing="1"/>
      <w:jc w:val="left"/>
    </w:pPr>
    <w:rPr>
      <w:rFonts w:ascii="宋体" w:hAnsi="宋体" w:eastAsia="宋体" w:cs="宋体"/>
      <w:color w:val="000000"/>
      <w:kern w:val="0"/>
      <w:sz w:val="22"/>
      <w14:ligatures w14:val="none"/>
    </w:rPr>
  </w:style>
  <w:style w:type="paragraph" w:customStyle="1" w:styleId="120">
    <w:name w:val="font22"/>
    <w:basedOn w:val="1"/>
    <w:qFormat/>
    <w:uiPriority w:val="0"/>
    <w:pPr>
      <w:widowControl/>
      <w:spacing w:before="100" w:beforeAutospacing="1" w:after="100" w:afterAutospacing="1"/>
      <w:jc w:val="left"/>
    </w:pPr>
    <w:rPr>
      <w:rFonts w:ascii="宋体" w:hAnsi="宋体" w:eastAsia="宋体" w:cs="宋体"/>
      <w:color w:val="FF0000"/>
      <w:kern w:val="0"/>
      <w:sz w:val="22"/>
      <w14:ligatures w14:val="none"/>
    </w:rPr>
  </w:style>
  <w:style w:type="paragraph" w:customStyle="1" w:styleId="121">
    <w:name w:val="font23"/>
    <w:basedOn w:val="1"/>
    <w:qFormat/>
    <w:uiPriority w:val="0"/>
    <w:pPr>
      <w:widowControl/>
      <w:spacing w:before="100" w:beforeAutospacing="1" w:after="100" w:afterAutospacing="1"/>
      <w:jc w:val="left"/>
    </w:pPr>
    <w:rPr>
      <w:rFonts w:ascii="宋体" w:hAnsi="宋体" w:eastAsia="宋体" w:cs="宋体"/>
      <w:color w:val="000000"/>
      <w:kern w:val="0"/>
      <w:sz w:val="22"/>
      <w14:ligatures w14:val="none"/>
    </w:rPr>
  </w:style>
  <w:style w:type="paragraph" w:customStyle="1" w:styleId="122">
    <w:name w:val="xl11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b/>
      <w:bCs/>
      <w:kern w:val="0"/>
      <w:sz w:val="24"/>
      <w:szCs w:val="24"/>
      <w14:ligatures w14:val="none"/>
    </w:rPr>
  </w:style>
  <w:style w:type="paragraph" w:customStyle="1" w:styleId="123">
    <w:name w:val="xl11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24">
    <w:name w:val="xl11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2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26">
    <w:name w:val="xl115"/>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27">
    <w:name w:val="xl11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color w:val="000000"/>
      <w:kern w:val="0"/>
      <w:sz w:val="24"/>
      <w:szCs w:val="24"/>
      <w14:ligatures w14:val="none"/>
    </w:rPr>
  </w:style>
  <w:style w:type="paragraph" w:customStyle="1" w:styleId="128">
    <w:name w:val="xl117"/>
    <w:basedOn w:val="1"/>
    <w:qFormat/>
    <w:uiPriority w:val="0"/>
    <w:pPr>
      <w:widowControl/>
      <w:pBdr>
        <w:top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29">
    <w:name w:val="xl118"/>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0">
    <w:name w:val="xl119"/>
    <w:basedOn w:val="1"/>
    <w:qFormat/>
    <w:uiPriority w:val="0"/>
    <w:pPr>
      <w:widowControl/>
      <w:pBdr>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1">
    <w:name w:val="xl12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2">
    <w:name w:val="xl121"/>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3">
    <w:name w:val="xl122"/>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4">
    <w:name w:val="xl123"/>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5">
    <w:name w:val="xl124"/>
    <w:basedOn w:val="1"/>
    <w:qFormat/>
    <w:uiPriority w:val="0"/>
    <w:pPr>
      <w:widowControl/>
      <w:pBdr>
        <w:left w:val="single" w:color="auto" w:sz="8" w:space="0"/>
        <w:bottom w:val="single" w:color="000000" w:sz="8" w:space="0"/>
        <w:right w:val="single" w:color="auto" w:sz="8" w:space="0"/>
      </w:pBdr>
      <w:spacing w:before="100" w:beforeAutospacing="1" w:after="100" w:afterAutospacing="1"/>
      <w:jc w:val="center"/>
      <w:textAlignment w:val="center"/>
    </w:pPr>
    <w:rPr>
      <w:rFonts w:ascii="宋体" w:hAnsi="宋体" w:eastAsia="宋体" w:cs="宋体"/>
      <w:b/>
      <w:bCs/>
      <w:color w:val="000000"/>
      <w:kern w:val="0"/>
      <w:sz w:val="24"/>
      <w:szCs w:val="24"/>
      <w14:ligatures w14:val="none"/>
    </w:rPr>
  </w:style>
  <w:style w:type="paragraph" w:customStyle="1" w:styleId="136">
    <w:name w:val="xl125"/>
    <w:basedOn w:val="1"/>
    <w:qFormat/>
    <w:uiPriority w:val="0"/>
    <w:pPr>
      <w:widowControl/>
      <w:pBdr>
        <w:top w:val="single" w:color="auto" w:sz="4" w:space="0"/>
        <w:left w:val="single" w:color="auto" w:sz="4" w:space="0"/>
        <w:bottom w:val="single" w:color="auto" w:sz="4" w:space="0"/>
        <w:right w:val="single" w:color="auto" w:sz="4" w:space="0"/>
      </w:pBdr>
      <w:shd w:val="clear" w:color="000000" w:fill="00B0F0"/>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37">
    <w:name w:val="xl126"/>
    <w:basedOn w:val="1"/>
    <w:qFormat/>
    <w:uiPriority w:val="0"/>
    <w:pPr>
      <w:widowControl/>
      <w:pBdr>
        <w:top w:val="single" w:color="auto" w:sz="4" w:space="0"/>
        <w:left w:val="single" w:color="auto" w:sz="4" w:space="0"/>
        <w:bottom w:val="single" w:color="auto" w:sz="4" w:space="0"/>
        <w:right w:val="single" w:color="auto" w:sz="4" w:space="0"/>
      </w:pBdr>
      <w:shd w:val="clear" w:color="000000" w:fill="00B0F0"/>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38">
    <w:name w:val="xl127"/>
    <w:basedOn w:val="1"/>
    <w:qFormat/>
    <w:uiPriority w:val="0"/>
    <w:pPr>
      <w:widowControl/>
      <w:pBdr>
        <w:left w:val="single" w:color="auto" w:sz="4" w:space="0"/>
        <w:right w:val="single" w:color="auto" w:sz="4" w:space="0"/>
      </w:pBdr>
      <w:shd w:val="clear" w:color="000000" w:fill="auto"/>
      <w:spacing w:before="100" w:beforeAutospacing="1" w:after="100" w:afterAutospacing="1"/>
      <w:jc w:val="center"/>
      <w:textAlignment w:val="center"/>
    </w:pPr>
    <w:rPr>
      <w:rFonts w:ascii="宋体" w:hAnsi="宋体" w:eastAsia="宋体" w:cs="宋体"/>
      <w:color w:val="FF0000"/>
      <w:kern w:val="0"/>
      <w:sz w:val="24"/>
      <w:szCs w:val="24"/>
      <w14:ligatures w14:val="none"/>
    </w:rPr>
  </w:style>
  <w:style w:type="paragraph" w:customStyle="1" w:styleId="139">
    <w:name w:val="xl128"/>
    <w:basedOn w:val="1"/>
    <w:qFormat/>
    <w:uiPriority w:val="0"/>
    <w:pPr>
      <w:widowControl/>
      <w:pBdr>
        <w:left w:val="single" w:color="auto" w:sz="4" w:space="0"/>
        <w:bottom w:val="single" w:color="auto" w:sz="4" w:space="0"/>
        <w:right w:val="single" w:color="auto" w:sz="4" w:space="0"/>
      </w:pBdr>
      <w:shd w:val="clear" w:color="000000" w:fill="auto"/>
      <w:spacing w:before="100" w:beforeAutospacing="1" w:after="100" w:afterAutospacing="1"/>
      <w:jc w:val="center"/>
      <w:textAlignment w:val="center"/>
    </w:pPr>
    <w:rPr>
      <w:rFonts w:ascii="宋体" w:hAnsi="宋体" w:eastAsia="宋体" w:cs="宋体"/>
      <w:color w:val="FF0000"/>
      <w:kern w:val="0"/>
      <w:sz w:val="24"/>
      <w:szCs w:val="24"/>
      <w14:ligatures w14:val="none"/>
    </w:rPr>
  </w:style>
  <w:style w:type="paragraph" w:customStyle="1" w:styleId="140">
    <w:name w:val="xl129"/>
    <w:basedOn w:val="1"/>
    <w:qFormat/>
    <w:uiPriority w:val="0"/>
    <w:pPr>
      <w:widowControl/>
      <w:pBdr>
        <w:left w:val="single" w:color="auto" w:sz="4" w:space="0"/>
        <w:right w:val="single" w:color="auto" w:sz="4" w:space="0"/>
      </w:pBdr>
      <w:shd w:val="clear" w:color="000000" w:fill="92D050"/>
      <w:spacing w:before="100" w:beforeAutospacing="1" w:after="100" w:afterAutospacing="1"/>
      <w:jc w:val="center"/>
      <w:textAlignment w:val="center"/>
    </w:pPr>
    <w:rPr>
      <w:rFonts w:ascii="宋体" w:hAnsi="宋体" w:eastAsia="宋体" w:cs="宋体"/>
      <w:color w:val="FF0000"/>
      <w:kern w:val="0"/>
      <w:sz w:val="24"/>
      <w:szCs w:val="24"/>
      <w14:ligatures w14:val="none"/>
    </w:rPr>
  </w:style>
  <w:style w:type="paragraph" w:customStyle="1" w:styleId="141">
    <w:name w:val="xl130"/>
    <w:basedOn w:val="1"/>
    <w:qFormat/>
    <w:uiPriority w:val="0"/>
    <w:pPr>
      <w:widowControl/>
      <w:pBdr>
        <w:left w:val="single" w:color="auto" w:sz="4" w:space="0"/>
        <w:bottom w:val="single" w:color="auto" w:sz="4" w:space="0"/>
        <w:right w:val="single" w:color="auto" w:sz="4" w:space="0"/>
      </w:pBdr>
      <w:shd w:val="clear" w:color="000000" w:fill="92D050"/>
      <w:spacing w:before="100" w:beforeAutospacing="1" w:after="100" w:afterAutospacing="1"/>
      <w:jc w:val="center"/>
      <w:textAlignment w:val="center"/>
    </w:pPr>
    <w:rPr>
      <w:rFonts w:ascii="宋体" w:hAnsi="宋体" w:eastAsia="宋体" w:cs="宋体"/>
      <w:color w:val="FF0000"/>
      <w:kern w:val="0"/>
      <w:sz w:val="24"/>
      <w:szCs w:val="24"/>
      <w14:ligatures w14:val="none"/>
    </w:rPr>
  </w:style>
  <w:style w:type="paragraph" w:customStyle="1" w:styleId="142">
    <w:name w:val="xl131"/>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43">
    <w:name w:val="xl132"/>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eastAsia="宋体" w:cs="Times New Roman"/>
      <w:kern w:val="0"/>
      <w:sz w:val="24"/>
      <w:szCs w:val="24"/>
      <w14:ligatures w14:val="none"/>
    </w:rPr>
  </w:style>
  <w:style w:type="paragraph" w:customStyle="1" w:styleId="144">
    <w:name w:val="xl133"/>
    <w:basedOn w:val="1"/>
    <w:qFormat/>
    <w:uiPriority w:val="0"/>
    <w:pPr>
      <w:widowControl/>
      <w:pBdr>
        <w:top w:val="single" w:color="auto" w:sz="8" w:space="0"/>
        <w:left w:val="single" w:color="auto" w:sz="4" w:space="0"/>
        <w:right w:val="single" w:color="auto" w:sz="4" w:space="0"/>
      </w:pBdr>
      <w:shd w:val="clear" w:color="000000" w:fill="auto"/>
      <w:spacing w:before="100" w:beforeAutospacing="1" w:after="100" w:afterAutospacing="1"/>
      <w:jc w:val="center"/>
      <w:textAlignment w:val="center"/>
    </w:pPr>
    <w:rPr>
      <w:rFonts w:ascii="宋体" w:hAnsi="宋体" w:eastAsia="宋体" w:cs="宋体"/>
      <w:color w:val="000000"/>
      <w:kern w:val="0"/>
      <w:sz w:val="24"/>
      <w:szCs w:val="24"/>
      <w14:ligatures w14:val="none"/>
    </w:rPr>
  </w:style>
  <w:style w:type="paragraph" w:customStyle="1" w:styleId="145">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4"/>
      <w:szCs w:val="24"/>
      <w14:ligatures w14:val="none"/>
    </w:rPr>
  </w:style>
  <w:style w:type="paragraph" w:styleId="146">
    <w:name w:val="List Paragraph"/>
    <w:basedOn w:val="1"/>
    <w:qFormat/>
    <w:uiPriority w:val="34"/>
    <w:pPr>
      <w:ind w:firstLine="420" w:firstLineChars="200"/>
    </w:pPr>
    <w:rPr>
      <w14:ligatures w14:val="none"/>
    </w:rPr>
  </w:style>
  <w:style w:type="character" w:customStyle="1" w:styleId="147">
    <w:name w:val="Unresolved Mention"/>
    <w:basedOn w:val="25"/>
    <w:semiHidden/>
    <w:unhideWhenUsed/>
    <w:qFormat/>
    <w:uiPriority w:val="99"/>
    <w:rPr>
      <w:color w:val="605E5C"/>
      <w:shd w:val="clear" w:color="auto" w:fill="E1DFDD"/>
    </w:rPr>
  </w:style>
  <w:style w:type="character" w:customStyle="1" w:styleId="148">
    <w:name w:val="日期 字符"/>
    <w:basedOn w:val="25"/>
    <w:link w:val="14"/>
    <w:semiHidden/>
    <w:qFormat/>
    <w:uiPriority w:val="99"/>
    <w:rPr>
      <w14:ligatures w14:val="none"/>
    </w:rPr>
  </w:style>
  <w:style w:type="paragraph" w:customStyle="1" w:styleId="149">
    <w:name w:val="表格"/>
    <w:basedOn w:val="1"/>
    <w:link w:val="150"/>
    <w:qFormat/>
    <w:uiPriority w:val="1"/>
    <w:pPr>
      <w:widowControl/>
      <w:jc w:val="center"/>
    </w:pPr>
    <w:rPr>
      <w:rFonts w:ascii="Times New Roman" w:hAnsi="Times New Roman" w:eastAsia="宋体" w:cs="宋体"/>
      <w:kern w:val="0"/>
      <w:szCs w:val="24"/>
      <w14:ligatures w14:val="none"/>
    </w:rPr>
  </w:style>
  <w:style w:type="character" w:customStyle="1" w:styleId="150">
    <w:name w:val="表格 字符"/>
    <w:link w:val="149"/>
    <w:qFormat/>
    <w:uiPriority w:val="1"/>
    <w:rPr>
      <w:rFonts w:ascii="Times New Roman" w:hAnsi="Times New Roman" w:eastAsia="宋体" w:cs="宋体"/>
      <w:kern w:val="0"/>
      <w:szCs w:val="24"/>
      <w14:ligatures w14: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27</Pages>
  <Words>2258</Words>
  <Characters>12871</Characters>
  <Lines>107</Lines>
  <Paragraphs>30</Paragraphs>
  <TotalTime>2</TotalTime>
  <ScaleCrop>false</ScaleCrop>
  <LinksUpToDate>false</LinksUpToDate>
  <CharactersWithSpaces>15099</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2023-05-24T08:53:00Z</dcterms:created>
  <dc:creator>huang tengjiao</dc:creator>
  <cp:lastModifiedBy>greatwall</cp:lastModifiedBy>
  <cp:lastPrinted>2023-06-01T07:04:00Z</cp:lastPrinted>
  <dcterms:modified xsi:type="dcterms:W3CDTF">2024-08-02T10:04:23Z</dcterms:modified>
  <cp:revision>211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F0C623966F9B4DD693DD6E7092359C68</vt:lpwstr>
  </property>
</Properties>
</file>