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4"/>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560" w:lineRule="exact"/>
        <w:ind w:left="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eastAsia="zh-CN"/>
        </w:rPr>
        <w:t>琼海市</w:t>
      </w:r>
      <w:r>
        <w:rPr>
          <w:rFonts w:hint="eastAsia" w:ascii="方正小标宋简体" w:hAnsi="方正小标宋简体" w:eastAsia="方正小标宋简体" w:cs="方正小标宋简体"/>
          <w:b w:val="0"/>
          <w:bCs/>
          <w:sz w:val="44"/>
          <w:szCs w:val="44"/>
          <w:lang w:val="en-US" w:eastAsia="zh-CN"/>
        </w:rPr>
        <w:t>城乡</w:t>
      </w:r>
      <w:r>
        <w:rPr>
          <w:rFonts w:hint="eastAsia" w:ascii="方正小标宋简体" w:hAnsi="方正小标宋简体" w:eastAsia="方正小标宋简体" w:cs="方正小标宋简体"/>
          <w:b w:val="0"/>
          <w:bCs/>
          <w:sz w:val="44"/>
          <w:szCs w:val="44"/>
        </w:rPr>
        <w:t>低收入家庭</w:t>
      </w:r>
      <w:r>
        <w:rPr>
          <w:rFonts w:hint="eastAsia" w:ascii="方正小标宋简体" w:hAnsi="方正小标宋简体" w:eastAsia="方正小标宋简体" w:cs="方正小标宋简体"/>
          <w:b w:val="0"/>
          <w:bCs/>
          <w:sz w:val="44"/>
          <w:szCs w:val="44"/>
          <w:lang w:val="en-US" w:eastAsia="zh-CN"/>
        </w:rPr>
        <w:t>认定和</w:t>
      </w:r>
    </w:p>
    <w:p>
      <w:pPr>
        <w:pStyle w:val="4"/>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560" w:lineRule="exact"/>
        <w:ind w:left="0"/>
        <w:jc w:val="center"/>
        <w:textAlignment w:val="auto"/>
        <w:rPr>
          <w:rFonts w:hint="eastAsia" w:ascii="方正小标宋简体" w:hAnsi="方正小标宋简体" w:eastAsia="方正小标宋简体" w:cs="方正小标宋简体"/>
          <w:b w:val="0"/>
          <w:bCs/>
          <w:sz w:val="44"/>
          <w:szCs w:val="44"/>
          <w:lang w:val="en-US" w:eastAsia="zh-CN"/>
        </w:rPr>
      </w:pPr>
      <w:bookmarkStart w:id="0" w:name="_GoBack"/>
      <w:r>
        <w:rPr>
          <w:rFonts w:hint="eastAsia" w:ascii="方正小标宋简体" w:hAnsi="方正小标宋简体" w:eastAsia="方正小标宋简体" w:cs="方正小标宋简体"/>
          <w:b w:val="0"/>
          <w:bCs/>
          <w:sz w:val="44"/>
          <w:szCs w:val="44"/>
        </w:rPr>
        <w:t>专项救助实施</w:t>
      </w:r>
      <w:r>
        <w:rPr>
          <w:rFonts w:hint="eastAsia" w:ascii="方正小标宋简体" w:hAnsi="方正小标宋简体" w:eastAsia="方正小标宋简体" w:cs="方正小标宋简体"/>
          <w:b w:val="0"/>
          <w:bCs/>
          <w:sz w:val="44"/>
          <w:szCs w:val="44"/>
          <w:lang w:val="en-US" w:eastAsia="zh-CN"/>
        </w:rPr>
        <w:t>方案</w:t>
      </w:r>
    </w:p>
    <w:bookmarkEnd w:id="0"/>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w:t>
      </w:r>
      <w:r>
        <w:rPr>
          <w:rFonts w:hint="eastAsia" w:ascii="仿宋_GB2312" w:hAnsi="仿宋_GB2312" w:eastAsia="仿宋_GB2312" w:cs="仿宋_GB2312"/>
          <w:color w:val="000000" w:themeColor="text1"/>
          <w:sz w:val="32"/>
          <w:szCs w:val="32"/>
          <w14:textFill>
            <w14:solidFill>
              <w14:schemeClr w14:val="tx1"/>
            </w14:solidFill>
          </w14:textFill>
        </w:rPr>
        <w:t>进一步推进和完善我</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城乡低收入家庭专项救助有关工作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，根据</w:t>
      </w:r>
      <w:r>
        <w:rPr>
          <w:rFonts w:hint="eastAsia" w:ascii="仿宋_GB2312" w:hAnsi="仿宋_GB2312" w:eastAsia="仿宋_GB2312" w:cs="仿宋_GB2312"/>
          <w:color w:val="000000" w:themeColor="text1"/>
          <w:sz w:val="32"/>
          <w:szCs w:val="32"/>
          <w14:textFill>
            <w14:solidFill>
              <w14:schemeClr w14:val="tx1"/>
            </w14:solidFill>
          </w14:textFill>
        </w:rPr>
        <w:t>《海南省社会救助规定》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（海南省人民政府令第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259号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海南省</w:t>
      </w:r>
      <w:r>
        <w:rPr>
          <w:rFonts w:hint="eastAsia" w:ascii="仿宋_GB2312" w:hAnsi="仿宋_GB2312" w:eastAsia="仿宋_GB2312" w:cs="仿宋_GB2312"/>
          <w:color w:val="000000" w:themeColor="text1"/>
          <w:sz w:val="32"/>
          <w:szCs w:val="32"/>
          <w14:textFill>
            <w14:solidFill>
              <w14:schemeClr w14:val="tx1"/>
            </w14:solidFill>
          </w14:textFill>
        </w:rPr>
        <w:t>人民政府办公</w:t>
      </w:r>
      <w:r>
        <w:rPr>
          <w:rFonts w:hint="eastAsia" w:ascii="仿宋_GB2312" w:hAnsi="仿宋_GB2312" w:eastAsia="仿宋_GB2312" w:cs="仿宋_GB2312"/>
          <w:color w:val="000000" w:themeColor="text1"/>
          <w:sz w:val="32"/>
          <w:szCs w:val="32"/>
          <w:lang w:eastAsia="zh-CN"/>
          <w14:textFill>
            <w14:solidFill>
              <w14:schemeClr w14:val="tx1"/>
            </w14:solidFill>
          </w14:textFill>
        </w:rPr>
        <w:t>厅</w:t>
      </w:r>
      <w:r>
        <w:rPr>
          <w:rFonts w:hint="eastAsia" w:ascii="仿宋_GB2312" w:hAnsi="仿宋_GB2312" w:eastAsia="仿宋_GB2312" w:cs="仿宋_GB2312"/>
          <w:color w:val="000000" w:themeColor="text1"/>
          <w:sz w:val="32"/>
          <w:szCs w:val="32"/>
          <w14:textFill>
            <w14:solidFill>
              <w14:schemeClr w14:val="tx1"/>
            </w14:solidFill>
          </w14:textFill>
        </w:rPr>
        <w:t>关于进一步推进和完善城乡低收入家庭专项救助制度的实施意见》</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琼府办[2020]30号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等有关规章，</w:t>
      </w:r>
      <w:r>
        <w:rPr>
          <w:rFonts w:hint="eastAsia" w:ascii="仿宋_GB2312" w:hAnsi="仿宋_GB2312" w:eastAsia="仿宋_GB2312" w:cs="仿宋_GB2312"/>
          <w:color w:val="000000" w:themeColor="text1"/>
          <w:sz w:val="32"/>
          <w:szCs w:val="32"/>
          <w:lang w:eastAsia="zh-CN"/>
          <w14:textFill>
            <w14:solidFill>
              <w14:schemeClr w14:val="tx1"/>
            </w14:solidFill>
          </w14:textFill>
        </w:rPr>
        <w:t>现</w:t>
      </w:r>
      <w:r>
        <w:rPr>
          <w:rFonts w:hint="eastAsia" w:ascii="仿宋_GB2312" w:hAnsi="仿宋_GB2312" w:eastAsia="仿宋_GB2312" w:cs="仿宋_GB2312"/>
          <w:color w:val="000000" w:themeColor="text1"/>
          <w:sz w:val="32"/>
          <w:szCs w:val="32"/>
          <w14:textFill>
            <w14:solidFill>
              <w14:schemeClr w14:val="tx1"/>
            </w14:solidFill>
          </w14:textFill>
        </w:rPr>
        <w:t>结合我</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实际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制定如下实施方案</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420"/>
        <w:jc w:val="both"/>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 xml:space="preserve"> </w:t>
      </w:r>
      <w:r>
        <w:rPr>
          <w:rFonts w:hint="eastAsia" w:ascii="黑体" w:hAnsi="黑体" w:eastAsia="黑体" w:cs="黑体"/>
          <w:b w:val="0"/>
          <w:bCs/>
          <w:color w:val="000000" w:themeColor="text1"/>
          <w:sz w:val="32"/>
          <w:szCs w:val="32"/>
          <w14:textFill>
            <w14:solidFill>
              <w14:schemeClr w14:val="tx1"/>
            </w14:solidFill>
          </w14:textFill>
        </w:rPr>
        <w:t>一、指导思想</w:t>
      </w:r>
    </w:p>
    <w:p>
      <w:pPr>
        <w:pStyle w:val="4"/>
        <w:keepNext w:val="0"/>
        <w:keepLines w:val="0"/>
        <w:pageBreakBefore w:val="0"/>
        <w:widowControl/>
        <w:suppressLineNumbers w:val="0"/>
        <w:kinsoku/>
        <w:wordWrap/>
        <w:overflowPunct/>
        <w:topLinePunct w:val="0"/>
        <w:autoSpaceDE w:val="0"/>
        <w:autoSpaceDN/>
        <w:bidi w:val="0"/>
        <w:snapToGrid/>
        <w:spacing w:before="0" w:beforeAutospacing="0" w:after="0" w:afterAutospacing="0" w:line="560" w:lineRule="exact"/>
        <w:ind w:left="0" w:right="0" w:firstLine="632"/>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color w:val="000000" w:themeColor="text1"/>
          <w:sz w:val="32"/>
          <w:szCs w:val="32"/>
          <w14:textFill>
            <w14:solidFill>
              <w14:schemeClr w14:val="tx1"/>
            </w14:solidFill>
          </w14:textFill>
        </w:rPr>
        <w:t>以</w:t>
      </w:r>
      <w:r>
        <w:rPr>
          <w:rFonts w:hint="eastAsia" w:ascii="仿宋_GB2312" w:hAnsi="仿宋_GB2312" w:eastAsia="仿宋_GB2312" w:cs="仿宋_GB2312"/>
          <w:b w:val="0"/>
          <w:color w:val="000000" w:themeColor="text1"/>
          <w:sz w:val="32"/>
          <w:szCs w:val="32"/>
          <w:lang w:eastAsia="zh-CN"/>
          <w14:textFill>
            <w14:solidFill>
              <w14:schemeClr w14:val="tx1"/>
            </w14:solidFill>
          </w14:textFill>
        </w:rPr>
        <w:t>习近平新时代中国特色社会主义思想为指导，全面贯彻</w:t>
      </w:r>
      <w:r>
        <w:rPr>
          <w:rFonts w:hint="eastAsia" w:ascii="仿宋_GB2312" w:hAnsi="仿宋_GB2312" w:eastAsia="仿宋_GB2312" w:cs="仿宋_GB2312"/>
          <w:b w:val="0"/>
          <w:color w:val="000000" w:themeColor="text1"/>
          <w:sz w:val="32"/>
          <w:szCs w:val="32"/>
          <w14:textFill>
            <w14:solidFill>
              <w14:schemeClr w14:val="tx1"/>
            </w14:solidFill>
          </w14:textFill>
        </w:rPr>
        <w:t>党的十九大</w:t>
      </w:r>
      <w:r>
        <w:rPr>
          <w:rFonts w:hint="eastAsia" w:ascii="仿宋_GB2312" w:hAnsi="仿宋_GB2312" w:eastAsia="仿宋_GB2312" w:cs="仿宋_GB2312"/>
          <w:b w:val="0"/>
          <w:color w:val="000000" w:themeColor="text1"/>
          <w:sz w:val="32"/>
          <w:szCs w:val="32"/>
          <w:lang w:eastAsia="zh-CN"/>
          <w14:textFill>
            <w14:solidFill>
              <w14:schemeClr w14:val="tx1"/>
            </w14:solidFill>
          </w14:textFill>
        </w:rPr>
        <w:t>和十九届五中全会</w:t>
      </w:r>
      <w:r>
        <w:rPr>
          <w:rFonts w:hint="eastAsia" w:ascii="仿宋_GB2312" w:hAnsi="仿宋_GB2312" w:eastAsia="仿宋_GB2312" w:cs="仿宋_GB2312"/>
          <w:b w:val="0"/>
          <w:color w:val="000000" w:themeColor="text1"/>
          <w:sz w:val="32"/>
          <w:szCs w:val="32"/>
          <w14:textFill>
            <w14:solidFill>
              <w14:schemeClr w14:val="tx1"/>
            </w14:solidFill>
          </w14:textFill>
        </w:rPr>
        <w:t>精神，</w:t>
      </w:r>
      <w:r>
        <w:rPr>
          <w:rFonts w:hint="eastAsia" w:ascii="仿宋_GB2312" w:hAnsi="仿宋_GB2312" w:eastAsia="仿宋_GB2312" w:cs="仿宋_GB2312"/>
          <w:b w:val="0"/>
          <w:color w:val="000000" w:themeColor="text1"/>
          <w:sz w:val="32"/>
          <w:szCs w:val="32"/>
          <w:lang w:eastAsia="zh-CN"/>
          <w14:textFill>
            <w14:solidFill>
              <w14:schemeClr w14:val="tx1"/>
            </w14:solidFill>
          </w14:textFill>
        </w:rPr>
        <w:t>坚持以人为本，按照保基本、兜底线、救急难、可持续的总体思想，</w:t>
      </w:r>
      <w:r>
        <w:rPr>
          <w:rFonts w:hint="eastAsia" w:ascii="仿宋_GB2312" w:hAnsi="仿宋_GB2312" w:eastAsia="仿宋_GB2312" w:cs="仿宋_GB2312"/>
          <w:b w:val="0"/>
          <w:color w:val="000000" w:themeColor="text1"/>
          <w:sz w:val="32"/>
          <w:szCs w:val="32"/>
          <w14:textFill>
            <w14:solidFill>
              <w14:schemeClr w14:val="tx1"/>
            </w14:solidFill>
          </w14:textFill>
        </w:rPr>
        <w:t>通过对全</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b w:val="0"/>
          <w:color w:val="000000" w:themeColor="text1"/>
          <w:sz w:val="32"/>
          <w:szCs w:val="32"/>
          <w14:textFill>
            <w14:solidFill>
              <w14:schemeClr w14:val="tx1"/>
            </w14:solidFill>
          </w14:textFill>
        </w:rPr>
        <w:t>低收入家庭进行</w:t>
      </w:r>
      <w:r>
        <w:rPr>
          <w:rFonts w:hint="eastAsia" w:ascii="仿宋_GB2312" w:hAnsi="仿宋_GB2312" w:eastAsia="仿宋_GB2312" w:cs="仿宋_GB2312"/>
          <w:b w:val="0"/>
          <w:color w:val="000000" w:themeColor="text1"/>
          <w:sz w:val="32"/>
          <w:szCs w:val="32"/>
          <w:lang w:eastAsia="zh-CN"/>
          <w14:textFill>
            <w14:solidFill>
              <w14:schemeClr w14:val="tx1"/>
            </w14:solidFill>
          </w14:textFill>
        </w:rPr>
        <w:t>全面</w:t>
      </w:r>
      <w:r>
        <w:rPr>
          <w:rFonts w:hint="eastAsia" w:ascii="仿宋_GB2312" w:hAnsi="仿宋_GB2312" w:eastAsia="仿宋_GB2312" w:cs="仿宋_GB2312"/>
          <w:b w:val="0"/>
          <w:color w:val="000000" w:themeColor="text1"/>
          <w:sz w:val="32"/>
          <w:szCs w:val="32"/>
          <w14:textFill>
            <w14:solidFill>
              <w14:schemeClr w14:val="tx1"/>
            </w14:solidFill>
          </w14:textFill>
        </w:rPr>
        <w:t>认定，对符合救助条件的低收入家庭及时救助，推动我</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b w:val="0"/>
          <w:color w:val="000000" w:themeColor="text1"/>
          <w:sz w:val="32"/>
          <w:szCs w:val="32"/>
          <w14:textFill>
            <w14:solidFill>
              <w14:schemeClr w14:val="tx1"/>
            </w14:solidFill>
          </w14:textFill>
        </w:rPr>
        <w:t>社会救助工作</w:t>
      </w:r>
      <w:r>
        <w:rPr>
          <w:rFonts w:hint="eastAsia" w:ascii="仿宋_GB2312" w:hAnsi="仿宋_GB2312" w:eastAsia="仿宋_GB2312" w:cs="仿宋_GB2312"/>
          <w:b w:val="0"/>
          <w:color w:val="000000" w:themeColor="text1"/>
          <w:sz w:val="32"/>
          <w:szCs w:val="32"/>
          <w:lang w:val="en-US" w:eastAsia="zh-CN"/>
          <w14:textFill>
            <w14:solidFill>
              <w14:schemeClr w14:val="tx1"/>
            </w14:solidFill>
          </w14:textFill>
        </w:rPr>
        <w:t>形成梯度救助格局</w:t>
      </w:r>
      <w:r>
        <w:rPr>
          <w:rFonts w:hint="eastAsia" w:ascii="仿宋_GB2312" w:hAnsi="仿宋_GB2312" w:eastAsia="仿宋_GB2312" w:cs="仿宋_GB2312"/>
          <w:b w:val="0"/>
          <w:color w:val="000000" w:themeColor="text1"/>
          <w:sz w:val="32"/>
          <w:szCs w:val="32"/>
          <w14:textFill>
            <w14:solidFill>
              <w14:schemeClr w14:val="tx1"/>
            </w14:solidFill>
          </w14:textFill>
        </w:rPr>
        <w:t>。</w:t>
      </w:r>
    </w:p>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二、</w:t>
      </w:r>
      <w:r>
        <w:rPr>
          <w:rFonts w:hint="eastAsia" w:ascii="黑体" w:hAnsi="黑体" w:eastAsia="黑体" w:cs="黑体"/>
          <w:b w:val="0"/>
          <w:bCs w:val="0"/>
          <w:color w:val="000000" w:themeColor="text1"/>
          <w:sz w:val="32"/>
          <w:szCs w:val="32"/>
          <w14:textFill>
            <w14:solidFill>
              <w14:schemeClr w14:val="tx1"/>
            </w14:solidFill>
          </w14:textFill>
        </w:rPr>
        <w:t>基本原则</w:t>
      </w:r>
    </w:p>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rightChars="0"/>
        <w:jc w:val="both"/>
        <w:textAlignment w:val="auto"/>
        <w:rPr>
          <w:rFonts w:hint="eastAsia" w:ascii="楷体_GB2312" w:hAnsi="楷体_GB2312" w:eastAsia="楷体_GB2312" w:cs="楷体_GB2312"/>
          <w:color w:val="000000" w:themeColor="text1"/>
          <w:spacing w:val="-6"/>
          <w:sz w:val="32"/>
          <w:szCs w:val="32"/>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 xml:space="preserve">    </w:t>
      </w:r>
      <w:r>
        <w:rPr>
          <w:rFonts w:hint="eastAsia" w:ascii="楷体" w:hAnsi="楷体" w:eastAsia="楷体" w:cs="楷体"/>
          <w:color w:val="000000" w:themeColor="text1"/>
          <w:spacing w:val="-6"/>
          <w:sz w:val="32"/>
          <w:szCs w:val="32"/>
          <w14:textFill>
            <w14:solidFill>
              <w14:schemeClr w14:val="tx1"/>
            </w14:solidFill>
          </w14:textFill>
        </w:rPr>
        <w:t>（</w:t>
      </w:r>
      <w:r>
        <w:rPr>
          <w:rFonts w:hint="eastAsia" w:ascii="楷体_GB2312" w:hAnsi="楷体_GB2312" w:eastAsia="楷体_GB2312" w:cs="楷体_GB2312"/>
          <w:color w:val="000000" w:themeColor="text1"/>
          <w:spacing w:val="-6"/>
          <w:sz w:val="32"/>
          <w:szCs w:val="32"/>
          <w14:textFill>
            <w14:solidFill>
              <w14:schemeClr w14:val="tx1"/>
            </w14:solidFill>
          </w14:textFill>
        </w:rPr>
        <w:t>一）坚持与城乡最低生活保障制度相协调、相衔接的原则；</w:t>
      </w:r>
    </w:p>
    <w:p>
      <w:pPr>
        <w:keepNext w:val="0"/>
        <w:keepLines w:val="0"/>
        <w:pageBreakBefore w:val="0"/>
        <w:kinsoku/>
        <w:wordWrap/>
        <w:overflowPunct/>
        <w:topLinePunct w:val="0"/>
        <w:autoSpaceDN/>
        <w:bidi w:val="0"/>
        <w:snapToGrid/>
        <w:spacing w:line="560" w:lineRule="exact"/>
        <w:ind w:left="0"/>
        <w:jc w:val="both"/>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32"/>
          <w:szCs w:val="32"/>
          <w14:textFill>
            <w14:solidFill>
              <w14:schemeClr w14:val="tx1"/>
            </w14:solidFill>
          </w14:textFill>
        </w:rPr>
        <w:t>（二）坚持救助水平与</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我市</w:t>
      </w:r>
      <w:r>
        <w:rPr>
          <w:rFonts w:hint="eastAsia" w:ascii="楷体_GB2312" w:hAnsi="楷体_GB2312" w:eastAsia="楷体_GB2312" w:cs="楷体_GB2312"/>
          <w:color w:val="000000" w:themeColor="text1"/>
          <w:sz w:val="32"/>
          <w:szCs w:val="32"/>
          <w14:textFill>
            <w14:solidFill>
              <w14:schemeClr w14:val="tx1"/>
            </w14:solidFill>
          </w14:textFill>
        </w:rPr>
        <w:t>经济发展相适应的原则；</w:t>
      </w:r>
    </w:p>
    <w:p>
      <w:pPr>
        <w:keepNext w:val="0"/>
        <w:keepLines w:val="0"/>
        <w:pageBreakBefore w:val="0"/>
        <w:kinsoku/>
        <w:wordWrap/>
        <w:overflowPunct/>
        <w:topLinePunct w:val="0"/>
        <w:autoSpaceDN/>
        <w:bidi w:val="0"/>
        <w:snapToGrid/>
        <w:spacing w:line="560" w:lineRule="exact"/>
        <w:ind w:left="0"/>
        <w:jc w:val="both"/>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32"/>
          <w:szCs w:val="32"/>
          <w14:textFill>
            <w14:solidFill>
              <w14:schemeClr w14:val="tx1"/>
            </w14:solidFill>
          </w14:textFill>
        </w:rPr>
        <w:t>（三）坚持实行专项救助的原则；</w:t>
      </w:r>
    </w:p>
    <w:p>
      <w:pPr>
        <w:keepNext w:val="0"/>
        <w:keepLines w:val="0"/>
        <w:pageBreakBefore w:val="0"/>
        <w:kinsoku/>
        <w:wordWrap/>
        <w:overflowPunct/>
        <w:topLinePunct w:val="0"/>
        <w:autoSpaceDN/>
        <w:bidi w:val="0"/>
        <w:snapToGrid/>
        <w:spacing w:line="560" w:lineRule="exact"/>
        <w:ind w:left="0"/>
        <w:jc w:val="both"/>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32"/>
          <w:szCs w:val="32"/>
          <w14:textFill>
            <w14:solidFill>
              <w14:schemeClr w14:val="tx1"/>
            </w14:solidFill>
          </w14:textFill>
        </w:rPr>
        <w:t>（四）坚持政府救助、社会互助、家庭保障相结合的原则。</w:t>
      </w:r>
    </w:p>
    <w:p>
      <w:pPr>
        <w:keepNext w:val="0"/>
        <w:keepLines w:val="0"/>
        <w:pageBreakBefore w:val="0"/>
        <w:numPr>
          <w:ilvl w:val="0"/>
          <w:numId w:val="0"/>
        </w:numPr>
        <w:kinsoku/>
        <w:wordWrap/>
        <w:overflowPunct/>
        <w:topLinePunct w:val="0"/>
        <w:autoSpaceDN/>
        <w:bidi w:val="0"/>
        <w:snapToGrid/>
        <w:spacing w:line="56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三、</w:t>
      </w:r>
      <w:r>
        <w:rPr>
          <w:rFonts w:hint="eastAsia" w:ascii="黑体" w:hAnsi="黑体" w:eastAsia="黑体" w:cs="黑体"/>
          <w:b w:val="0"/>
          <w:bCs w:val="0"/>
          <w:color w:val="000000" w:themeColor="text1"/>
          <w:sz w:val="32"/>
          <w:szCs w:val="32"/>
          <w14:textFill>
            <w14:solidFill>
              <w14:schemeClr w14:val="tx1"/>
            </w14:solidFill>
          </w14:textFill>
        </w:rPr>
        <w:t>认定条件及审批程序</w:t>
      </w:r>
    </w:p>
    <w:p>
      <w:pPr>
        <w:keepNext w:val="0"/>
        <w:keepLines w:val="0"/>
        <w:pageBreakBefore w:val="0"/>
        <w:numPr>
          <w:ilvl w:val="0"/>
          <w:numId w:val="0"/>
        </w:numPr>
        <w:kinsoku/>
        <w:wordWrap/>
        <w:overflowPunct/>
        <w:topLinePunct w:val="0"/>
        <w:autoSpaceDN/>
        <w:bidi w:val="0"/>
        <w:snapToGrid/>
        <w:spacing w:line="560" w:lineRule="exact"/>
        <w:ind w:left="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w:t>
      </w:r>
      <w:r>
        <w:rPr>
          <w:rFonts w:hint="eastAsia" w:ascii="楷体_GB2312" w:hAnsi="楷体_GB2312" w:eastAsia="楷体_GB2312" w:cs="楷体_GB2312"/>
          <w:color w:val="000000" w:themeColor="text1"/>
          <w:sz w:val="32"/>
          <w:szCs w:val="32"/>
          <w14:textFill>
            <w14:solidFill>
              <w14:schemeClr w14:val="tx1"/>
            </w14:solidFill>
          </w14:textFill>
        </w:rPr>
        <w:t>认定条件。</w:t>
      </w:r>
      <w:r>
        <w:rPr>
          <w:rFonts w:hint="eastAsia" w:ascii="仿宋_GB2312" w:hAnsi="仿宋_GB2312" w:eastAsia="仿宋_GB2312" w:cs="仿宋_GB2312"/>
          <w:color w:val="000000" w:themeColor="text1"/>
          <w:sz w:val="32"/>
          <w:szCs w:val="32"/>
          <w14:textFill>
            <w14:solidFill>
              <w14:schemeClr w14:val="tx1"/>
            </w14:solidFill>
          </w14:textFill>
        </w:rPr>
        <w:t>城乡低收入家庭认定</w:t>
      </w:r>
      <w:r>
        <w:rPr>
          <w:rFonts w:hint="eastAsia" w:ascii="仿宋_GB2312" w:hAnsi="仿宋_GB2312" w:eastAsia="仿宋_GB2312" w:cs="仿宋_GB2312"/>
          <w:color w:val="000000" w:themeColor="text1"/>
          <w:sz w:val="32"/>
          <w:szCs w:val="32"/>
          <w:lang w:eastAsia="zh-CN"/>
          <w14:textFill>
            <w14:solidFill>
              <w14:schemeClr w14:val="tx1"/>
            </w14:solidFill>
          </w14:textFill>
        </w:rPr>
        <w:t>的条件</w:t>
      </w:r>
      <w:r>
        <w:rPr>
          <w:rFonts w:hint="eastAsia" w:ascii="仿宋_GB2312" w:hAnsi="仿宋_GB2312" w:eastAsia="仿宋_GB2312" w:cs="仿宋_GB2312"/>
          <w:color w:val="000000" w:themeColor="text1"/>
          <w:sz w:val="32"/>
          <w:szCs w:val="32"/>
          <w14:textFill>
            <w14:solidFill>
              <w14:schemeClr w14:val="tx1"/>
            </w14:solidFill>
          </w14:textFill>
        </w:rPr>
        <w:t>包括</w:t>
      </w:r>
      <w:r>
        <w:rPr>
          <w:rFonts w:hint="eastAsia" w:ascii="仿宋_GB2312" w:hAnsi="仿宋_GB2312" w:eastAsia="仿宋_GB2312" w:cs="仿宋_GB2312"/>
          <w:color w:val="000000" w:themeColor="text1"/>
          <w:sz w:val="32"/>
          <w:szCs w:val="32"/>
          <w:lang w:eastAsia="zh-CN"/>
          <w14:textFill>
            <w14:solidFill>
              <w14:schemeClr w14:val="tx1"/>
            </w14:solidFill>
          </w14:textFill>
        </w:rPr>
        <w:t>户籍状况、</w:t>
      </w:r>
      <w:r>
        <w:rPr>
          <w:rFonts w:hint="eastAsia" w:ascii="仿宋_GB2312" w:hAnsi="仿宋_GB2312" w:eastAsia="仿宋_GB2312" w:cs="仿宋_GB2312"/>
          <w:color w:val="000000" w:themeColor="text1"/>
          <w:sz w:val="32"/>
          <w:szCs w:val="32"/>
          <w14:textFill>
            <w14:solidFill>
              <w14:schemeClr w14:val="tx1"/>
            </w14:solidFill>
          </w14:textFill>
        </w:rPr>
        <w:t>家庭收入和家庭财产状况</w:t>
      </w:r>
      <w:r>
        <w:rPr>
          <w:rFonts w:hint="eastAsia" w:ascii="仿宋_GB2312" w:hAnsi="仿宋_GB2312" w:eastAsia="仿宋_GB2312" w:cs="仿宋_GB2312"/>
          <w:color w:val="000000" w:themeColor="text1"/>
          <w:sz w:val="32"/>
          <w:szCs w:val="32"/>
          <w:lang w:eastAsia="zh-CN"/>
          <w14:textFill>
            <w14:solidFill>
              <w14:schemeClr w14:val="tx1"/>
            </w14:solidFill>
          </w14:textFill>
        </w:rPr>
        <w:t>三个方面</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autoSpaceDN/>
        <w:bidi w:val="0"/>
        <w:snapToGrid/>
        <w:spacing w:line="560" w:lineRule="exact"/>
        <w:ind w:left="0" w:firstLine="640" w:firstLineChars="200"/>
        <w:jc w:val="both"/>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1.户籍要求。</w:t>
      </w:r>
      <w:r>
        <w:rPr>
          <w:rFonts w:hint="eastAsia" w:ascii="仿宋_GB2312" w:hAnsi="仿宋_GB2312" w:eastAsia="仿宋_GB2312" w:cs="仿宋_GB2312"/>
          <w:color w:val="000000" w:themeColor="text1"/>
          <w:sz w:val="32"/>
          <w:szCs w:val="32"/>
          <w14:textFill>
            <w14:solidFill>
              <w14:schemeClr w14:val="tx1"/>
            </w14:solidFill>
          </w14:textFill>
        </w:rPr>
        <w:t>城乡低收入家庭</w:t>
      </w:r>
      <w:r>
        <w:rPr>
          <w:rFonts w:hint="eastAsia" w:ascii="仿宋_GB2312" w:hAnsi="仿宋_GB2312" w:eastAsia="仿宋_GB2312" w:cs="仿宋_GB2312"/>
          <w:color w:val="000000" w:themeColor="text1"/>
          <w:sz w:val="32"/>
          <w:szCs w:val="32"/>
          <w:lang w:eastAsia="zh-CN"/>
          <w14:textFill>
            <w14:solidFill>
              <w14:schemeClr w14:val="tx1"/>
            </w14:solidFill>
          </w14:textFill>
        </w:rPr>
        <w:t>成员应为琼海市</w:t>
      </w:r>
      <w:r>
        <w:rPr>
          <w:rFonts w:hint="eastAsia" w:ascii="仿宋_GB2312" w:hAnsi="仿宋_GB2312" w:eastAsia="仿宋_GB2312" w:cs="仿宋_GB2312"/>
          <w:color w:val="000000" w:themeColor="text1"/>
          <w:sz w:val="32"/>
          <w:szCs w:val="32"/>
          <w14:textFill>
            <w14:solidFill>
              <w14:schemeClr w14:val="tx1"/>
            </w14:solidFill>
          </w14:textFill>
        </w:rPr>
        <w:t>户籍</w:t>
      </w:r>
      <w:r>
        <w:rPr>
          <w:rFonts w:hint="eastAsia" w:ascii="仿宋_GB2312" w:hAnsi="仿宋_GB2312" w:eastAsia="仿宋_GB2312" w:cs="仿宋_GB2312"/>
          <w:color w:val="000000" w:themeColor="text1"/>
          <w:sz w:val="32"/>
          <w:szCs w:val="32"/>
          <w:lang w:eastAsia="zh-CN"/>
          <w14:textFill>
            <w14:solidFill>
              <w14:schemeClr w14:val="tx1"/>
            </w14:solidFill>
          </w14:textFill>
        </w:rPr>
        <w:t>，或为我省其他市县户籍，长期在我市居住的。</w:t>
      </w:r>
    </w:p>
    <w:p>
      <w:pPr>
        <w:keepNext w:val="0"/>
        <w:keepLines w:val="0"/>
        <w:pageBreakBefore w:val="0"/>
        <w:numPr>
          <w:ilvl w:val="0"/>
          <w:numId w:val="0"/>
        </w:numPr>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.家庭收入标准。</w:t>
      </w:r>
      <w:r>
        <w:rPr>
          <w:rFonts w:hint="eastAsia" w:ascii="仿宋_GB2312" w:hAnsi="仿宋_GB2312" w:eastAsia="仿宋_GB2312" w:cs="仿宋_GB2312"/>
          <w:color w:val="000000" w:themeColor="text1"/>
          <w:sz w:val="32"/>
          <w:szCs w:val="32"/>
          <w14:textFill>
            <w14:solidFill>
              <w14:schemeClr w14:val="tx1"/>
            </w14:solidFill>
          </w14:textFill>
        </w:rPr>
        <w:t>家庭人均月收入处于</w:t>
      </w:r>
      <w:r>
        <w:rPr>
          <w:rFonts w:hint="eastAsia" w:ascii="仿宋_GB2312" w:hAnsi="仿宋_GB2312" w:eastAsia="仿宋_GB2312" w:cs="仿宋_GB2312"/>
          <w:color w:val="000000" w:themeColor="text1"/>
          <w:sz w:val="32"/>
          <w:szCs w:val="32"/>
          <w:lang w:eastAsia="zh-CN"/>
          <w14:textFill>
            <w14:solidFill>
              <w14:schemeClr w14:val="tx1"/>
            </w14:solidFill>
          </w14:textFill>
        </w:rPr>
        <w:t>我市</w:t>
      </w:r>
      <w:r>
        <w:rPr>
          <w:rFonts w:hint="eastAsia" w:ascii="仿宋_GB2312" w:hAnsi="仿宋_GB2312" w:eastAsia="仿宋_GB2312" w:cs="仿宋_GB2312"/>
          <w:color w:val="000000" w:themeColor="text1"/>
          <w:sz w:val="32"/>
          <w:szCs w:val="32"/>
          <w14:textFill>
            <w14:solidFill>
              <w14:schemeClr w14:val="tx1"/>
            </w14:solidFill>
          </w14:textFill>
        </w:rPr>
        <w:t>城乡</w:t>
      </w:r>
      <w:r>
        <w:rPr>
          <w:rFonts w:hint="eastAsia" w:ascii="仿宋_GB2312" w:hAnsi="仿宋_GB2312" w:eastAsia="仿宋_GB2312" w:cs="仿宋_GB2312"/>
          <w:color w:val="000000" w:themeColor="text1"/>
          <w:sz w:val="32"/>
          <w:szCs w:val="32"/>
          <w:lang w:eastAsia="zh-CN"/>
          <w14:textFill>
            <w14:solidFill>
              <w14:schemeClr w14:val="tx1"/>
            </w14:solidFill>
          </w14:textFill>
        </w:rPr>
        <w:t>月</w:t>
      </w:r>
      <w:r>
        <w:rPr>
          <w:rFonts w:hint="eastAsia" w:ascii="仿宋_GB2312" w:hAnsi="仿宋_GB2312" w:eastAsia="仿宋_GB2312" w:cs="仿宋_GB2312"/>
          <w:color w:val="000000" w:themeColor="text1"/>
          <w:sz w:val="32"/>
          <w:szCs w:val="32"/>
          <w14:textFill>
            <w14:solidFill>
              <w14:schemeClr w14:val="tx1"/>
            </w14:solidFill>
          </w14:textFill>
        </w:rPr>
        <w:t>最低生活保障标准1至1.5倍之间（含1.5倍）。家庭收入是指家庭成员在最近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个月内拥有的全部收入，包括扣除缴纳个人所得税以及个人缴纳社会保障支出后的工薪性收入、经营性净收入、财产性</w:t>
      </w:r>
      <w:r>
        <w:rPr>
          <w:rFonts w:hint="eastAsia" w:ascii="仿宋_GB2312" w:hAnsi="仿宋_GB2312" w:eastAsia="仿宋_GB2312" w:cs="仿宋_GB2312"/>
          <w:color w:val="000000" w:themeColor="text1"/>
          <w:sz w:val="32"/>
          <w:szCs w:val="32"/>
          <w:lang w:eastAsia="zh-CN"/>
          <w14:textFill>
            <w14:solidFill>
              <w14:schemeClr w14:val="tx1"/>
            </w14:solidFill>
          </w14:textFill>
        </w:rPr>
        <w:t>净</w:t>
      </w:r>
      <w:r>
        <w:rPr>
          <w:rFonts w:hint="eastAsia" w:ascii="仿宋_GB2312" w:hAnsi="仿宋_GB2312" w:eastAsia="仿宋_GB2312" w:cs="仿宋_GB2312"/>
          <w:color w:val="000000" w:themeColor="text1"/>
          <w:sz w:val="32"/>
          <w:szCs w:val="32"/>
          <w14:textFill>
            <w14:solidFill>
              <w14:schemeClr w14:val="tx1"/>
            </w14:solidFill>
          </w14:textFill>
        </w:rPr>
        <w:t>收入和转移性</w:t>
      </w:r>
      <w:r>
        <w:rPr>
          <w:rFonts w:hint="eastAsia" w:ascii="仿宋_GB2312" w:hAnsi="仿宋_GB2312" w:eastAsia="仿宋_GB2312" w:cs="仿宋_GB2312"/>
          <w:color w:val="000000" w:themeColor="text1"/>
          <w:sz w:val="32"/>
          <w:szCs w:val="32"/>
          <w:lang w:eastAsia="zh-CN"/>
          <w14:textFill>
            <w14:solidFill>
              <w14:schemeClr w14:val="tx1"/>
            </w14:solidFill>
          </w14:textFill>
        </w:rPr>
        <w:t>净</w:t>
      </w:r>
      <w:r>
        <w:rPr>
          <w:rFonts w:hint="eastAsia" w:ascii="仿宋_GB2312" w:hAnsi="仿宋_GB2312" w:eastAsia="仿宋_GB2312" w:cs="仿宋_GB2312"/>
          <w:color w:val="000000" w:themeColor="text1"/>
          <w:sz w:val="32"/>
          <w:szCs w:val="32"/>
          <w14:textFill>
            <w14:solidFill>
              <w14:schemeClr w14:val="tx1"/>
            </w14:solidFill>
          </w14:textFill>
        </w:rPr>
        <w:t>收入等。</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.家庭财产状况认定标准。</w:t>
      </w:r>
      <w:r>
        <w:rPr>
          <w:rFonts w:hint="eastAsia" w:ascii="仿宋_GB2312" w:hAnsi="仿宋_GB2312" w:eastAsia="仿宋_GB2312" w:cs="仿宋_GB2312"/>
          <w:color w:val="000000" w:themeColor="text1"/>
          <w:sz w:val="32"/>
          <w:szCs w:val="32"/>
          <w14:textFill>
            <w14:solidFill>
              <w14:schemeClr w14:val="tx1"/>
            </w14:solidFill>
          </w14:textFill>
        </w:rPr>
        <w:t>低收入家庭财产状况认定标准为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人均拥有货币</w:t>
      </w:r>
      <w:r>
        <w:rPr>
          <w:rFonts w:hint="eastAsia" w:ascii="仿宋_GB2312" w:hAnsi="仿宋_GB2312" w:eastAsia="仿宋_GB2312" w:cs="仿宋_GB2312"/>
          <w:color w:val="000000" w:themeColor="text1"/>
          <w:sz w:val="32"/>
          <w:szCs w:val="32"/>
          <w:lang w:eastAsia="zh-CN"/>
          <w14:textFill>
            <w14:solidFill>
              <w14:schemeClr w14:val="tx1"/>
            </w14:solidFill>
          </w14:textFill>
        </w:rPr>
        <w:t>财</w:t>
      </w:r>
      <w:r>
        <w:rPr>
          <w:rFonts w:hint="eastAsia" w:ascii="仿宋_GB2312" w:hAnsi="仿宋_GB2312" w:eastAsia="仿宋_GB2312" w:cs="仿宋_GB2312"/>
          <w:color w:val="000000" w:themeColor="text1"/>
          <w:sz w:val="32"/>
          <w:szCs w:val="32"/>
          <w14:textFill>
            <w14:solidFill>
              <w14:schemeClr w14:val="tx1"/>
            </w14:solidFill>
          </w14:textFill>
        </w:rPr>
        <w:t>产不超过城市</w:t>
      </w:r>
      <w:r>
        <w:rPr>
          <w:rFonts w:hint="eastAsia" w:ascii="仿宋_GB2312" w:hAnsi="仿宋_GB2312" w:eastAsia="仿宋_GB2312" w:cs="仿宋_GB2312"/>
          <w:color w:val="000000" w:themeColor="text1"/>
          <w:sz w:val="32"/>
          <w:szCs w:val="32"/>
          <w:lang w:eastAsia="zh-CN"/>
          <w14:textFill>
            <w14:solidFill>
              <w14:schemeClr w14:val="tx1"/>
            </w14:solidFill>
          </w14:textFill>
        </w:rPr>
        <w:t>月</w:t>
      </w:r>
      <w:r>
        <w:rPr>
          <w:rFonts w:hint="eastAsia" w:ascii="仿宋_GB2312" w:hAnsi="仿宋_GB2312" w:eastAsia="仿宋_GB2312" w:cs="仿宋_GB2312"/>
          <w:color w:val="000000" w:themeColor="text1"/>
          <w:sz w:val="32"/>
          <w:szCs w:val="32"/>
          <w14:textFill>
            <w14:solidFill>
              <w14:schemeClr w14:val="tx1"/>
            </w14:solidFill>
          </w14:textFill>
        </w:rPr>
        <w:t>最低生活保障标准的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36</w:t>
      </w:r>
      <w:r>
        <w:rPr>
          <w:rFonts w:hint="eastAsia" w:ascii="仿宋_GB2312" w:hAnsi="仿宋_GB2312" w:eastAsia="仿宋_GB2312" w:cs="仿宋_GB2312"/>
          <w:color w:val="000000" w:themeColor="text1"/>
          <w:sz w:val="32"/>
          <w:szCs w:val="32"/>
          <w14:textFill>
            <w14:solidFill>
              <w14:schemeClr w14:val="tx1"/>
            </w14:solidFill>
          </w14:textFill>
        </w:rPr>
        <w:t>倍</w:t>
      </w:r>
      <w:r>
        <w:rPr>
          <w:rFonts w:hint="eastAsia" w:ascii="仿宋_GB2312" w:hAnsi="仿宋_GB2312" w:eastAsia="仿宋_GB2312" w:cs="仿宋_GB2312"/>
          <w:color w:val="000000" w:themeColor="text1"/>
          <w:sz w:val="32"/>
          <w:szCs w:val="32"/>
          <w:lang w:eastAsia="zh-CN"/>
          <w14:textFill>
            <w14:solidFill>
              <w14:schemeClr w14:val="tx1"/>
            </w14:solidFill>
          </w14:textFill>
        </w:rPr>
        <w:t>，人均拥有实物财产在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5万元以内</w:t>
      </w:r>
      <w:r>
        <w:rPr>
          <w:rFonts w:hint="eastAsia" w:ascii="仿宋_GB2312" w:hAnsi="仿宋_GB2312" w:eastAsia="仿宋_GB2312" w:cs="仿宋_GB2312"/>
          <w:color w:val="000000" w:themeColor="text1"/>
          <w:sz w:val="32"/>
          <w:szCs w:val="32"/>
          <w14:textFill>
            <w14:solidFill>
              <w14:schemeClr w14:val="tx1"/>
            </w14:solidFill>
          </w14:textFill>
        </w:rPr>
        <w:t>。家庭</w:t>
      </w:r>
      <w:r>
        <w:rPr>
          <w:rFonts w:hint="eastAsia" w:ascii="仿宋_GB2312" w:hAnsi="仿宋_GB2312" w:eastAsia="仿宋_GB2312" w:cs="仿宋_GB2312"/>
          <w:color w:val="000000" w:themeColor="text1"/>
          <w:sz w:val="32"/>
          <w:szCs w:val="32"/>
          <w:lang w:eastAsia="zh-CN"/>
          <w14:textFill>
            <w14:solidFill>
              <w14:schemeClr w14:val="tx1"/>
            </w14:solidFill>
          </w14:textFill>
        </w:rPr>
        <w:t>货币</w:t>
      </w:r>
      <w:r>
        <w:rPr>
          <w:rFonts w:hint="eastAsia" w:ascii="仿宋_GB2312" w:hAnsi="仿宋_GB2312" w:eastAsia="仿宋_GB2312" w:cs="仿宋_GB2312"/>
          <w:color w:val="000000" w:themeColor="text1"/>
          <w:sz w:val="32"/>
          <w:szCs w:val="32"/>
          <w14:textFill>
            <w14:solidFill>
              <w14:schemeClr w14:val="tx1"/>
            </w14:solidFill>
          </w14:textFill>
        </w:rPr>
        <w:t>财产状况是指家庭成员拥有的全部存款、商业保险、有价证券等</w:t>
      </w:r>
      <w:r>
        <w:rPr>
          <w:rFonts w:hint="eastAsia" w:ascii="仿宋_GB2312" w:hAnsi="仿宋_GB2312" w:eastAsia="仿宋_GB2312" w:cs="仿宋_GB2312"/>
          <w:color w:val="000000" w:themeColor="text1"/>
          <w:sz w:val="32"/>
          <w:szCs w:val="32"/>
          <w:lang w:eastAsia="zh-CN"/>
          <w14:textFill>
            <w14:solidFill>
              <w14:schemeClr w14:val="tx1"/>
            </w14:solidFill>
          </w14:textFill>
        </w:rPr>
        <w:t>，实物财产是指机动</w:t>
      </w:r>
      <w:r>
        <w:rPr>
          <w:rFonts w:hint="eastAsia" w:ascii="仿宋_GB2312" w:hAnsi="仿宋_GB2312" w:eastAsia="仿宋_GB2312" w:cs="仿宋_GB2312"/>
          <w:color w:val="000000" w:themeColor="text1"/>
          <w:sz w:val="32"/>
          <w:szCs w:val="32"/>
          <w14:textFill>
            <w14:solidFill>
              <w14:schemeClr w14:val="tx1"/>
            </w14:solidFill>
          </w14:textFill>
        </w:rPr>
        <w:t>车辆、船舶、农机器械</w:t>
      </w:r>
      <w:r>
        <w:rPr>
          <w:rFonts w:hint="eastAsia" w:ascii="仿宋_GB2312" w:hAnsi="仿宋_GB2312" w:eastAsia="仿宋_GB2312" w:cs="仿宋_GB2312"/>
          <w:color w:val="000000" w:themeColor="text1"/>
          <w:sz w:val="32"/>
          <w:szCs w:val="32"/>
          <w:lang w:eastAsia="zh-CN"/>
          <w14:textFill>
            <w14:solidFill>
              <w14:schemeClr w14:val="tx1"/>
            </w14:solidFill>
          </w14:textFill>
        </w:rPr>
        <w:t>、家具家电</w:t>
      </w:r>
      <w:r>
        <w:rPr>
          <w:rFonts w:hint="eastAsia" w:ascii="仿宋_GB2312" w:hAnsi="仿宋_GB2312" w:eastAsia="仿宋_GB2312" w:cs="仿宋_GB2312"/>
          <w:color w:val="000000" w:themeColor="text1"/>
          <w:sz w:val="32"/>
          <w:szCs w:val="32"/>
          <w14:textFill>
            <w14:solidFill>
              <w14:schemeClr w14:val="tx1"/>
            </w14:solidFill>
          </w14:textFill>
        </w:rPr>
        <w:t>以及农作物、经济作物以及畜牧养殖等</w:t>
      </w:r>
      <w:r>
        <w:rPr>
          <w:rFonts w:hint="eastAsia" w:ascii="仿宋_GB2312" w:hAnsi="仿宋_GB2312" w:eastAsia="仿宋_GB2312" w:cs="仿宋_GB2312"/>
          <w:color w:val="000000" w:themeColor="text1"/>
          <w:sz w:val="32"/>
          <w:szCs w:val="32"/>
          <w:lang w:eastAsia="zh-CN"/>
          <w14:textFill>
            <w14:solidFill>
              <w14:schemeClr w14:val="tx1"/>
            </w14:solidFill>
          </w14:textFill>
        </w:rPr>
        <w:t>（按照购置发票计税金额及市场均价认定）</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N/>
        <w:bidi w:val="0"/>
        <w:snapToGrid/>
        <w:spacing w:line="560" w:lineRule="exact"/>
        <w:ind w:left="0" w:firstLine="641"/>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.下列收入不计入家庭可支配收入。</w:t>
      </w:r>
      <w:r>
        <w:rPr>
          <w:rFonts w:hint="eastAsia" w:ascii="仿宋" w:hAnsi="仿宋" w:eastAsia="仿宋" w:cs="仿宋"/>
          <w:color w:val="000000" w:themeColor="text1"/>
          <w:sz w:val="32"/>
          <w:szCs w:val="32"/>
          <w14:textFill>
            <w14:solidFill>
              <w14:schemeClr w14:val="tx1"/>
            </w14:solidFill>
          </w14:textFill>
        </w:rPr>
        <w:br w:type="textWrapping"/>
      </w:r>
      <w:r>
        <w:rPr>
          <w:rFonts w:hint="eastAsia" w:ascii="仿宋" w:hAnsi="仿宋" w:eastAsia="仿宋" w:cs="仿宋"/>
          <w:color w:val="000000" w:themeColor="text1"/>
          <w:sz w:val="32"/>
          <w:szCs w:val="32"/>
          <w14:textFill>
            <w14:solidFill>
              <w14:schemeClr w14:val="tx1"/>
            </w14:solidFill>
          </w14:textFill>
        </w:rPr>
        <w:t>    </w:t>
      </w:r>
      <w:r>
        <w:rPr>
          <w:rFonts w:hint="eastAsia" w:ascii="仿宋_GB2312" w:hAnsi="仿宋_GB2312" w:eastAsia="仿宋_GB2312" w:cs="仿宋_GB2312"/>
          <w:color w:val="000000" w:themeColor="text1"/>
          <w:sz w:val="32"/>
          <w:szCs w:val="32"/>
          <w14:textFill>
            <w14:solidFill>
              <w14:schemeClr w14:val="tx1"/>
            </w14:solidFill>
          </w14:textFill>
        </w:rPr>
        <w:t>（1）优抚对象抚恤金、补助金、立功荣誉金；</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 （2）义务兵家庭优待金；</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 （3）计划生育奖励与扶助金；</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 （4）见义勇为奖励金；</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 （5）</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级以上劳动模范离退休后享受的荣誉津贴；</w:t>
      </w:r>
    </w:p>
    <w:p>
      <w:pPr>
        <w:keepNext w:val="0"/>
        <w:keepLines w:val="0"/>
        <w:pageBreakBefore w:val="0"/>
        <w:kinsoku/>
        <w:wordWrap/>
        <w:overflowPunct/>
        <w:topLinePunct w:val="0"/>
        <w:autoSpaceDN/>
        <w:bidi w:val="0"/>
        <w:snapToGrid/>
        <w:spacing w:line="560" w:lineRule="exact"/>
        <w:ind w:left="0" w:firstLine="641"/>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（6）城乡居民基本养老保险基础养老金；</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）政府和社会给予的教育奖学金、助学金、寄宿生生活补助费，社会救助金，老年人高龄补贴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,建国前老党员定期补助，残疾人各类补贴和慈善救助等</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）因工伤亡人员治疗、护理</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丧葬费；社会保险机构发</w:t>
      </w:r>
      <w:r>
        <w:rPr>
          <w:rFonts w:hint="eastAsia" w:ascii="仿宋_GB2312" w:hAnsi="仿宋_GB2312" w:eastAsia="仿宋_GB2312" w:cs="仿宋_GB2312"/>
          <w:color w:val="000000" w:themeColor="text1"/>
          <w:sz w:val="32"/>
          <w:szCs w:val="32"/>
          <w:lang w:eastAsia="zh-CN"/>
          <w14:textFill>
            <w14:solidFill>
              <w14:schemeClr w14:val="tx1"/>
            </w14:solidFill>
          </w14:textFill>
        </w:rPr>
        <w:t>放</w:t>
      </w:r>
      <w:r>
        <w:rPr>
          <w:rFonts w:hint="eastAsia" w:ascii="仿宋_GB2312" w:hAnsi="仿宋_GB2312" w:eastAsia="仿宋_GB2312" w:cs="仿宋_GB2312"/>
          <w:color w:val="000000" w:themeColor="text1"/>
          <w:sz w:val="32"/>
          <w:szCs w:val="32"/>
          <w14:textFill>
            <w14:solidFill>
              <w14:schemeClr w14:val="tx1"/>
            </w14:solidFill>
          </w14:textFill>
        </w:rPr>
        <w:t>的丧葬费；</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（9）</w:t>
      </w:r>
      <w:r>
        <w:rPr>
          <w:rFonts w:hint="eastAsia" w:ascii="仿宋_GB2312" w:hAnsi="仿宋_GB2312" w:eastAsia="仿宋_GB2312" w:cs="仿宋_GB2312"/>
          <w:color w:val="000000" w:themeColor="text1"/>
          <w:sz w:val="32"/>
          <w:szCs w:val="32"/>
          <w14:textFill>
            <w14:solidFill>
              <w14:schemeClr w14:val="tx1"/>
            </w14:solidFill>
          </w14:textFill>
        </w:rPr>
        <w:t>依法不计入家庭可支配收入的其他收入。</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.有下列情形之一的，原则上不予认定为城乡低收入家庭。</w:t>
      </w:r>
    </w:p>
    <w:p>
      <w:pPr>
        <w:keepNext w:val="0"/>
        <w:keepLines w:val="0"/>
        <w:pageBreakBefore w:val="0"/>
        <w:kinsoku/>
        <w:wordWrap/>
        <w:overflowPunct/>
        <w:topLinePunct w:val="0"/>
        <w:autoSpaceDN/>
        <w:bidi w:val="0"/>
        <w:snapToGrid/>
        <w:spacing w:line="560" w:lineRule="exact"/>
        <w:ind w:left="0" w:firstLine="64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）家庭日常生活消费明显高于我市居民平均水平的；</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）家庭成员中有义务教育阶段择校</w:t>
      </w:r>
      <w:r>
        <w:rPr>
          <w:rFonts w:hint="eastAsia" w:ascii="仿宋_GB2312" w:hAnsi="仿宋_GB2312" w:eastAsia="仿宋_GB2312" w:cs="仿宋_GB2312"/>
          <w:color w:val="auto"/>
          <w:sz w:val="32"/>
          <w:szCs w:val="32"/>
          <w:lang w:eastAsia="zh-CN"/>
        </w:rPr>
        <w:t>支付</w:t>
      </w:r>
      <w:r>
        <w:rPr>
          <w:rFonts w:hint="eastAsia" w:ascii="仿宋_GB2312" w:hAnsi="仿宋_GB2312" w:eastAsia="仿宋_GB2312" w:cs="仿宋_GB2312"/>
          <w:color w:val="auto"/>
          <w:sz w:val="32"/>
          <w:szCs w:val="32"/>
        </w:rPr>
        <w:t>高</w:t>
      </w:r>
      <w:r>
        <w:rPr>
          <w:rFonts w:hint="eastAsia" w:ascii="仿宋_GB2312" w:hAnsi="仿宋_GB2312" w:eastAsia="仿宋_GB2312" w:cs="仿宋_GB2312"/>
          <w:color w:val="auto"/>
          <w:sz w:val="32"/>
          <w:szCs w:val="32"/>
          <w:lang w:eastAsia="zh-CN"/>
        </w:rPr>
        <w:t>额学</w:t>
      </w:r>
      <w:r>
        <w:rPr>
          <w:rFonts w:hint="eastAsia" w:ascii="仿宋_GB2312" w:hAnsi="仿宋_GB2312" w:eastAsia="仿宋_GB2312" w:cs="仿宋_GB2312"/>
          <w:color w:val="auto"/>
          <w:sz w:val="32"/>
          <w:szCs w:val="32"/>
        </w:rPr>
        <w:t>费</w:t>
      </w:r>
      <w:r>
        <w:rPr>
          <w:rFonts w:hint="eastAsia" w:ascii="仿宋_GB2312" w:hAnsi="仿宋_GB2312" w:eastAsia="仿宋_GB2312" w:cs="仿宋_GB2312"/>
          <w:color w:val="auto"/>
          <w:sz w:val="32"/>
          <w:szCs w:val="32"/>
          <w:lang w:eastAsia="zh-CN"/>
        </w:rPr>
        <w:t>或</w:t>
      </w:r>
      <w:r>
        <w:rPr>
          <w:rFonts w:hint="eastAsia" w:ascii="仿宋_GB2312" w:hAnsi="仿宋_GB2312" w:eastAsia="仿宋_GB2312" w:cs="仿宋_GB2312"/>
          <w:color w:val="auto"/>
          <w:sz w:val="32"/>
          <w:szCs w:val="32"/>
        </w:rPr>
        <w:t>自费出国留学的；</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）近两年内购置商品房或</w:t>
      </w:r>
      <w:r>
        <w:rPr>
          <w:rFonts w:hint="eastAsia" w:ascii="仿宋_GB2312" w:hAnsi="仿宋_GB2312" w:eastAsia="仿宋_GB2312" w:cs="仿宋_GB2312"/>
          <w:color w:val="000000" w:themeColor="text1"/>
          <w:sz w:val="32"/>
          <w:szCs w:val="32"/>
          <w:lang w:eastAsia="zh-CN"/>
          <w14:textFill>
            <w14:solidFill>
              <w14:schemeClr w14:val="tx1"/>
            </w14:solidFill>
          </w14:textFill>
        </w:rPr>
        <w:t>自建新房</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且</w:t>
      </w:r>
      <w:r>
        <w:rPr>
          <w:rFonts w:hint="eastAsia" w:ascii="仿宋_GB2312" w:hAnsi="仿宋_GB2312" w:eastAsia="仿宋_GB2312" w:cs="仿宋_GB2312"/>
          <w:color w:val="000000" w:themeColor="text1"/>
          <w:sz w:val="32"/>
          <w:szCs w:val="32"/>
          <w14:textFill>
            <w14:solidFill>
              <w14:schemeClr w14:val="tx1"/>
            </w14:solidFill>
          </w14:textFill>
        </w:rPr>
        <w:t>家庭</w:t>
      </w:r>
      <w:r>
        <w:rPr>
          <w:rFonts w:hint="eastAsia" w:ascii="仿宋_GB2312" w:hAnsi="仿宋_GB2312" w:eastAsia="仿宋_GB2312" w:cs="仿宋_GB2312"/>
          <w:color w:val="000000" w:themeColor="text1"/>
          <w:sz w:val="32"/>
          <w:szCs w:val="32"/>
          <w:lang w:eastAsia="zh-CN"/>
          <w14:textFill>
            <w14:solidFill>
              <w14:schemeClr w14:val="tx1"/>
            </w14:solidFill>
          </w14:textFill>
        </w:rPr>
        <w:t>人均建筑面积高于本市统计部门公布的上年度当地人均住房建筑面积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1.5倍的</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）不愿配合核查其家庭经济状况的；</w:t>
      </w:r>
    </w:p>
    <w:p>
      <w:pPr>
        <w:keepNext w:val="0"/>
        <w:keepLines w:val="0"/>
        <w:pageBreakBefore w:val="0"/>
        <w:kinsoku/>
        <w:wordWrap/>
        <w:overflowPunct/>
        <w:topLinePunct w:val="0"/>
        <w:autoSpaceDN/>
        <w:bidi w:val="0"/>
        <w:snapToGrid/>
        <w:spacing w:line="560" w:lineRule="exact"/>
        <w:ind w:left="0" w:firstLine="64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（5）不依法承担赡养、抚养和扶养义务的；</w:t>
      </w:r>
    </w:p>
    <w:p>
      <w:pPr>
        <w:keepNext w:val="0"/>
        <w:keepLines w:val="0"/>
        <w:pageBreakBefore w:val="0"/>
        <w:kinsoku/>
        <w:wordWrap/>
        <w:overflowPunct/>
        <w:topLinePunct w:val="0"/>
        <w:autoSpaceDN/>
        <w:bidi w:val="0"/>
        <w:snapToGrid/>
        <w:spacing w:line="560" w:lineRule="exact"/>
        <w:ind w:left="0" w:firstLine="64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（6）为获取低收入家庭认定资格故意拆分户口等弄虚作假行为的；</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认定的其他情形。</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（二）审批程序</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1.提出申请。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申请人以家庭为单位向户籍所在地或者居住满1年（含1年）居住地的镇（区）政府（管委会）提出书面申请，对申报家庭经济状况以及提供材料的真实性和完整性做出诚信承诺，并授权民政部门进行核查。</w:t>
      </w:r>
      <w:r>
        <w:rPr>
          <w:rFonts w:hint="eastAsia" w:ascii="仿宋_GB2312" w:hAnsi="仿宋_GB2312" w:eastAsia="仿宋_GB2312" w:cs="仿宋_GB2312"/>
          <w:color w:val="000000" w:themeColor="text1"/>
          <w:sz w:val="32"/>
          <w:szCs w:val="32"/>
          <w14:textFill>
            <w14:solidFill>
              <w14:schemeClr w14:val="tx1"/>
            </w14:solidFill>
          </w14:textFill>
        </w:rPr>
        <w:t>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居</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委会在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工作</w:t>
      </w:r>
      <w:r>
        <w:rPr>
          <w:rFonts w:hint="eastAsia" w:ascii="仿宋_GB2312" w:hAnsi="仿宋_GB2312" w:eastAsia="仿宋_GB2312" w:cs="仿宋_GB2312"/>
          <w:color w:val="000000" w:themeColor="text1"/>
          <w:sz w:val="32"/>
          <w:szCs w:val="32"/>
          <w14:textFill>
            <w14:solidFill>
              <w14:schemeClr w14:val="tx1"/>
            </w14:solidFill>
          </w14:textFill>
        </w:rPr>
        <w:t>过程中发现符合低收入家庭认定条件的家庭，村“两委”干部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村民政协理员要引导对象开展申报工作，同时配合镇（区）民政工作人员开展入户调查工作。</w:t>
      </w:r>
      <w:r>
        <w:rPr>
          <w:rFonts w:hint="eastAsia" w:ascii="仿宋_GB2312" w:hAnsi="仿宋_GB2312" w:eastAsia="仿宋_GB2312" w:cs="仿宋_GB2312"/>
          <w:color w:val="000000" w:themeColor="text1"/>
          <w:sz w:val="32"/>
          <w:szCs w:val="32"/>
          <w14:textFill>
            <w14:solidFill>
              <w14:schemeClr w14:val="tx1"/>
            </w14:solidFill>
          </w14:textFill>
        </w:rPr>
        <w:t>（责任单位：各</w:t>
      </w:r>
      <w:r>
        <w:rPr>
          <w:rFonts w:hint="eastAsia" w:ascii="仿宋_GB2312" w:hAnsi="仿宋_GB2312" w:eastAsia="仿宋_GB2312" w:cs="仿宋_GB2312"/>
          <w:color w:val="000000" w:themeColor="text1"/>
          <w:sz w:val="32"/>
          <w:szCs w:val="32"/>
          <w:lang w:eastAsia="zh-CN"/>
          <w14:textFill>
            <w14:solidFill>
              <w14:schemeClr w14:val="tx1"/>
            </w14:solidFill>
          </w14:textFill>
        </w:rPr>
        <w:t>村（居）委会</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14:textFill>
            <w14:solidFill>
              <w14:schemeClr w14:val="tx1"/>
            </w14:solidFill>
          </w14:textFill>
        </w:rPr>
        <w:t>2.受理和初审。</w:t>
      </w:r>
      <w:r>
        <w:rPr>
          <w:rFonts w:hint="eastAsia" w:ascii="仿宋_GB2312" w:hAnsi="仿宋_GB2312" w:eastAsia="仿宋_GB2312" w:cs="仿宋_GB2312"/>
          <w:color w:val="000000" w:themeColor="text1"/>
          <w:sz w:val="32"/>
          <w:szCs w:val="32"/>
          <w14:textFill>
            <w14:solidFill>
              <w14:schemeClr w14:val="tx1"/>
            </w14:solidFill>
          </w14:textFill>
        </w:rPr>
        <w:t>各镇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民政部门</w:t>
      </w:r>
      <w:r>
        <w:rPr>
          <w:rFonts w:hint="eastAsia" w:ascii="仿宋_GB2312" w:hAnsi="仿宋_GB2312" w:eastAsia="仿宋_GB2312" w:cs="仿宋_GB2312"/>
          <w:color w:val="000000" w:themeColor="text1"/>
          <w:sz w:val="32"/>
          <w:szCs w:val="32"/>
          <w14:textFill>
            <w14:solidFill>
              <w14:schemeClr w14:val="tx1"/>
            </w14:solidFill>
          </w14:textFill>
        </w:rPr>
        <w:t>收到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申请资料后</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15个工作日内就申请人家庭收入和财产状况是否符合规定条件进行核查、提出初审意见、张榜公示，报市民政局认定。对申请人家庭收入和财产状况核查主要通过省居民家庭经济状况核对平台和实地入户调查两种方式进行。审核公示应当在申请人所在村（居）进行，公示期7天。公示有异议的，镇（区）政府（管委会）应对申请人家庭状况进行复查。</w:t>
      </w:r>
      <w:r>
        <w:rPr>
          <w:rFonts w:hint="eastAsia" w:ascii="仿宋_GB2312" w:hAnsi="仿宋_GB2312" w:eastAsia="仿宋_GB2312" w:cs="仿宋_GB2312"/>
          <w:color w:val="000000" w:themeColor="text1"/>
          <w:sz w:val="32"/>
          <w:szCs w:val="32"/>
          <w14:textFill>
            <w14:solidFill>
              <w14:schemeClr w14:val="tx1"/>
            </w14:solidFill>
          </w14:textFill>
        </w:rPr>
        <w:t>（责任单位：各镇政府，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区管委会</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审核审批。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民政局自收到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镇（区）</w:t>
      </w:r>
      <w:r>
        <w:rPr>
          <w:rFonts w:hint="eastAsia" w:ascii="仿宋_GB2312" w:hAnsi="仿宋_GB2312" w:eastAsia="仿宋_GB2312" w:cs="仿宋_GB2312"/>
          <w:color w:val="000000" w:themeColor="text1"/>
          <w:sz w:val="32"/>
          <w:szCs w:val="32"/>
          <w14:textFill>
            <w14:solidFill>
              <w14:schemeClr w14:val="tx1"/>
            </w14:solidFill>
          </w14:textFill>
        </w:rPr>
        <w:t>报送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申请材料和初审意见</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个工作日内</w:t>
      </w:r>
      <w:r>
        <w:rPr>
          <w:rFonts w:hint="eastAsia" w:ascii="仿宋_GB2312" w:hAnsi="仿宋_GB2312" w:eastAsia="仿宋_GB2312" w:cs="仿宋_GB2312"/>
          <w:color w:val="000000" w:themeColor="text1"/>
          <w:sz w:val="32"/>
          <w:szCs w:val="32"/>
          <w:lang w:eastAsia="zh-CN"/>
          <w14:textFill>
            <w14:solidFill>
              <w14:schemeClr w14:val="tx1"/>
            </w14:solidFill>
          </w14:textFill>
        </w:rPr>
        <w:t>对符合条件的申请予以认定，并录入城乡低收入家庭认定信息系统。经认定的</w:t>
      </w:r>
      <w:r>
        <w:rPr>
          <w:rFonts w:hint="eastAsia" w:ascii="仿宋_GB2312" w:hAnsi="仿宋_GB2312" w:eastAsia="仿宋_GB2312" w:cs="仿宋_GB2312"/>
          <w:color w:val="000000" w:themeColor="text1"/>
          <w:sz w:val="32"/>
          <w:szCs w:val="32"/>
          <w14:textFill>
            <w14:solidFill>
              <w14:schemeClr w14:val="tx1"/>
            </w14:solidFill>
          </w14:textFill>
        </w:rPr>
        <w:t>低收入家庭，在申请人所在地的村（居）委会公示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天。</w:t>
      </w:r>
      <w:r>
        <w:rPr>
          <w:rFonts w:hint="eastAsia" w:ascii="仿宋_GB2312" w:hAnsi="仿宋_GB2312" w:eastAsia="仿宋_GB2312" w:cs="仿宋_GB2312"/>
          <w:color w:val="000000" w:themeColor="text1"/>
          <w:sz w:val="32"/>
          <w:szCs w:val="32"/>
          <w:lang w:eastAsia="zh-CN"/>
          <w14:textFill>
            <w14:solidFill>
              <w14:schemeClr w14:val="tx1"/>
            </w14:solidFill>
          </w14:textFill>
        </w:rPr>
        <w:t>对不符合条件的申请</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书面告知并说明理由</w:t>
      </w:r>
      <w:r>
        <w:rPr>
          <w:rFonts w:hint="eastAsia" w:ascii="仿宋_GB2312" w:hAnsi="仿宋_GB2312" w:eastAsia="仿宋_GB2312" w:cs="仿宋_GB2312"/>
          <w:color w:val="000000" w:themeColor="text1"/>
          <w:sz w:val="32"/>
          <w:szCs w:val="32"/>
          <w14:textFill>
            <w14:solidFill>
              <w14:schemeClr w14:val="tx1"/>
            </w14:solidFill>
          </w14:textFill>
        </w:rPr>
        <w:t>。（责任单位：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民政局，配合单位：各镇政府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，区管委会</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numPr>
          <w:ilvl w:val="0"/>
          <w:numId w:val="0"/>
        </w:numPr>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4.经市扶贫办确定的建档立卡边缘户，经家庭经济核对符合条件后可直接认定为低收入家庭。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（责任单位：市扶贫办，市民政局）</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四、开展专项救助</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一</w:t>
      </w: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32"/>
          <w:szCs w:val="32"/>
          <w14:textFill>
            <w14:solidFill>
              <w14:schemeClr w14:val="tx1"/>
            </w14:solidFill>
          </w14:textFill>
        </w:rPr>
        <w:t>低保救助。</w:t>
      </w:r>
      <w:r>
        <w:rPr>
          <w:rFonts w:hint="eastAsia" w:ascii="仿宋_GB2312" w:hAnsi="仿宋_GB2312" w:eastAsia="仿宋_GB2312" w:cs="仿宋_GB2312"/>
          <w:color w:val="000000" w:themeColor="text1"/>
          <w:sz w:val="32"/>
          <w:szCs w:val="32"/>
          <w14:textFill>
            <w14:solidFill>
              <w14:schemeClr w14:val="tx1"/>
            </w14:solidFill>
          </w14:textFill>
        </w:rPr>
        <w:t>将城乡低收入家庭中一、二级重度残疾人和三级智力残疾、三级精神残疾人以及重病患者参照“单人户”纳入低保，并按照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我市</w:t>
      </w:r>
      <w:r>
        <w:rPr>
          <w:rFonts w:hint="eastAsia" w:ascii="仿宋_GB2312" w:hAnsi="仿宋_GB2312" w:eastAsia="仿宋_GB2312" w:cs="仿宋_GB2312"/>
          <w:color w:val="000000" w:themeColor="text1"/>
          <w:sz w:val="32"/>
          <w:szCs w:val="32"/>
          <w14:textFill>
            <w14:solidFill>
              <w14:schemeClr w14:val="tx1"/>
            </w14:solidFill>
          </w14:textFill>
        </w:rPr>
        <w:t>城乡低保标准进行救助。低收入家庭资格取消时，对单独纳保人员保留6个月的渐退期，渐退期满，申请人家庭仍不符合低收入家庭认定条件的予以退保。</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二</w:t>
      </w:r>
      <w:r>
        <w:rPr>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val="0"/>
          <w:bCs w:val="0"/>
          <w:color w:val="000000" w:themeColor="text1"/>
          <w:sz w:val="32"/>
          <w:szCs w:val="32"/>
          <w14:textFill>
            <w14:solidFill>
              <w14:schemeClr w14:val="tx1"/>
            </w14:solidFill>
          </w14:textFill>
        </w:rPr>
        <w:t>临时救助。</w:t>
      </w:r>
      <w:r>
        <w:rPr>
          <w:rFonts w:hint="eastAsia" w:ascii="仿宋_GB2312" w:hAnsi="仿宋_GB2312" w:eastAsia="仿宋_GB2312" w:cs="仿宋_GB2312"/>
          <w:color w:val="000000" w:themeColor="text1"/>
          <w:sz w:val="32"/>
          <w:szCs w:val="32"/>
          <w14:textFill>
            <w14:solidFill>
              <w14:schemeClr w14:val="tx1"/>
            </w14:solidFill>
          </w14:textFill>
        </w:rPr>
        <w:t>对因疾病、残疾和教育等刚性支出较大而影响基本生活的城乡低收入家庭，按规定程序予以支出型临时救助。对于情况紧急、可能造成重大损失或严重后果的，可开展先行救助，待紧急情况解除后，补齐相关手续。</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住房补助。</w:t>
      </w:r>
      <w:r>
        <w:rPr>
          <w:rFonts w:hint="eastAsia" w:ascii="仿宋_GB2312" w:hAnsi="仿宋_GB2312" w:eastAsia="仿宋_GB2312" w:cs="仿宋_GB2312"/>
          <w:color w:val="000000" w:themeColor="text1"/>
          <w:sz w:val="32"/>
          <w:szCs w:val="32"/>
          <w14:textFill>
            <w14:solidFill>
              <w14:schemeClr w14:val="tx1"/>
            </w14:solidFill>
          </w14:textFill>
        </w:rPr>
        <w:t>对符合住房救助条件的城乡低收入家庭，纳入住房保障和农村危房改造计划，通过配租公共租赁住房、发放低收入住房困难家庭租赁补贴、农村危房改造等方式优先实施保障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rPr>
        <w:t>纳入农村危房改造的改造标准及质量与农村低保家庭同等。</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四</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教育救助。</w:t>
      </w:r>
      <w:r>
        <w:rPr>
          <w:rFonts w:hint="eastAsia" w:ascii="仿宋_GB2312" w:hAnsi="仿宋_GB2312" w:eastAsia="仿宋_GB2312" w:cs="仿宋_GB2312"/>
          <w:color w:val="000000" w:themeColor="text1"/>
          <w:sz w:val="32"/>
          <w:szCs w:val="32"/>
          <w14:textFill>
            <w14:solidFill>
              <w14:schemeClr w14:val="tx1"/>
            </w14:solidFill>
          </w14:textFill>
        </w:rPr>
        <w:t>对符合条件的城乡低收入家庭学生，</w:t>
      </w:r>
      <w:r>
        <w:rPr>
          <w:rFonts w:hint="eastAsia" w:ascii="仿宋_GB2312" w:hAnsi="仿宋_GB2312" w:eastAsia="仿宋_GB2312" w:cs="仿宋_GB2312"/>
          <w:color w:val="000000" w:themeColor="text1"/>
          <w:sz w:val="32"/>
          <w:szCs w:val="32"/>
          <w:lang w:eastAsia="zh-CN"/>
          <w14:textFill>
            <w14:solidFill>
              <w14:schemeClr w14:val="tx1"/>
            </w14:solidFill>
          </w14:textFill>
        </w:rPr>
        <w:t>优先纳入国家资助范围，按照国家资助标准给予相对应学段的教育资助</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五</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医疗救助。</w:t>
      </w:r>
      <w:r>
        <w:rPr>
          <w:rFonts w:hint="eastAsia" w:ascii="仿宋_GB2312" w:hAnsi="仿宋_GB2312" w:eastAsia="仿宋_GB2312" w:cs="仿宋_GB2312"/>
          <w:color w:val="000000" w:themeColor="text1"/>
          <w:sz w:val="32"/>
          <w:szCs w:val="32"/>
          <w14:textFill>
            <w14:solidFill>
              <w14:schemeClr w14:val="tx1"/>
            </w14:solidFill>
          </w14:textFill>
        </w:rPr>
        <w:t>将符合条件的城乡低收入家庭成员纳入医疗救助范围，资助其参加城乡居民基本医疗保险和开展门诊、住院救助。逐步将城乡低收入家庭成员纳入“一站式”即时结算医疗救助范围。</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六</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就业救助。</w:t>
      </w:r>
      <w:r>
        <w:rPr>
          <w:rFonts w:hint="eastAsia" w:ascii="仿宋_GB2312" w:hAnsi="仿宋_GB2312" w:eastAsia="仿宋_GB2312" w:cs="仿宋_GB2312"/>
          <w:color w:val="000000" w:themeColor="text1"/>
          <w:sz w:val="32"/>
          <w:szCs w:val="32"/>
          <w14:textFill>
            <w14:solidFill>
              <w14:schemeClr w14:val="tx1"/>
            </w14:solidFill>
          </w14:textFill>
        </w:rPr>
        <w:t>符合条件的城乡低收入家庭可享有就业保障，为实现就业和自主创业创造条件，为有劳动能力和培训意愿的家庭提供职业技能培训。</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七</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残疾人补贴。</w:t>
      </w:r>
      <w:r>
        <w:rPr>
          <w:rFonts w:hint="eastAsia" w:ascii="仿宋_GB2312" w:hAnsi="仿宋_GB2312" w:eastAsia="仿宋_GB2312" w:cs="仿宋_GB2312"/>
          <w:color w:val="000000" w:themeColor="text1"/>
          <w:sz w:val="32"/>
          <w:szCs w:val="32"/>
          <w14:textFill>
            <w14:solidFill>
              <w14:schemeClr w14:val="tx1"/>
            </w14:solidFill>
          </w14:textFill>
        </w:rPr>
        <w:t>对符合条件的城乡低收入残疾</w:t>
      </w:r>
      <w:r>
        <w:rPr>
          <w:rFonts w:hint="eastAsia" w:ascii="仿宋_GB2312" w:hAnsi="仿宋_GB2312" w:eastAsia="仿宋_GB2312" w:cs="仿宋_GB2312"/>
          <w:color w:val="000000" w:themeColor="text1"/>
          <w:sz w:val="32"/>
          <w:szCs w:val="32"/>
          <w:lang w:eastAsia="zh-CN"/>
          <w14:textFill>
            <w14:solidFill>
              <w14:schemeClr w14:val="tx1"/>
            </w14:solidFill>
          </w14:textFill>
        </w:rPr>
        <w:t>人</w:t>
      </w:r>
      <w:r>
        <w:rPr>
          <w:rFonts w:hint="eastAsia" w:ascii="仿宋_GB2312" w:hAnsi="仿宋_GB2312" w:eastAsia="仿宋_GB2312" w:cs="仿宋_GB2312"/>
          <w:color w:val="000000" w:themeColor="text1"/>
          <w:sz w:val="32"/>
          <w:szCs w:val="32"/>
          <w14:textFill>
            <w14:solidFill>
              <w14:schemeClr w14:val="tx1"/>
            </w14:solidFill>
          </w14:textFill>
        </w:rPr>
        <w:t>家庭发放阳光家园、发展生产、农村实用技术培训、水电气和教育扶持等补贴。</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城乡低收入家庭的临时、住房、教育、医疗、就业救助和残疾人专项救助所需资金，从各专项资金中列支，中央财政已经列入补助范围的，从现有资金筹集渠道统筹解决，开展低收入家庭认定及专项救助所需工作经费纳入市本级财政预算。</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五、领导小组及职责分工</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（一）加强组织领导。</w:t>
      </w:r>
      <w:r>
        <w:rPr>
          <w:rFonts w:hint="eastAsia" w:ascii="仿宋_GB2312" w:hAnsi="仿宋_GB2312" w:eastAsia="仿宋_GB2312" w:cs="仿宋_GB2312"/>
          <w:color w:val="000000" w:themeColor="text1"/>
          <w:sz w:val="32"/>
          <w:szCs w:val="32"/>
          <w14:textFill>
            <w14:solidFill>
              <w14:schemeClr w14:val="tx1"/>
            </w14:solidFill>
          </w14:textFill>
        </w:rPr>
        <w:t>成立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城乡低收入家庭专项救助领导小组（以下简称领导小组），其组成人员名单如下：</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组  长：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程江洪</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政府副</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长）</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副组长：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李  曼</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民政局局长）            </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成  员：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肖少青</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财政局局长）</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符策远</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人力资源社会保障局局长）</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王春泉</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教育局局长）</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莫萃敏</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住房</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城乡建设局局长）</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王志强</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医疗保障局局长）</w:t>
      </w:r>
    </w:p>
    <w:p>
      <w:pPr>
        <w:keepNext w:val="0"/>
        <w:keepLines w:val="0"/>
        <w:pageBreakBefore w:val="0"/>
        <w:kinsoku/>
        <w:wordWrap/>
        <w:overflowPunct/>
        <w:topLinePunct w:val="0"/>
        <w:autoSpaceDN/>
        <w:bidi w:val="0"/>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黄昌豪</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市残疾人</w:t>
      </w:r>
      <w:r>
        <w:rPr>
          <w:rFonts w:hint="eastAsia" w:ascii="仿宋_GB2312" w:hAnsi="仿宋_GB2312" w:eastAsia="仿宋_GB2312" w:cs="仿宋_GB2312"/>
          <w:color w:val="000000" w:themeColor="text1"/>
          <w:sz w:val="32"/>
          <w:szCs w:val="32"/>
          <w14:textFill>
            <w14:solidFill>
              <w14:schemeClr w14:val="tx1"/>
            </w14:solidFill>
          </w14:textFill>
        </w:rPr>
        <w:t>联</w:t>
      </w:r>
      <w:r>
        <w:rPr>
          <w:rFonts w:hint="eastAsia" w:ascii="仿宋_GB2312" w:hAnsi="仿宋_GB2312" w:eastAsia="仿宋_GB2312" w:cs="仿宋_GB2312"/>
          <w:color w:val="000000" w:themeColor="text1"/>
          <w:sz w:val="32"/>
          <w:szCs w:val="32"/>
          <w:lang w:eastAsia="zh-CN"/>
          <w14:textFill>
            <w14:solidFill>
              <w14:schemeClr w14:val="tx1"/>
            </w14:solidFill>
          </w14:textFill>
        </w:rPr>
        <w:t>合会</w:t>
      </w:r>
      <w:r>
        <w:rPr>
          <w:rFonts w:hint="eastAsia" w:ascii="仿宋_GB2312" w:hAnsi="仿宋_GB2312" w:eastAsia="仿宋_GB2312" w:cs="仿宋_GB2312"/>
          <w:color w:val="000000" w:themeColor="text1"/>
          <w:sz w:val="32"/>
          <w:szCs w:val="32"/>
          <w14:textFill>
            <w14:solidFill>
              <w14:schemeClr w14:val="tx1"/>
            </w14:solidFill>
          </w14:textFill>
        </w:rPr>
        <w:t>理事长）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李  德（彬村山</w:t>
      </w:r>
      <w:r>
        <w:rPr>
          <w:rFonts w:hint="eastAsia" w:ascii="仿宋_GB2312" w:hAnsi="仿宋_GB2312" w:eastAsia="仿宋_GB2312" w:cs="仿宋_GB2312"/>
          <w:color w:val="000000" w:themeColor="text1"/>
          <w:sz w:val="32"/>
          <w:szCs w:val="32"/>
          <w:lang w:eastAsia="zh-CN"/>
          <w14:textFill>
            <w14:solidFill>
              <w14:schemeClr w14:val="tx1"/>
            </w14:solidFill>
          </w14:textFill>
        </w:rPr>
        <w:t>华侨经济区管理委员会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主任）</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雷志刚</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嘉积</w:t>
      </w:r>
      <w:r>
        <w:rPr>
          <w:rFonts w:hint="eastAsia" w:ascii="仿宋_GB2312" w:hAnsi="仿宋_GB2312" w:eastAsia="仿宋_GB2312" w:cs="仿宋_GB2312"/>
          <w:color w:val="000000" w:themeColor="text1"/>
          <w:sz w:val="32"/>
          <w:szCs w:val="32"/>
          <w14:textFill>
            <w14:solidFill>
              <w14:schemeClr w14:val="tx1"/>
            </w14:solidFill>
          </w14:textFill>
        </w:rPr>
        <w:t>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14:textFill>
            <w14:solidFill>
              <w14:schemeClr w14:val="tx1"/>
            </w14:solidFill>
          </w14:textFill>
        </w:rPr>
        <w:t>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黄田忠（博鳌镇人民政府镇长）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王国熊（潭门镇人民政府镇长）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符永亮（长坡镇人民政府镇长）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吴丹杨（大路镇人民政府镇长）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王绪文（塔洋镇人民政府镇长）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朝（万泉镇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王元湘（中原镇人民政府镇长）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琼（阳江镇人民政府镇长）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何春尧（龙江镇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周  莹（石壁镇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政府镇长）</w:t>
      </w:r>
    </w:p>
    <w:p>
      <w:pPr>
        <w:keepNext w:val="0"/>
        <w:keepLines w:val="0"/>
        <w:pageBreakBefore w:val="0"/>
        <w:kinsoku/>
        <w:wordWrap/>
        <w:overflowPunct/>
        <w:topLinePunct w:val="0"/>
        <w:autoSpaceDN/>
        <w:bidi w:val="0"/>
        <w:snapToGrid/>
        <w:spacing w:line="560" w:lineRule="exact"/>
        <w:ind w:left="0" w:firstLine="1920" w:firstLineChars="6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黄振书（会山镇</w:t>
      </w:r>
      <w:r>
        <w:rPr>
          <w:rFonts w:hint="eastAsia" w:ascii="仿宋_GB2312" w:hAnsi="仿宋_GB2312" w:eastAsia="仿宋_GB2312" w:cs="仿宋_GB2312"/>
          <w:color w:val="000000" w:themeColor="text1"/>
          <w:sz w:val="32"/>
          <w:szCs w:val="32"/>
          <w:lang w:eastAsia="zh-CN"/>
          <w14:textFill>
            <w14:solidFill>
              <w14:schemeClr w14:val="tx1"/>
            </w14:solidFill>
          </w14:textFill>
        </w:rPr>
        <w:t>人民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政府镇长候选人）</w:t>
      </w:r>
    </w:p>
    <w:p>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领导小组下设办公室在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民政局，具体负责协调推进城乡居民低收入家庭专项救助工作，办公室主任由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民政局郑琪芬副局长</w:t>
      </w:r>
      <w:r>
        <w:rPr>
          <w:rFonts w:hint="eastAsia" w:ascii="仿宋_GB2312" w:hAnsi="仿宋_GB2312" w:eastAsia="仿宋_GB2312" w:cs="仿宋_GB2312"/>
          <w:color w:val="000000" w:themeColor="text1"/>
          <w:sz w:val="32"/>
          <w:szCs w:val="32"/>
          <w14:textFill>
            <w14:solidFill>
              <w14:schemeClr w14:val="tx1"/>
            </w14:solidFill>
          </w14:textFill>
        </w:rPr>
        <w:t>兼任。领导小组成员因工作或职务变动不再担任的，由继任者接替。</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楷体" w:hAnsi="楷体" w:eastAsia="楷体" w:cs="楷体"/>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（二）职责分工</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市民政局</w:t>
      </w:r>
      <w:r>
        <w:rPr>
          <w:rFonts w:hint="eastAsia" w:ascii="仿宋_GB2312" w:hAnsi="仿宋_GB2312" w:eastAsia="仿宋_GB2312" w:cs="仿宋_GB2312"/>
          <w:color w:val="000000" w:themeColor="text1"/>
          <w:sz w:val="32"/>
          <w:szCs w:val="32"/>
          <w14:textFill>
            <w14:solidFill>
              <w14:schemeClr w14:val="tx1"/>
            </w14:solidFill>
          </w14:textFill>
        </w:rPr>
        <w:t>负责对城乡居民组织开展低收入资格认定，建立健全审核审批程序，制定工作制度和认定标准，协调相关部门解决低收入家庭的住房、医疗、教育、就业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残疾人补贴</w:t>
      </w:r>
      <w:r>
        <w:rPr>
          <w:rFonts w:hint="eastAsia" w:ascii="仿宋_GB2312" w:hAnsi="仿宋_GB2312" w:eastAsia="仿宋_GB2312" w:cs="仿宋_GB2312"/>
          <w:color w:val="000000" w:themeColor="text1"/>
          <w:sz w:val="32"/>
          <w:szCs w:val="32"/>
          <w14:textFill>
            <w14:solidFill>
              <w14:schemeClr w14:val="tx1"/>
            </w14:solidFill>
          </w14:textFill>
        </w:rPr>
        <w:t>等方面工作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以及救助信息管理、救助台帐管理和救助信息公开等工作，落实低收入家庭低保救助和临时救助政策。</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财政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负责统筹各级资金，城乡低收入家庭的低保、特困、教育、医疗、住房、临时、就业等社会救助所需资金，从各专项救助资金中列支。设立低收入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家庭认定</w:t>
      </w:r>
      <w:r>
        <w:rPr>
          <w:rFonts w:hint="eastAsia" w:ascii="仿宋_GB2312" w:hAnsi="仿宋_GB2312" w:eastAsia="仿宋_GB2312" w:cs="仿宋_GB2312"/>
          <w:color w:val="000000" w:themeColor="text1"/>
          <w:sz w:val="32"/>
          <w:szCs w:val="32"/>
          <w14:textFill>
            <w14:solidFill>
              <w14:schemeClr w14:val="tx1"/>
            </w14:solidFill>
          </w14:textFill>
        </w:rPr>
        <w:t>工作专项经费，列入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民政局</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各镇（区）</w:t>
      </w:r>
      <w:r>
        <w:rPr>
          <w:rFonts w:hint="eastAsia" w:ascii="仿宋_GB2312" w:hAnsi="仿宋_GB2312" w:eastAsia="仿宋_GB2312" w:cs="仿宋_GB2312"/>
          <w:color w:val="000000" w:themeColor="text1"/>
          <w:sz w:val="32"/>
          <w:szCs w:val="32"/>
          <w14:textFill>
            <w14:solidFill>
              <w14:schemeClr w14:val="tx1"/>
            </w14:solidFill>
          </w14:textFill>
        </w:rPr>
        <w:t>本级财政预算统筹安排</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人力资源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社会保障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负责向符合条件的城乡低收入家庭提供就业保障，为实现就业和自主创业创造条件，为有劳动能力和培训意愿的家庭提供职业技能培训。</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教育</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负责对符合条件的城乡低收入家庭学生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开展相关</w:t>
      </w:r>
      <w:r>
        <w:rPr>
          <w:rFonts w:hint="eastAsia" w:ascii="仿宋_GB2312" w:hAnsi="仿宋_GB2312" w:eastAsia="仿宋_GB2312" w:cs="仿宋_GB2312"/>
          <w:color w:val="000000" w:themeColor="text1"/>
          <w:sz w:val="32"/>
          <w:szCs w:val="32"/>
          <w14:textFill>
            <w14:solidFill>
              <w14:schemeClr w14:val="tx1"/>
            </w14:solidFill>
          </w14:textFill>
        </w:rPr>
        <w:t>救助。</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住房</w:t>
      </w:r>
      <w:r>
        <w:rPr>
          <w:rFonts w:hint="eastAsia" w:ascii="仿宋_GB2312" w:hAnsi="仿宋_GB2312" w:eastAsia="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城乡建设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负责将符合住房救助条件的城乡低收入家庭纳入住房保障和农村危房改造计划，通过保障性住房、租赁补贴、危房改造等政策方式给予优先实施救助。</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医疗保障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负责将符合条件的城乡低收入家庭成员纳入医疗救助范围，</w:t>
      </w:r>
      <w:r>
        <w:rPr>
          <w:rFonts w:hint="eastAsia" w:ascii="仿宋_GB2312" w:hAnsi="仿宋_GB2312" w:eastAsia="仿宋_GB2312" w:cs="仿宋_GB2312"/>
          <w:color w:val="000000" w:themeColor="text1"/>
          <w:sz w:val="32"/>
          <w:szCs w:val="32"/>
          <w:lang w:eastAsia="zh-CN"/>
          <w14:textFill>
            <w14:solidFill>
              <w14:schemeClr w14:val="tx1"/>
            </w14:solidFill>
          </w14:textFill>
        </w:rPr>
        <w:t>定</w:t>
      </w:r>
      <w:r>
        <w:rPr>
          <w:rFonts w:hint="eastAsia" w:ascii="仿宋_GB2312" w:hAnsi="仿宋_GB2312" w:eastAsia="仿宋_GB2312" w:cs="仿宋_GB2312"/>
          <w:color w:val="000000" w:themeColor="text1"/>
          <w:sz w:val="32"/>
          <w:szCs w:val="32"/>
          <w14:textFill>
            <w14:solidFill>
              <w14:schemeClr w14:val="tx1"/>
            </w14:solidFill>
          </w14:textFill>
        </w:rPr>
        <w:t>额财政补助为城乡低收入家庭购买医疗保险。逐步将城乡低收入家庭成员纳入“一站式”即时结算医疗救助范围。</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市残疾人</w:t>
      </w:r>
      <w:r>
        <w:rPr>
          <w:rFonts w:hint="eastAsia" w:ascii="仿宋_GB2312" w:hAnsi="仿宋_GB2312" w:eastAsia="仿宋_GB2312" w:cs="仿宋_GB2312"/>
          <w:color w:val="000000" w:themeColor="text1"/>
          <w:sz w:val="32"/>
          <w:szCs w:val="32"/>
          <w14:textFill>
            <w14:solidFill>
              <w14:schemeClr w14:val="tx1"/>
            </w14:solidFill>
          </w14:textFill>
        </w:rPr>
        <w:t>联</w:t>
      </w:r>
      <w:r>
        <w:rPr>
          <w:rFonts w:hint="eastAsia" w:ascii="仿宋_GB2312" w:hAnsi="仿宋_GB2312" w:eastAsia="仿宋_GB2312" w:cs="仿宋_GB2312"/>
          <w:color w:val="000000" w:themeColor="text1"/>
          <w:sz w:val="32"/>
          <w:szCs w:val="32"/>
          <w:lang w:eastAsia="zh-CN"/>
          <w14:textFill>
            <w14:solidFill>
              <w14:schemeClr w14:val="tx1"/>
            </w14:solidFill>
          </w14:textFill>
        </w:rPr>
        <w:t>合会</w:t>
      </w:r>
      <w:r>
        <w:rPr>
          <w:rFonts w:hint="eastAsia" w:ascii="仿宋_GB2312" w:hAnsi="仿宋_GB2312" w:eastAsia="仿宋_GB2312" w:cs="仿宋_GB2312"/>
          <w:color w:val="000000" w:themeColor="text1"/>
          <w:sz w:val="32"/>
          <w:szCs w:val="32"/>
          <w14:textFill>
            <w14:solidFill>
              <w14:schemeClr w14:val="tx1"/>
            </w14:solidFill>
          </w14:textFill>
        </w:rPr>
        <w:t>负责对符合条件的城乡低收入残疾</w:t>
      </w:r>
      <w:r>
        <w:rPr>
          <w:rFonts w:hint="eastAsia" w:ascii="仿宋_GB2312" w:hAnsi="仿宋_GB2312" w:eastAsia="仿宋_GB2312" w:cs="仿宋_GB2312"/>
          <w:color w:val="000000" w:themeColor="text1"/>
          <w:sz w:val="32"/>
          <w:szCs w:val="32"/>
          <w:lang w:eastAsia="zh-CN"/>
          <w14:textFill>
            <w14:solidFill>
              <w14:schemeClr w14:val="tx1"/>
            </w14:solidFill>
          </w14:textFill>
        </w:rPr>
        <w:t>人</w:t>
      </w:r>
      <w:r>
        <w:rPr>
          <w:rFonts w:hint="eastAsia" w:ascii="仿宋_GB2312" w:hAnsi="仿宋_GB2312" w:eastAsia="仿宋_GB2312" w:cs="仿宋_GB2312"/>
          <w:color w:val="000000" w:themeColor="text1"/>
          <w:sz w:val="32"/>
          <w:szCs w:val="32"/>
          <w14:textFill>
            <w14:solidFill>
              <w14:schemeClr w14:val="tx1"/>
            </w14:solidFill>
          </w14:textFill>
        </w:rPr>
        <w:t>家庭提供阳光家园、发展生产、农村实用技术培训、水电气和教育扶持等补贴。</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8.各镇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负责本辖区城乡居民低收入家庭的受理、审核、入户调查、民主评议、公示工作，指导村（居）委会协助开展城乡居民低收入家庭工作。安排办公场所和设备，接受职能部门的工作指导和检查，落实属地管理职责，保障低收入家庭教育、医疗、住房和就业等方面的需求。</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六、有关要求</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（一）规范动态管理。</w:t>
      </w:r>
      <w:r>
        <w:rPr>
          <w:rFonts w:hint="eastAsia" w:ascii="仿宋_GB2312" w:hAnsi="仿宋_GB2312" w:eastAsia="仿宋_GB2312" w:cs="仿宋_GB2312"/>
          <w:color w:val="000000" w:themeColor="text1"/>
          <w:sz w:val="32"/>
          <w:szCs w:val="32"/>
          <w14:textFill>
            <w14:solidFill>
              <w14:schemeClr w14:val="tx1"/>
            </w14:solidFill>
          </w14:textFill>
        </w:rPr>
        <w:t>城乡低收入家庭认定有效期为1年，</w:t>
      </w:r>
      <w:r>
        <w:rPr>
          <w:rFonts w:hint="eastAsia" w:ascii="仿宋_GB2312" w:hAnsi="仿宋_GB2312" w:eastAsia="仿宋_GB2312" w:cs="仿宋_GB2312"/>
          <w:color w:val="000000" w:themeColor="text1"/>
          <w:sz w:val="32"/>
          <w:szCs w:val="32"/>
          <w:lang w:eastAsia="zh-CN"/>
          <w14:textFill>
            <w14:solidFill>
              <w14:schemeClr w14:val="tx1"/>
            </w14:solidFill>
          </w14:textFill>
        </w:rPr>
        <w:t>由市民政局</w:t>
      </w:r>
      <w:r>
        <w:rPr>
          <w:rFonts w:hint="eastAsia" w:ascii="仿宋_GB2312" w:hAnsi="仿宋_GB2312" w:eastAsia="仿宋_GB2312" w:cs="仿宋_GB2312"/>
          <w:color w:val="000000" w:themeColor="text1"/>
          <w:sz w:val="32"/>
          <w:szCs w:val="32"/>
          <w14:textFill>
            <w14:solidFill>
              <w14:schemeClr w14:val="tx1"/>
            </w14:solidFill>
          </w14:textFill>
        </w:rPr>
        <w:t>每年组织</w:t>
      </w:r>
      <w:r>
        <w:rPr>
          <w:rFonts w:hint="eastAsia" w:ascii="仿宋_GB2312" w:hAnsi="仿宋_GB2312" w:eastAsia="仿宋_GB2312" w:cs="仿宋_GB2312"/>
          <w:color w:val="000000" w:themeColor="text1"/>
          <w:sz w:val="32"/>
          <w:szCs w:val="32"/>
          <w:lang w:eastAsia="zh-CN"/>
          <w14:textFill>
            <w14:solidFill>
              <w14:schemeClr w14:val="tx1"/>
            </w14:solidFill>
          </w14:textFill>
        </w:rPr>
        <w:t>人员</w:t>
      </w:r>
      <w:r>
        <w:rPr>
          <w:rFonts w:hint="eastAsia" w:ascii="仿宋_GB2312" w:hAnsi="仿宋_GB2312" w:eastAsia="仿宋_GB2312" w:cs="仿宋_GB2312"/>
          <w:color w:val="000000" w:themeColor="text1"/>
          <w:sz w:val="32"/>
          <w:szCs w:val="32"/>
          <w14:textFill>
            <w14:solidFill>
              <w14:schemeClr w14:val="tx1"/>
            </w14:solidFill>
          </w14:textFill>
        </w:rPr>
        <w:t>对有效期内的城乡低收入家庭进行抽查，抽查比例不低于总数的30％。认定有效期满后如需延续，需提前20个工作日主动到当地镇</w:t>
      </w:r>
      <w:r>
        <w:rPr>
          <w:rFonts w:hint="eastAsia" w:ascii="仿宋_GB2312" w:hAnsi="仿宋_GB2312" w:eastAsia="仿宋_GB2312" w:cs="仿宋_GB2312"/>
          <w:color w:val="000000" w:themeColor="text1"/>
          <w:sz w:val="32"/>
          <w:szCs w:val="32"/>
          <w:lang w:eastAsia="zh-CN"/>
          <w14:textFill>
            <w14:solidFill>
              <w14:schemeClr w14:val="tx1"/>
            </w14:solidFill>
          </w14:textFill>
        </w:rPr>
        <w:t>（区）</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管委会</w:t>
      </w:r>
      <w:r>
        <w:rPr>
          <w:rFonts w:hint="eastAsia" w:ascii="仿宋_GB2312" w:hAnsi="仿宋_GB2312" w:eastAsia="仿宋_GB2312" w:cs="仿宋_GB2312"/>
          <w:color w:val="000000" w:themeColor="text1"/>
          <w:sz w:val="32"/>
          <w:szCs w:val="32"/>
          <w14:textFill>
            <w14:solidFill>
              <w14:schemeClr w14:val="tx1"/>
            </w14:solidFill>
          </w14:textFill>
        </w:rPr>
        <w:t>）申请重新认定，并根据家庭变化情况需要提供相关材料。逾期未申请重新认定的低收入家庭资格将自动取消。有效期内，家庭经济状况发生明显变化的，应主动向当地镇</w:t>
      </w:r>
      <w:r>
        <w:rPr>
          <w:rFonts w:hint="eastAsia" w:ascii="仿宋_GB2312" w:hAnsi="仿宋_GB2312" w:eastAsia="仿宋_GB2312" w:cs="仿宋_GB2312"/>
          <w:color w:val="000000" w:themeColor="text1"/>
          <w:sz w:val="32"/>
          <w:szCs w:val="32"/>
          <w:lang w:eastAsia="zh-CN"/>
          <w14:textFill>
            <w14:solidFill>
              <w14:schemeClr w14:val="tx1"/>
            </w14:solidFill>
          </w14:textFill>
        </w:rPr>
        <w:t>（区）</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管委会</w:t>
      </w:r>
      <w:r>
        <w:rPr>
          <w:rFonts w:hint="eastAsia" w:ascii="仿宋_GB2312" w:hAnsi="仿宋_GB2312" w:eastAsia="仿宋_GB2312" w:cs="仿宋_GB2312"/>
          <w:color w:val="000000" w:themeColor="text1"/>
          <w:sz w:val="32"/>
          <w:szCs w:val="32"/>
          <w14:textFill>
            <w14:solidFill>
              <w14:schemeClr w14:val="tx1"/>
            </w14:solidFill>
          </w14:textFill>
        </w:rPr>
        <w:t>）申报。对不再符合城乡低收入家庭条件的，镇</w:t>
      </w:r>
      <w:r>
        <w:rPr>
          <w:rFonts w:hint="eastAsia" w:ascii="仿宋_GB2312" w:hAnsi="仿宋_GB2312" w:eastAsia="仿宋_GB2312" w:cs="仿宋_GB2312"/>
          <w:color w:val="000000" w:themeColor="text1"/>
          <w:sz w:val="32"/>
          <w:szCs w:val="32"/>
          <w:lang w:eastAsia="zh-CN"/>
          <w14:textFill>
            <w14:solidFill>
              <w14:schemeClr w14:val="tx1"/>
            </w14:solidFill>
          </w14:textFill>
        </w:rPr>
        <w:t>（区）</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管委会</w:t>
      </w:r>
      <w:r>
        <w:rPr>
          <w:rFonts w:hint="eastAsia" w:ascii="仿宋_GB2312" w:hAnsi="仿宋_GB2312" w:eastAsia="仿宋_GB2312" w:cs="仿宋_GB2312"/>
          <w:color w:val="000000" w:themeColor="text1"/>
          <w:sz w:val="32"/>
          <w:szCs w:val="32"/>
          <w14:textFill>
            <w14:solidFill>
              <w14:schemeClr w14:val="tx1"/>
            </w14:solidFill>
          </w14:textFill>
        </w:rPr>
        <w:t>）应及时审核，并报市民政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审定。致贫风险未消除的建档立卡边缘户，自动延续低收入家庭认定资格直至风险消除。致贫风险已消除的建档立卡边缘户，市扶贫</w:t>
      </w:r>
      <w:r>
        <w:rPr>
          <w:rFonts w:hint="eastAsia" w:ascii="仿宋_GB2312" w:hAnsi="仿宋_GB2312" w:eastAsia="仿宋_GB2312" w:cs="仿宋_GB2312"/>
          <w:color w:val="000000" w:themeColor="text1"/>
          <w:sz w:val="32"/>
          <w:szCs w:val="32"/>
          <w:lang w:eastAsia="zh-CN"/>
          <w14:textFill>
            <w14:solidFill>
              <w14:schemeClr w14:val="tx1"/>
            </w14:solidFill>
          </w14:textFill>
        </w:rPr>
        <w:t>办</w:t>
      </w:r>
      <w:r>
        <w:rPr>
          <w:rFonts w:hint="eastAsia" w:ascii="仿宋_GB2312" w:hAnsi="仿宋_GB2312" w:eastAsia="仿宋_GB2312" w:cs="仿宋_GB2312"/>
          <w:color w:val="000000" w:themeColor="text1"/>
          <w:sz w:val="32"/>
          <w:szCs w:val="32"/>
          <w14:textFill>
            <w14:solidFill>
              <w14:schemeClr w14:val="tx1"/>
            </w14:solidFill>
          </w14:textFill>
        </w:rPr>
        <w:t>应及时报给</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审定，对于其中不再符合城乡低收入家庭条件的，应及时予以取消。对取消低收入家庭资格的，市民政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要以书面形式告知。对于采取虚报、隐瞒、伪造等手段，骗取城乡低收入家庭专项救助的，市民政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要取消当年度城乡低收入家庭认定资格，将申请人信息纳入征信系统，并对失信人进行联合惩戒。</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420"/>
        <w:jc w:val="both"/>
        <w:textAlignment w:val="auto"/>
        <w:rPr>
          <w:rFonts w:hint="eastAsia" w:ascii="楷体" w:hAnsi="楷体" w:eastAsia="楷体" w:cs="楷体"/>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（二）强化监督检查。</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民政</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要将城乡低收入家庭认定和低保、临时救助工作纳入困难群众救助绩效评价范围，就工作落实情况定期开展监督检查。</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人力资源和社会保障</w:t>
      </w:r>
      <w:r>
        <w:rPr>
          <w:rFonts w:hint="eastAsia" w:ascii="仿宋_GB2312" w:hAnsi="仿宋_GB2312" w:eastAsia="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医疗保障局以及</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14:textFill>
            <w14:solidFill>
              <w14:schemeClr w14:val="tx1"/>
            </w14:solidFill>
          </w14:textFill>
        </w:rPr>
        <w:t>残疾人联合会要在各自的职责范围内针对专项救助落实情况适时开展监督检查。</w:t>
      </w:r>
      <w:r>
        <w:rPr>
          <w:rFonts w:hint="eastAsia" w:ascii="仿宋_GB2312" w:hAnsi="仿宋_GB2312" w:eastAsia="仿宋_GB2312" w:cs="仿宋_GB2312"/>
          <w:color w:val="000000" w:themeColor="text1"/>
          <w:sz w:val="32"/>
          <w:szCs w:val="32"/>
          <w:lang w:eastAsia="zh-CN"/>
          <w14:textFill>
            <w14:solidFill>
              <w14:schemeClr w14:val="tx1"/>
            </w14:solidFill>
          </w14:textFill>
        </w:rPr>
        <w:t>相关部门</w:t>
      </w:r>
      <w:r>
        <w:rPr>
          <w:rFonts w:hint="eastAsia" w:ascii="仿宋_GB2312" w:hAnsi="仿宋_GB2312" w:eastAsia="仿宋_GB2312" w:cs="仿宋_GB2312"/>
          <w:color w:val="000000" w:themeColor="text1"/>
          <w:sz w:val="32"/>
          <w:szCs w:val="32"/>
          <w14:textFill>
            <w14:solidFill>
              <w14:schemeClr w14:val="tx1"/>
            </w14:solidFill>
          </w14:textFill>
        </w:rPr>
        <w:t>要按照有关规定，公开咨询监督和举报电话，健全完善举报核查制度。要不断加强对城乡低收入家庭认定和专项救助工作的监督检查，完善相关监督管理制度，通过政府购买服务强化工作能力。建立社会力量参与专项救助的机制和渠道，提供专项救助项目、需求信息，为社会力量参与创造条件、提供便利。</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（三）建立部门联动机制。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市民政局每月要将新增低收入家庭名单发送给各相关职能部门。各职能部门要将专项救助工作情况以正式公文形式报送市民政局，由市民政局汇总做好我市城乡低收入家庭专项救助情况收集上报工作。</w:t>
      </w: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N/>
        <w:bidi w:val="0"/>
        <w:snapToGrid/>
        <w:spacing w:line="560" w:lineRule="exact"/>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sectPr>
      <w:footerReference r:id="rId3" w:type="default"/>
      <w:pgSz w:w="11906" w:h="16838"/>
      <w:pgMar w:top="2098" w:right="1587" w:bottom="204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posOffset>4986655</wp:posOffset>
              </wp:positionH>
              <wp:positionV relativeFrom="paragraph">
                <wp:posOffset>-409575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2.65pt;margin-top:-32.25pt;height:144pt;width:144pt;mso-position-horizontal-relative:margin;mso-wrap-style:none;z-index:251658240;mso-width-relative:page;mso-height-relative:page;" filled="f" stroked="f" coordsize="21600,21600" o:gfxdata="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fXU39kAAAAMAQAADwAAAAAA&#10;AAABACAAAAAiAAAAZHJzL2Rvd25yZXYueG1sUEsBAhQAFAAAAAgAh07iQErbzf8SAgAAEwQAAA4A&#10;AAAAAAAAAQAgAAAAKAEAAGRycy9lMm9Eb2MueG1sUEsFBgAAAAAGAAYAWQEAAKw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64CFD"/>
    <w:rsid w:val="070C42B5"/>
    <w:rsid w:val="120F6C95"/>
    <w:rsid w:val="121B4EEE"/>
    <w:rsid w:val="16F60758"/>
    <w:rsid w:val="19AB59B7"/>
    <w:rsid w:val="21294A63"/>
    <w:rsid w:val="25A469AF"/>
    <w:rsid w:val="2B2C5007"/>
    <w:rsid w:val="2F1B6769"/>
    <w:rsid w:val="2F5A4AF9"/>
    <w:rsid w:val="2FB727DA"/>
    <w:rsid w:val="30634787"/>
    <w:rsid w:val="31BA1D94"/>
    <w:rsid w:val="35A515B8"/>
    <w:rsid w:val="37254896"/>
    <w:rsid w:val="3A8F3C64"/>
    <w:rsid w:val="3C216AD4"/>
    <w:rsid w:val="3C4F40CA"/>
    <w:rsid w:val="3E2B4F26"/>
    <w:rsid w:val="3EEE53BF"/>
    <w:rsid w:val="48E81065"/>
    <w:rsid w:val="522239CB"/>
    <w:rsid w:val="532C61E9"/>
    <w:rsid w:val="55425906"/>
    <w:rsid w:val="5E5A521B"/>
    <w:rsid w:val="5F1102DD"/>
    <w:rsid w:val="642075FD"/>
    <w:rsid w:val="66853B49"/>
    <w:rsid w:val="73535BAD"/>
    <w:rsid w:val="73A9475B"/>
    <w:rsid w:val="74054777"/>
    <w:rsid w:val="75DE6C69"/>
    <w:rsid w:val="7A8D2EAF"/>
    <w:rsid w:val="7B7D3A95"/>
    <w:rsid w:val="7E8D1BCD"/>
    <w:rsid w:val="7F457C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grfwico0"/>
    <w:basedOn w:val="6"/>
    <w:qFormat/>
    <w:uiPriority w:val="0"/>
  </w:style>
  <w:style w:type="character" w:customStyle="1" w:styleId="8">
    <w:name w:val="bsfwico19"/>
    <w:basedOn w:val="6"/>
    <w:qFormat/>
    <w:uiPriority w:val="0"/>
  </w:style>
  <w:style w:type="character" w:customStyle="1" w:styleId="9">
    <w:name w:val="bsfwico5"/>
    <w:basedOn w:val="6"/>
    <w:qFormat/>
    <w:uiPriority w:val="0"/>
  </w:style>
  <w:style w:type="character" w:customStyle="1" w:styleId="10">
    <w:name w:val="grfwico13"/>
    <w:basedOn w:val="6"/>
    <w:qFormat/>
    <w:uiPriority w:val="0"/>
  </w:style>
  <w:style w:type="character" w:customStyle="1" w:styleId="11">
    <w:name w:val="grfwico18"/>
    <w:basedOn w:val="6"/>
    <w:qFormat/>
    <w:uiPriority w:val="0"/>
  </w:style>
  <w:style w:type="character" w:customStyle="1" w:styleId="12">
    <w:name w:val="bsfwico21"/>
    <w:basedOn w:val="6"/>
    <w:qFormat/>
    <w:uiPriority w:val="0"/>
  </w:style>
  <w:style w:type="character" w:customStyle="1" w:styleId="13">
    <w:name w:val="grfwico16"/>
    <w:basedOn w:val="6"/>
    <w:qFormat/>
    <w:uiPriority w:val="0"/>
  </w:style>
  <w:style w:type="character" w:customStyle="1" w:styleId="14">
    <w:name w:val="grfwico14"/>
    <w:basedOn w:val="6"/>
    <w:qFormat/>
    <w:uiPriority w:val="0"/>
  </w:style>
  <w:style w:type="character" w:customStyle="1" w:styleId="15">
    <w:name w:val="grfwico17"/>
    <w:basedOn w:val="6"/>
    <w:qFormat/>
    <w:uiPriority w:val="0"/>
  </w:style>
  <w:style w:type="character" w:customStyle="1" w:styleId="16">
    <w:name w:val="grfwico5"/>
    <w:basedOn w:val="6"/>
    <w:qFormat/>
    <w:uiPriority w:val="0"/>
  </w:style>
  <w:style w:type="character" w:customStyle="1" w:styleId="17">
    <w:name w:val="bsfwico4"/>
    <w:basedOn w:val="6"/>
    <w:qFormat/>
    <w:uiPriority w:val="0"/>
  </w:style>
  <w:style w:type="character" w:customStyle="1" w:styleId="18">
    <w:name w:val="hdxdata"/>
    <w:basedOn w:val="6"/>
    <w:qFormat/>
    <w:uiPriority w:val="0"/>
  </w:style>
  <w:style w:type="character" w:customStyle="1" w:styleId="19">
    <w:name w:val="grfwico15"/>
    <w:basedOn w:val="6"/>
    <w:qFormat/>
    <w:uiPriority w:val="0"/>
  </w:style>
  <w:style w:type="character" w:customStyle="1" w:styleId="20">
    <w:name w:val="grfwico9"/>
    <w:basedOn w:val="6"/>
    <w:qFormat/>
    <w:uiPriority w:val="0"/>
  </w:style>
  <w:style w:type="character" w:customStyle="1" w:styleId="21">
    <w:name w:val="grfwico19"/>
    <w:basedOn w:val="6"/>
    <w:qFormat/>
    <w:uiPriority w:val="0"/>
  </w:style>
  <w:style w:type="character" w:customStyle="1" w:styleId="22">
    <w:name w:val="hdata"/>
    <w:basedOn w:val="6"/>
    <w:qFormat/>
    <w:uiPriority w:val="0"/>
    <w:rPr>
      <w:color w:val="888888"/>
      <w:sz w:val="18"/>
      <w:szCs w:val="18"/>
    </w:rPr>
  </w:style>
  <w:style w:type="character" w:customStyle="1" w:styleId="23">
    <w:name w:val="gwds_nopic"/>
    <w:basedOn w:val="6"/>
    <w:qFormat/>
    <w:uiPriority w:val="0"/>
  </w:style>
  <w:style w:type="character" w:customStyle="1" w:styleId="24">
    <w:name w:val="gwds_nopic1"/>
    <w:basedOn w:val="6"/>
    <w:qFormat/>
    <w:uiPriority w:val="0"/>
  </w:style>
  <w:style w:type="character" w:customStyle="1" w:styleId="25">
    <w:name w:val="gwds_nopic2"/>
    <w:basedOn w:val="6"/>
    <w:qFormat/>
    <w:uiPriority w:val="0"/>
  </w:style>
  <w:style w:type="character" w:customStyle="1" w:styleId="26">
    <w:name w:val="bsfwico0"/>
    <w:basedOn w:val="6"/>
    <w:qFormat/>
    <w:uiPriority w:val="0"/>
  </w:style>
  <w:style w:type="character" w:customStyle="1" w:styleId="27">
    <w:name w:val="grfwico10"/>
    <w:basedOn w:val="6"/>
    <w:qFormat/>
    <w:uiPriority w:val="0"/>
  </w:style>
  <w:style w:type="character" w:customStyle="1" w:styleId="28">
    <w:name w:val="bsfwico11"/>
    <w:basedOn w:val="6"/>
    <w:qFormat/>
    <w:uiPriority w:val="0"/>
  </w:style>
  <w:style w:type="character" w:customStyle="1" w:styleId="29">
    <w:name w:val="bsfwico1"/>
    <w:basedOn w:val="6"/>
    <w:qFormat/>
    <w:uiPriority w:val="0"/>
  </w:style>
  <w:style w:type="character" w:customStyle="1" w:styleId="30">
    <w:name w:val="bsfwico2"/>
    <w:basedOn w:val="6"/>
    <w:qFormat/>
    <w:uiPriority w:val="0"/>
  </w:style>
  <w:style w:type="character" w:customStyle="1" w:styleId="31">
    <w:name w:val="bsfwico3"/>
    <w:basedOn w:val="6"/>
    <w:qFormat/>
    <w:uiPriority w:val="0"/>
  </w:style>
  <w:style w:type="character" w:customStyle="1" w:styleId="32">
    <w:name w:val="bsfwico6"/>
    <w:basedOn w:val="6"/>
    <w:qFormat/>
    <w:uiPriority w:val="0"/>
  </w:style>
  <w:style w:type="character" w:customStyle="1" w:styleId="33">
    <w:name w:val="grfwico3"/>
    <w:basedOn w:val="6"/>
    <w:qFormat/>
    <w:uiPriority w:val="0"/>
  </w:style>
  <w:style w:type="character" w:customStyle="1" w:styleId="34">
    <w:name w:val="bsfwico7"/>
    <w:basedOn w:val="6"/>
    <w:qFormat/>
    <w:uiPriority w:val="0"/>
  </w:style>
  <w:style w:type="character" w:customStyle="1" w:styleId="35">
    <w:name w:val="bsfwico8"/>
    <w:basedOn w:val="6"/>
    <w:qFormat/>
    <w:uiPriority w:val="0"/>
  </w:style>
  <w:style w:type="character" w:customStyle="1" w:styleId="36">
    <w:name w:val="bsfwico9"/>
    <w:basedOn w:val="6"/>
    <w:qFormat/>
    <w:uiPriority w:val="0"/>
  </w:style>
  <w:style w:type="character" w:customStyle="1" w:styleId="37">
    <w:name w:val="bsfwico10"/>
    <w:basedOn w:val="6"/>
    <w:qFormat/>
    <w:uiPriority w:val="0"/>
  </w:style>
  <w:style w:type="character" w:customStyle="1" w:styleId="38">
    <w:name w:val="bsfwico12"/>
    <w:basedOn w:val="6"/>
    <w:qFormat/>
    <w:uiPriority w:val="0"/>
  </w:style>
  <w:style w:type="character" w:customStyle="1" w:styleId="39">
    <w:name w:val="grfwico7"/>
    <w:basedOn w:val="6"/>
    <w:qFormat/>
    <w:uiPriority w:val="0"/>
  </w:style>
  <w:style w:type="character" w:customStyle="1" w:styleId="40">
    <w:name w:val="bsfwico13"/>
    <w:basedOn w:val="6"/>
    <w:qFormat/>
    <w:uiPriority w:val="0"/>
  </w:style>
  <w:style w:type="character" w:customStyle="1" w:styleId="41">
    <w:name w:val="bsfwico14"/>
    <w:basedOn w:val="6"/>
    <w:qFormat/>
    <w:uiPriority w:val="0"/>
  </w:style>
  <w:style w:type="character" w:customStyle="1" w:styleId="42">
    <w:name w:val="bsfwico15"/>
    <w:basedOn w:val="6"/>
    <w:qFormat/>
    <w:uiPriority w:val="0"/>
  </w:style>
  <w:style w:type="character" w:customStyle="1" w:styleId="43">
    <w:name w:val="bsfwico18"/>
    <w:basedOn w:val="6"/>
    <w:qFormat/>
    <w:uiPriority w:val="0"/>
  </w:style>
  <w:style w:type="character" w:customStyle="1" w:styleId="44">
    <w:name w:val="bsfwico16"/>
    <w:basedOn w:val="6"/>
    <w:qFormat/>
    <w:uiPriority w:val="0"/>
  </w:style>
  <w:style w:type="character" w:customStyle="1" w:styleId="45">
    <w:name w:val="bsfwico17"/>
    <w:basedOn w:val="6"/>
    <w:qFormat/>
    <w:uiPriority w:val="0"/>
  </w:style>
  <w:style w:type="character" w:customStyle="1" w:styleId="46">
    <w:name w:val="grfwico11"/>
    <w:basedOn w:val="6"/>
    <w:qFormat/>
    <w:uiPriority w:val="0"/>
  </w:style>
  <w:style w:type="character" w:customStyle="1" w:styleId="47">
    <w:name w:val="bsfwico20"/>
    <w:basedOn w:val="6"/>
    <w:qFormat/>
    <w:uiPriority w:val="0"/>
  </w:style>
  <w:style w:type="character" w:customStyle="1" w:styleId="48">
    <w:name w:val="bsfwico22"/>
    <w:basedOn w:val="6"/>
    <w:qFormat/>
    <w:uiPriority w:val="0"/>
  </w:style>
  <w:style w:type="character" w:customStyle="1" w:styleId="49">
    <w:name w:val="bsfwico23"/>
    <w:basedOn w:val="6"/>
    <w:qFormat/>
    <w:uiPriority w:val="0"/>
  </w:style>
  <w:style w:type="character" w:customStyle="1" w:styleId="50">
    <w:name w:val="grfwico1"/>
    <w:basedOn w:val="6"/>
    <w:qFormat/>
    <w:uiPriority w:val="0"/>
  </w:style>
  <w:style w:type="character" w:customStyle="1" w:styleId="51">
    <w:name w:val="grfwico2"/>
    <w:basedOn w:val="6"/>
    <w:qFormat/>
    <w:uiPriority w:val="0"/>
  </w:style>
  <w:style w:type="character" w:customStyle="1" w:styleId="52">
    <w:name w:val="grfwico4"/>
    <w:basedOn w:val="6"/>
    <w:qFormat/>
    <w:uiPriority w:val="0"/>
  </w:style>
  <w:style w:type="character" w:customStyle="1" w:styleId="53">
    <w:name w:val="grfwico6"/>
    <w:basedOn w:val="6"/>
    <w:qFormat/>
    <w:uiPriority w:val="0"/>
  </w:style>
  <w:style w:type="character" w:customStyle="1" w:styleId="54">
    <w:name w:val="grfwico8"/>
    <w:basedOn w:val="6"/>
    <w:qFormat/>
    <w:uiPriority w:val="0"/>
  </w:style>
  <w:style w:type="character" w:customStyle="1" w:styleId="55">
    <w:name w:val="grfwico12"/>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ayoung</dc:creator>
  <cp:lastModifiedBy>Administrator</cp:lastModifiedBy>
  <cp:lastPrinted>2021-01-25T03:24:00Z</cp:lastPrinted>
  <dcterms:modified xsi:type="dcterms:W3CDTF">2021-02-08T03:01:07Z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