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kern w:val="0"/>
          <w:sz w:val="32"/>
          <w:szCs w:val="32"/>
          <w:lang w:bidi="ar"/>
        </w:rPr>
      </w:pPr>
      <w:r>
        <w:rPr>
          <w:rFonts w:hint="eastAsia" w:ascii="黑体" w:eastAsia="黑体"/>
          <w:kern w:val="0"/>
          <w:sz w:val="32"/>
          <w:szCs w:val="32"/>
          <w:lang w:bidi="ar"/>
        </w:rPr>
        <w:t>附件2</w:t>
      </w:r>
    </w:p>
    <w:p>
      <w:pPr>
        <w:pStyle w:val="4"/>
        <w:spacing w:after="0"/>
        <w:ind w:left="0" w:leftChars="0" w:firstLine="0" w:firstLineChars="0"/>
        <w:jc w:val="center"/>
        <w:rPr>
          <w:rFonts w:hint="eastAsia" w:ascii="Times New Roman" w:hAnsi="Times New Roman" w:eastAsia="方正小标宋简体"/>
          <w:kern w:val="0"/>
          <w:sz w:val="36"/>
          <w:szCs w:val="36"/>
          <w:lang w:bidi="ar"/>
        </w:rPr>
      </w:pPr>
      <w:bookmarkStart w:id="0" w:name="_GoBack"/>
      <w:r>
        <w:rPr>
          <w:rFonts w:ascii="Times New Roman" w:hAnsi="Times New Roman" w:eastAsia="方正小标宋简体"/>
          <w:color w:val="000000"/>
          <w:kern w:val="0"/>
          <w:sz w:val="36"/>
          <w:szCs w:val="36"/>
          <w:lang w:bidi="ar"/>
        </w:rPr>
        <w:t>荆门市推进公立医院高质量发展重点任</w:t>
      </w:r>
      <w:r>
        <w:rPr>
          <w:rFonts w:ascii="Times New Roman" w:hAnsi="Times New Roman" w:eastAsia="方正小标宋简体"/>
          <w:kern w:val="0"/>
          <w:sz w:val="36"/>
          <w:szCs w:val="36"/>
          <w:lang w:bidi="ar"/>
        </w:rPr>
        <w:t>务</w:t>
      </w:r>
      <w:r>
        <w:rPr>
          <w:rFonts w:hint="eastAsia" w:ascii="Times New Roman" w:hAnsi="Times New Roman" w:eastAsia="方正小标宋简体"/>
          <w:kern w:val="0"/>
          <w:sz w:val="36"/>
          <w:szCs w:val="36"/>
          <w:lang w:bidi="ar"/>
        </w:rPr>
        <w:t>责任分工</w:t>
      </w:r>
    </w:p>
    <w:bookmarkEnd w:id="0"/>
    <w:p>
      <w:pPr>
        <w:rPr>
          <w:rFonts w:hint="eastAsia"/>
          <w:lang w:bidi="ar"/>
        </w:rPr>
      </w:pPr>
    </w:p>
    <w:tbl>
      <w:tblPr>
        <w:tblStyle w:val="6"/>
        <w:tblW w:w="13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780"/>
        <w:gridCol w:w="6061"/>
        <w:gridCol w:w="1736"/>
        <w:gridCol w:w="1679"/>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82"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任务分类</w:t>
            </w:r>
          </w:p>
        </w:tc>
        <w:tc>
          <w:tcPr>
            <w:tcW w:w="780"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序号</w:t>
            </w:r>
          </w:p>
        </w:tc>
        <w:tc>
          <w:tcPr>
            <w:tcW w:w="6061"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重点任务</w:t>
            </w:r>
          </w:p>
        </w:tc>
        <w:tc>
          <w:tcPr>
            <w:tcW w:w="1736"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牵头部门</w:t>
            </w:r>
          </w:p>
        </w:tc>
        <w:tc>
          <w:tcPr>
            <w:tcW w:w="1679"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责任部门</w:t>
            </w:r>
          </w:p>
        </w:tc>
        <w:tc>
          <w:tcPr>
            <w:tcW w:w="1834" w:type="dxa"/>
            <w:noWrap w:val="0"/>
            <w:vAlign w:val="center"/>
          </w:tcPr>
          <w:p>
            <w:pPr>
              <w:jc w:val="center"/>
              <w:rPr>
                <w:rFonts w:hint="eastAsia" w:ascii="黑体" w:hAnsi="宋体" w:eastAsia="黑体"/>
                <w:color w:val="000000"/>
                <w:szCs w:val="21"/>
              </w:rPr>
            </w:pPr>
            <w:r>
              <w:rPr>
                <w:rFonts w:hint="eastAsia" w:ascii="黑体" w:hAnsi="宋体" w:eastAsia="黑体"/>
                <w:color w:val="000000"/>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noWrap w:val="0"/>
            <w:vAlign w:val="center"/>
          </w:tcPr>
          <w:p>
            <w:pPr>
              <w:rPr>
                <w:rFonts w:hint="eastAsia" w:ascii="宋体" w:hAnsi="宋体"/>
                <w:color w:val="000000"/>
                <w:szCs w:val="21"/>
              </w:rPr>
            </w:pPr>
            <w:r>
              <w:rPr>
                <w:rFonts w:hint="eastAsia" w:ascii="宋体" w:hAnsi="宋体"/>
                <w:color w:val="000000"/>
                <w:szCs w:val="21"/>
              </w:rPr>
              <w:t>加强组织领导</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成立由市长任组长的荆门市推进公立医院高质量发展领导小组及其办公室。</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w w:val="85"/>
                <w:szCs w:val="21"/>
              </w:rPr>
              <w:t>市政府办公室</w:t>
            </w:r>
          </w:p>
        </w:tc>
        <w:tc>
          <w:tcPr>
            <w:tcW w:w="1679" w:type="dxa"/>
            <w:noWrap w:val="0"/>
            <w:vAlign w:val="center"/>
          </w:tcPr>
          <w:p>
            <w:pPr>
              <w:spacing w:line="260" w:lineRule="exact"/>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成立荆门市医院协会。</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spacing w:line="260" w:lineRule="exact"/>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2022年8月底前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二级及以上公立医院全面落实党委领导下的院长负责制。</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市委组织部</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noWrap w:val="0"/>
            <w:vAlign w:val="center"/>
          </w:tcPr>
          <w:p>
            <w:pPr>
              <w:rPr>
                <w:rFonts w:hint="eastAsia" w:ascii="宋体" w:hAnsi="宋体"/>
                <w:color w:val="000000"/>
                <w:szCs w:val="21"/>
              </w:rPr>
            </w:pPr>
            <w:r>
              <w:rPr>
                <w:rFonts w:hint="eastAsia" w:ascii="宋体" w:hAnsi="宋体"/>
                <w:color w:val="000000"/>
                <w:szCs w:val="21"/>
              </w:rPr>
              <w:t>激活公立医院高质量发展新动力</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4</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加大财政对公立医院基本建设和设备购置、重点学科发展、人才培养、符合国家规定的离退休人员费用、政策性亏损，以及承担公共卫生任务和公共服务等投入保障。逐年提高财政对公立医院人头经费补助标准。</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市财政局</w:t>
            </w:r>
          </w:p>
        </w:tc>
        <w:tc>
          <w:tcPr>
            <w:tcW w:w="1679" w:type="dxa"/>
            <w:noWrap w:val="0"/>
            <w:vAlign w:val="center"/>
          </w:tcPr>
          <w:p>
            <w:pPr>
              <w:spacing w:line="260" w:lineRule="exact"/>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5</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推行公立医院人员总量管理，动态调整。</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市人社局</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6</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调整优化公立医院专技人员比例，逐步将行政后勤人员占比减少至15%—10%。</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spacing w:line="260" w:lineRule="exact"/>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7</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允许在二级及以上公立医院创新设立特设岗位。</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市人社局</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市委组织部</w:t>
            </w:r>
          </w:p>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8</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采取省级考务平台统一公开招聘，或专项招聘、人才引进等多种形式将引进培养的人才纳入编制管理。</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市人社局</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市委编办</w:t>
            </w:r>
          </w:p>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9</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按照“两个允许”要求，深化公立医院绩效薪酬制度改革。支持公立医院自主设立体现医疗行业特点、劳动特点和岗位价值的薪酬项目。鼓励对主要负责人实行年薪制。</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市人社局</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10</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改革完善公立医院内部绩效分配制度和绩效考核机制，建立以DRG（疾病诊断相关分组）、DIP（病种分值）、CMI（病例组合指数）、RW（DRG与DIP权重）、时间消耗指数、费用消耗指数、满意度等为关键指标的绩效评价体系。</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spacing w:line="260" w:lineRule="exact"/>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11</w:t>
            </w:r>
          </w:p>
        </w:tc>
        <w:tc>
          <w:tcPr>
            <w:tcW w:w="6061" w:type="dxa"/>
            <w:noWrap w:val="0"/>
            <w:vAlign w:val="center"/>
          </w:tcPr>
          <w:p>
            <w:pPr>
              <w:spacing w:line="260" w:lineRule="exact"/>
              <w:rPr>
                <w:rFonts w:hint="eastAsia" w:ascii="宋体" w:hAnsi="宋体"/>
                <w:color w:val="000000"/>
                <w:szCs w:val="21"/>
              </w:rPr>
            </w:pPr>
            <w:r>
              <w:rPr>
                <w:rFonts w:hint="eastAsia" w:ascii="宋体" w:hAnsi="宋体"/>
                <w:color w:val="000000"/>
                <w:szCs w:val="21"/>
              </w:rPr>
              <w:t>编制、财政、人社、教育等部门积极支持高端医学卫生人才引进。</w:t>
            </w:r>
          </w:p>
        </w:tc>
        <w:tc>
          <w:tcPr>
            <w:tcW w:w="1736"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市委编办</w:t>
            </w:r>
          </w:p>
        </w:tc>
        <w:tc>
          <w:tcPr>
            <w:tcW w:w="1679" w:type="dxa"/>
            <w:noWrap w:val="0"/>
            <w:vAlign w:val="center"/>
          </w:tcPr>
          <w:p>
            <w:pPr>
              <w:spacing w:line="260" w:lineRule="exact"/>
              <w:jc w:val="center"/>
              <w:rPr>
                <w:rFonts w:hint="eastAsia" w:ascii="宋体" w:hAnsi="宋体"/>
                <w:color w:val="000000"/>
                <w:szCs w:val="21"/>
              </w:rPr>
            </w:pPr>
            <w:r>
              <w:rPr>
                <w:rFonts w:hint="eastAsia" w:ascii="宋体" w:hAnsi="宋体"/>
                <w:color w:val="000000"/>
                <w:szCs w:val="21"/>
              </w:rPr>
              <w:t>市财政局</w:t>
            </w:r>
          </w:p>
          <w:p>
            <w:pPr>
              <w:spacing w:line="260" w:lineRule="exact"/>
              <w:jc w:val="center"/>
              <w:rPr>
                <w:rFonts w:hint="eastAsia" w:ascii="宋体" w:hAnsi="宋体"/>
                <w:color w:val="000000"/>
                <w:szCs w:val="21"/>
              </w:rPr>
            </w:pPr>
            <w:r>
              <w:rPr>
                <w:rFonts w:hint="eastAsia" w:ascii="宋体" w:hAnsi="宋体"/>
                <w:color w:val="000000"/>
                <w:szCs w:val="21"/>
              </w:rPr>
              <w:t>市人社局</w:t>
            </w:r>
          </w:p>
          <w:p>
            <w:pPr>
              <w:spacing w:line="260" w:lineRule="exact"/>
              <w:jc w:val="center"/>
              <w:rPr>
                <w:rFonts w:hint="eastAsia" w:ascii="宋体" w:hAnsi="宋体"/>
                <w:color w:val="000000"/>
                <w:szCs w:val="21"/>
              </w:rPr>
            </w:pPr>
            <w:r>
              <w:rPr>
                <w:rFonts w:hint="eastAsia" w:ascii="宋体" w:hAnsi="宋体"/>
                <w:color w:val="000000"/>
                <w:szCs w:val="21"/>
              </w:rPr>
              <w:t>市教育局</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noWrap w:val="0"/>
            <w:vAlign w:val="center"/>
          </w:tcPr>
          <w:p>
            <w:pPr>
              <w:rPr>
                <w:rFonts w:hint="eastAsia" w:ascii="宋体" w:hAnsi="宋体"/>
                <w:color w:val="000000"/>
                <w:szCs w:val="21"/>
              </w:rPr>
            </w:pPr>
            <w:r>
              <w:rPr>
                <w:rFonts w:hint="eastAsia" w:ascii="宋体" w:hAnsi="宋体"/>
                <w:color w:val="000000"/>
                <w:szCs w:val="21"/>
              </w:rPr>
              <w:t>激活公立医院高质量发展新动力</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12</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对高端医学卫生人才子女上学给予优先照顾。</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市教育局</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13</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在市卫生健康委设立医学卫生人才专项资金，市财政每年给予一定数量的引导资金支持，市直公立医院引进培养的硕士、博士等高层次领军人才的费用从医学卫生人才专项资金中列支。</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市财政局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14</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完善卫生专业技术人员高级职称评价标准，进一步改进评价方式，做好三甲医院高级职称自主评审。</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市人社局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15</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启动基本医保DIP付费，2023年1月起正式运行，2025年开展住院服务的医疗机构按DIP付费实现全覆盖，按DIP付费的住院费用比例达到70%。</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市医保局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16</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完善居民医保普通门诊统筹运行机制，全面推行职工医保普通门诊统筹。</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市医保局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17</w:t>
            </w:r>
          </w:p>
        </w:tc>
        <w:tc>
          <w:tcPr>
            <w:tcW w:w="6061" w:type="dxa"/>
            <w:noWrap w:val="0"/>
            <w:vAlign w:val="center"/>
          </w:tcPr>
          <w:p>
            <w:pPr>
              <w:rPr>
                <w:rFonts w:hint="eastAsia" w:ascii="宋体" w:hAnsi="宋体"/>
                <w:color w:val="000000"/>
                <w:szCs w:val="21"/>
              </w:rPr>
            </w:pPr>
            <w:r>
              <w:rPr>
                <w:rFonts w:hint="eastAsia" w:ascii="宋体" w:hAnsi="宋体"/>
                <w:color w:val="000000"/>
                <w:szCs w:val="21"/>
              </w:rPr>
              <w:t>进一步拉开市、县级医院与基层医疗机构门诊及住院医保支付比例差距。</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市医保局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18</w:t>
            </w:r>
          </w:p>
        </w:tc>
        <w:tc>
          <w:tcPr>
            <w:tcW w:w="6061" w:type="dxa"/>
            <w:noWrap w:val="0"/>
            <w:vAlign w:val="center"/>
          </w:tcPr>
          <w:p>
            <w:pPr>
              <w:rPr>
                <w:rFonts w:hint="eastAsia" w:ascii="宋体" w:hAnsi="宋体"/>
                <w:color w:val="000000"/>
                <w:szCs w:val="21"/>
              </w:rPr>
            </w:pPr>
            <w:r>
              <w:rPr>
                <w:rFonts w:hint="eastAsia" w:ascii="宋体" w:hAnsi="宋体"/>
                <w:color w:val="000000"/>
                <w:szCs w:val="21"/>
              </w:rPr>
              <w:t>跟进落实国家、省药品和医用耗材集中带量采购中选结果，落实集采药品医保资金结余留用政策。</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市医保局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19</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建立灵敏有序的医疗服务项目价格动态调整机制，定期开展调价评估，稳妥有序调整价格，理顺比价关系。简化新增价格项目的申报流程，促进医疗技术创新发展和临床应用。</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市医保局</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noWrap w:val="0"/>
            <w:vAlign w:val="center"/>
          </w:tcPr>
          <w:p>
            <w:pPr>
              <w:rPr>
                <w:rFonts w:hint="eastAsia" w:ascii="宋体" w:hAnsi="宋体"/>
                <w:color w:val="000000"/>
                <w:szCs w:val="21"/>
              </w:rPr>
            </w:pPr>
            <w:r>
              <w:rPr>
                <w:rFonts w:hint="eastAsia" w:ascii="宋体" w:hAnsi="宋体"/>
                <w:color w:val="000000"/>
                <w:szCs w:val="21"/>
              </w:rPr>
              <w:t>构建公立医院高质量发展新体系</w:t>
            </w:r>
          </w:p>
        </w:tc>
        <w:tc>
          <w:tcPr>
            <w:tcW w:w="78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20</w:t>
            </w:r>
          </w:p>
        </w:tc>
        <w:tc>
          <w:tcPr>
            <w:tcW w:w="6061" w:type="dxa"/>
            <w:noWrap w:val="0"/>
            <w:vAlign w:val="center"/>
          </w:tcPr>
          <w:p>
            <w:pPr>
              <w:spacing w:line="400" w:lineRule="exact"/>
              <w:rPr>
                <w:rFonts w:hint="eastAsia" w:ascii="宋体" w:hAnsi="宋体"/>
                <w:color w:val="000000"/>
                <w:szCs w:val="21"/>
              </w:rPr>
            </w:pPr>
            <w:r>
              <w:rPr>
                <w:rFonts w:hint="eastAsia" w:ascii="宋体" w:hAnsi="宋体"/>
                <w:color w:val="000000"/>
                <w:szCs w:val="21"/>
              </w:rPr>
              <w:t>加快优质医疗资源扩容和均衡布局。</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市发改委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21</w:t>
            </w:r>
          </w:p>
        </w:tc>
        <w:tc>
          <w:tcPr>
            <w:tcW w:w="6061" w:type="dxa"/>
            <w:noWrap w:val="0"/>
            <w:vAlign w:val="center"/>
          </w:tcPr>
          <w:p>
            <w:pPr>
              <w:spacing w:line="400" w:lineRule="exact"/>
              <w:rPr>
                <w:rFonts w:hint="eastAsia" w:ascii="宋体" w:hAnsi="宋体"/>
                <w:color w:val="000000"/>
                <w:szCs w:val="21"/>
              </w:rPr>
            </w:pPr>
            <w:r>
              <w:rPr>
                <w:rFonts w:hint="eastAsia" w:ascii="宋体" w:hAnsi="宋体"/>
                <w:color w:val="000000"/>
                <w:szCs w:val="21"/>
              </w:rPr>
              <w:t>推进紧密型医联体（医共体）提质增效。</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22</w:t>
            </w:r>
          </w:p>
        </w:tc>
        <w:tc>
          <w:tcPr>
            <w:tcW w:w="6061" w:type="dxa"/>
            <w:noWrap w:val="0"/>
            <w:vAlign w:val="center"/>
          </w:tcPr>
          <w:p>
            <w:pPr>
              <w:spacing w:line="400" w:lineRule="exact"/>
              <w:rPr>
                <w:rFonts w:hint="eastAsia" w:ascii="宋体" w:hAnsi="宋体"/>
                <w:color w:val="000000"/>
                <w:szCs w:val="21"/>
              </w:rPr>
            </w:pPr>
            <w:r>
              <w:rPr>
                <w:rFonts w:hint="eastAsia" w:ascii="宋体" w:hAnsi="宋体"/>
                <w:color w:val="000000"/>
                <w:szCs w:val="21"/>
              </w:rPr>
              <w:t>健全分级分层分流的重大疫情救治体系。</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2023年12月底前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restart"/>
            <w:noWrap w:val="0"/>
            <w:vAlign w:val="center"/>
          </w:tcPr>
          <w:p>
            <w:pPr>
              <w:rPr>
                <w:rFonts w:hint="eastAsia" w:ascii="宋体" w:hAnsi="宋体"/>
                <w:color w:val="000000"/>
                <w:szCs w:val="21"/>
              </w:rPr>
            </w:pPr>
            <w:r>
              <w:rPr>
                <w:rFonts w:hint="eastAsia" w:ascii="宋体" w:hAnsi="宋体"/>
                <w:color w:val="000000"/>
                <w:szCs w:val="21"/>
              </w:rPr>
              <w:t>引领公立医院高质量发展新趋势</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23</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打造省级区域医疗中心。</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24</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打造专科专病协同错位发展“荆门样板”。</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25</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打造多学科融合优势学科集群。</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26</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打造一体化综合诊疗服务品牌。</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27</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打造中医药传承创新服务标杆。</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28</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打造高质量发展人才梯队。</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市人社局</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29</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打造临床科研和科技成果孵化转化基地。</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市发改委</w:t>
            </w:r>
          </w:p>
          <w:p>
            <w:pPr>
              <w:jc w:val="center"/>
              <w:rPr>
                <w:rFonts w:hint="eastAsia" w:ascii="宋体" w:hAnsi="宋体"/>
                <w:color w:val="000000"/>
                <w:szCs w:val="21"/>
              </w:rPr>
            </w:pPr>
            <w:r>
              <w:rPr>
                <w:rFonts w:hint="eastAsia" w:ascii="宋体" w:hAnsi="宋体"/>
                <w:color w:val="000000"/>
                <w:szCs w:val="21"/>
              </w:rPr>
              <w:t>市科技局</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Merge w:val="continue"/>
            <w:noWrap w:val="0"/>
            <w:vAlign w:val="center"/>
          </w:tcPr>
          <w:p>
            <w:pPr>
              <w:rPr>
                <w:rFonts w:hint="eastAsia" w:ascii="宋体" w:hAnsi="宋体"/>
                <w:color w:val="000000"/>
                <w:szCs w:val="21"/>
              </w:rPr>
            </w:pP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30</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打造“三位一体”数智融合现代医院。</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市大数据局</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noWrap w:val="0"/>
            <w:vAlign w:val="center"/>
          </w:tcPr>
          <w:p>
            <w:pPr>
              <w:rPr>
                <w:rFonts w:hint="eastAsia" w:ascii="宋体" w:hAnsi="宋体"/>
                <w:color w:val="000000"/>
                <w:szCs w:val="21"/>
              </w:rPr>
            </w:pPr>
            <w:r>
              <w:rPr>
                <w:rFonts w:hint="eastAsia" w:ascii="宋体" w:hAnsi="宋体"/>
                <w:color w:val="000000"/>
                <w:szCs w:val="21"/>
              </w:rPr>
              <w:t>提升公立医院高质量发展新效能</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31</w:t>
            </w:r>
          </w:p>
        </w:tc>
        <w:tc>
          <w:tcPr>
            <w:tcW w:w="6061" w:type="dxa"/>
            <w:noWrap w:val="0"/>
            <w:vAlign w:val="center"/>
          </w:tcPr>
          <w:p>
            <w:pPr>
              <w:rPr>
                <w:rFonts w:hint="eastAsia" w:ascii="宋体" w:hAnsi="宋体"/>
                <w:color w:val="000000"/>
                <w:szCs w:val="21"/>
              </w:rPr>
            </w:pPr>
            <w:r>
              <w:rPr>
                <w:rFonts w:hint="eastAsia" w:ascii="宋体" w:hAnsi="宋体"/>
                <w:color w:val="000000"/>
                <w:szCs w:val="21"/>
              </w:rPr>
              <w:t>建立整合型医院运营管理监测决策支持系统，加强全面预算和内部控制管理，强化成本消耗关键环节流程管理，2022年，全市三级公立医院万元收入能耗支出降至当年度全省中位值以下。加强公立医院综合改革绩效评价。</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市审计局</w:t>
            </w:r>
          </w:p>
          <w:p>
            <w:pPr>
              <w:jc w:val="center"/>
              <w:rPr>
                <w:rFonts w:hint="eastAsia" w:ascii="宋体" w:hAnsi="宋体"/>
                <w:color w:val="000000"/>
                <w:szCs w:val="21"/>
              </w:rPr>
            </w:pPr>
            <w:r>
              <w:rPr>
                <w:rFonts w:hint="eastAsia" w:ascii="宋体" w:hAnsi="宋体"/>
                <w:color w:val="000000"/>
                <w:szCs w:val="21"/>
              </w:rPr>
              <w:t>市财政局</w:t>
            </w:r>
          </w:p>
          <w:p>
            <w:pPr>
              <w:jc w:val="center"/>
              <w:rPr>
                <w:rFonts w:hint="eastAsia" w:ascii="宋体" w:hAnsi="宋体"/>
                <w:szCs w:val="21"/>
              </w:rPr>
            </w:pPr>
            <w:r>
              <w:rPr>
                <w:rFonts w:hint="eastAsia" w:ascii="宋体" w:hAnsi="宋体"/>
                <w:color w:val="000000"/>
                <w:szCs w:val="21"/>
              </w:rPr>
              <w:t>市人社局</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noWrap w:val="0"/>
            <w:vAlign w:val="center"/>
          </w:tcPr>
          <w:p>
            <w:pPr>
              <w:rPr>
                <w:rFonts w:hint="eastAsia" w:ascii="宋体" w:hAnsi="宋体"/>
                <w:color w:val="000000"/>
                <w:szCs w:val="21"/>
              </w:rPr>
            </w:pPr>
            <w:r>
              <w:rPr>
                <w:rFonts w:hint="eastAsia" w:ascii="宋体" w:hAnsi="宋体"/>
                <w:color w:val="000000"/>
                <w:szCs w:val="21"/>
              </w:rPr>
              <w:t>塑造公立医院高质量发展新文化</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32</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推进优秀医院文化塑造行动、伟大抗疫精神弘扬行动、清廉医院和精神文明建设行动、关心关爱医务人员行动、和谐医患关系建设行动等“五大行动”。</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市卫健委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市委宣传部</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noWrap w:val="0"/>
            <w:vAlign w:val="center"/>
          </w:tcPr>
          <w:p>
            <w:pPr>
              <w:rPr>
                <w:rFonts w:hint="eastAsia" w:ascii="宋体" w:hAnsi="宋体"/>
                <w:szCs w:val="21"/>
              </w:rPr>
            </w:pPr>
            <w:r>
              <w:rPr>
                <w:rFonts w:hint="eastAsia" w:ascii="宋体" w:hAnsi="宋体"/>
                <w:szCs w:val="21"/>
              </w:rPr>
              <w:t>项目谋划</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33</w:t>
            </w:r>
          </w:p>
        </w:tc>
        <w:tc>
          <w:tcPr>
            <w:tcW w:w="6061" w:type="dxa"/>
            <w:noWrap w:val="0"/>
            <w:vAlign w:val="center"/>
          </w:tcPr>
          <w:p>
            <w:pPr>
              <w:rPr>
                <w:rFonts w:hint="eastAsia" w:ascii="宋体" w:hAnsi="宋体"/>
                <w:color w:val="000000"/>
                <w:szCs w:val="21"/>
              </w:rPr>
            </w:pPr>
            <w:r>
              <w:rPr>
                <w:rFonts w:hint="eastAsia" w:ascii="宋体" w:hAnsi="宋体"/>
                <w:color w:val="000000"/>
                <w:szCs w:val="21"/>
              </w:rPr>
              <w:t>积极争取将符合中央预算内投资支持政策的项目纳入中央预算项目库。</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市发改委</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市财政局</w:t>
            </w:r>
          </w:p>
          <w:p>
            <w:pPr>
              <w:jc w:val="center"/>
              <w:rPr>
                <w:rFonts w:hint="eastAsia" w:ascii="宋体" w:hAnsi="宋体"/>
                <w:color w:val="000000"/>
                <w:szCs w:val="21"/>
              </w:rPr>
            </w:pPr>
            <w:r>
              <w:rPr>
                <w:rFonts w:hint="eastAsia" w:ascii="宋体" w:hAnsi="宋体"/>
                <w:color w:val="000000"/>
                <w:szCs w:val="21"/>
              </w:rPr>
              <w:t>市卫健委</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2024年12月底前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noWrap w:val="0"/>
            <w:vAlign w:val="center"/>
          </w:tcPr>
          <w:p>
            <w:pPr>
              <w:rPr>
                <w:rFonts w:hint="eastAsia" w:ascii="宋体" w:hAnsi="宋体"/>
                <w:color w:val="000000"/>
                <w:szCs w:val="21"/>
              </w:rPr>
            </w:pPr>
            <w:r>
              <w:rPr>
                <w:rFonts w:hint="eastAsia" w:ascii="宋体" w:hAnsi="宋体"/>
                <w:color w:val="000000"/>
                <w:szCs w:val="21"/>
              </w:rPr>
              <w:t>项目组织实施</w:t>
            </w:r>
          </w:p>
        </w:tc>
        <w:tc>
          <w:tcPr>
            <w:tcW w:w="780" w:type="dxa"/>
            <w:noWrap w:val="0"/>
            <w:vAlign w:val="center"/>
          </w:tcPr>
          <w:p>
            <w:pPr>
              <w:jc w:val="center"/>
              <w:rPr>
                <w:rFonts w:hint="eastAsia" w:ascii="宋体" w:hAnsi="宋体"/>
                <w:color w:val="000000"/>
                <w:szCs w:val="21"/>
              </w:rPr>
            </w:pPr>
            <w:r>
              <w:rPr>
                <w:rFonts w:hint="eastAsia" w:ascii="宋体" w:hAnsi="宋体"/>
                <w:color w:val="000000"/>
                <w:szCs w:val="21"/>
              </w:rPr>
              <w:t>34</w:t>
            </w:r>
          </w:p>
        </w:tc>
        <w:tc>
          <w:tcPr>
            <w:tcW w:w="6061" w:type="dxa"/>
            <w:noWrap w:val="0"/>
            <w:vAlign w:val="center"/>
          </w:tcPr>
          <w:p>
            <w:pPr>
              <w:rPr>
                <w:rFonts w:hint="eastAsia" w:ascii="宋体" w:hAnsi="宋体"/>
                <w:color w:val="000000"/>
                <w:szCs w:val="21"/>
              </w:rPr>
            </w:pPr>
            <w:r>
              <w:rPr>
                <w:rFonts w:hint="eastAsia" w:ascii="宋体" w:hAnsi="宋体"/>
                <w:color w:val="000000"/>
                <w:szCs w:val="21"/>
              </w:rPr>
              <w:t>按项目实施年度计划分期分批组织实施，确保完成预期目标。</w:t>
            </w:r>
          </w:p>
        </w:tc>
        <w:tc>
          <w:tcPr>
            <w:tcW w:w="1736" w:type="dxa"/>
            <w:noWrap w:val="0"/>
            <w:vAlign w:val="center"/>
          </w:tcPr>
          <w:p>
            <w:pPr>
              <w:jc w:val="center"/>
              <w:rPr>
                <w:rFonts w:hint="eastAsia" w:ascii="宋体" w:hAnsi="宋体"/>
                <w:color w:val="000000"/>
                <w:szCs w:val="21"/>
              </w:rPr>
            </w:pPr>
            <w:r>
              <w:rPr>
                <w:rFonts w:hint="eastAsia" w:ascii="宋体" w:hAnsi="宋体"/>
                <w:color w:val="000000"/>
                <w:szCs w:val="21"/>
              </w:rPr>
              <w:t>各项目主体单位</w:t>
            </w:r>
          </w:p>
        </w:tc>
        <w:tc>
          <w:tcPr>
            <w:tcW w:w="1679" w:type="dxa"/>
            <w:noWrap w:val="0"/>
            <w:vAlign w:val="center"/>
          </w:tcPr>
          <w:p>
            <w:pPr>
              <w:jc w:val="center"/>
              <w:rPr>
                <w:rFonts w:hint="eastAsia" w:ascii="宋体" w:hAnsi="宋体"/>
                <w:color w:val="000000"/>
                <w:szCs w:val="21"/>
              </w:rPr>
            </w:pPr>
            <w:r>
              <w:rPr>
                <w:rFonts w:hint="eastAsia" w:ascii="宋体" w:hAnsi="宋体"/>
                <w:color w:val="000000"/>
                <w:szCs w:val="21"/>
              </w:rPr>
              <w:t>市发改委</w:t>
            </w:r>
          </w:p>
          <w:p>
            <w:pPr>
              <w:jc w:val="center"/>
              <w:rPr>
                <w:rFonts w:hint="eastAsia" w:ascii="宋体" w:hAnsi="宋体"/>
                <w:color w:val="000000"/>
                <w:szCs w:val="21"/>
              </w:rPr>
            </w:pPr>
            <w:r>
              <w:rPr>
                <w:rFonts w:hint="eastAsia" w:ascii="宋体" w:hAnsi="宋体"/>
                <w:color w:val="000000"/>
                <w:szCs w:val="21"/>
              </w:rPr>
              <w:t>市财政局</w:t>
            </w:r>
          </w:p>
          <w:p>
            <w:pPr>
              <w:jc w:val="center"/>
              <w:rPr>
                <w:rFonts w:hint="eastAsia" w:ascii="宋体" w:hAnsi="宋体"/>
                <w:color w:val="000000"/>
                <w:szCs w:val="21"/>
              </w:rPr>
            </w:pPr>
            <w:r>
              <w:rPr>
                <w:rFonts w:hint="eastAsia" w:ascii="宋体" w:hAnsi="宋体"/>
                <w:color w:val="000000"/>
                <w:szCs w:val="21"/>
              </w:rPr>
              <w:t>市行政审批局市住建局</w:t>
            </w:r>
          </w:p>
          <w:p>
            <w:pPr>
              <w:jc w:val="center"/>
              <w:rPr>
                <w:rFonts w:hint="eastAsia" w:ascii="宋体" w:hAnsi="宋体"/>
                <w:color w:val="000000"/>
                <w:szCs w:val="21"/>
              </w:rPr>
            </w:pPr>
            <w:r>
              <w:rPr>
                <w:rFonts w:hint="eastAsia" w:ascii="宋体" w:hAnsi="宋体"/>
                <w:color w:val="000000"/>
                <w:szCs w:val="21"/>
              </w:rPr>
              <w:t>市自然资源局市生态环境局等</w:t>
            </w:r>
          </w:p>
        </w:tc>
        <w:tc>
          <w:tcPr>
            <w:tcW w:w="1834" w:type="dxa"/>
            <w:noWrap w:val="0"/>
            <w:vAlign w:val="center"/>
          </w:tcPr>
          <w:p>
            <w:pPr>
              <w:jc w:val="center"/>
              <w:rPr>
                <w:rFonts w:hint="eastAsia" w:ascii="宋体" w:hAnsi="宋体"/>
                <w:color w:val="000000"/>
                <w:szCs w:val="21"/>
              </w:rPr>
            </w:pPr>
            <w:r>
              <w:rPr>
                <w:rFonts w:hint="eastAsia" w:ascii="宋体" w:hAnsi="宋体"/>
                <w:color w:val="000000"/>
                <w:szCs w:val="21"/>
              </w:rPr>
              <w:t>2025年12月底前</w:t>
            </w:r>
          </w:p>
        </w:tc>
      </w:tr>
    </w:tbl>
    <w:p>
      <w:pPr>
        <w:pStyle w:val="4"/>
        <w:ind w:firstLine="640"/>
        <w:rPr>
          <w:rFonts w:ascii="Times New Roman" w:hAnsi="Times New Roman" w:eastAsia="方正仿宋_GBK"/>
          <w:color w:val="000000"/>
          <w:kern w:val="0"/>
          <w:sz w:val="32"/>
          <w:szCs w:val="32"/>
          <w:lang w:bidi="ar"/>
        </w:rPr>
        <w:sectPr>
          <w:footerReference r:id="rId3" w:type="default"/>
          <w:pgSz w:w="16838" w:h="11906" w:orient="landscape"/>
          <w:pgMar w:top="1440" w:right="1797" w:bottom="1440" w:left="1797" w:header="851" w:footer="992" w:gutter="0"/>
          <w:pgNumType w:start="16"/>
          <w:cols w:space="720" w:num="1"/>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20</w:t>
    </w:r>
    <w:r>
      <w:rPr>
        <w:rFonts w:ascii="Times New Roman" w:hAnsi="Times New Roman"/>
        <w:sz w:val="21"/>
        <w:szCs w:val="2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ZWY5Y2RlZWM1NmNkMTUwZGUxNTRkMWIxMWMxMzcifQ=="/>
  </w:docVars>
  <w:rsids>
    <w:rsidRoot w:val="396A1964"/>
    <w:rsid w:val="396A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ind w:firstLine="560" w:firstLineChars="200"/>
      <w:jc w:val="left"/>
      <w:outlineLvl w:val="0"/>
    </w:pPr>
    <w:rPr>
      <w:rFonts w:ascii="Times New Roman" w:hAnsi="Times New Roman" w:eastAsia="黑体"/>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2022-08-17T02:39:00Z</dcterms:created>
  <dc:creator>来其雅的小贝贝</dc:creator>
  <cp:lastModifiedBy>来其雅的小贝贝</cp:lastModifiedBy>
  <dcterms:modified xsi:type="dcterms:W3CDTF">2022-08-17T02:40:00Z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D94D32890493476EA9F2FE989DBF9C5B</vt:lpwstr>
  </property>
</Properties>
</file>