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580" w:lineRule="exact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附件2</w:t>
      </w:r>
    </w:p>
    <w:p>
      <w:pPr>
        <w:pStyle w:val="4"/>
        <w:spacing w:beforeAutospacing="0" w:afterAutospacing="0" w:line="580" w:lineRule="exact"/>
        <w:jc w:val="center"/>
        <w:rPr>
          <w:rFonts w:ascii="Times New Roman" w:hAnsi="Times New Roman" w:eastAsia="方正小标宋简体"/>
          <w:b/>
          <w:kern w:val="2"/>
          <w:sz w:val="44"/>
          <w:szCs w:val="44"/>
        </w:rPr>
      </w:pPr>
      <w:r>
        <w:rPr>
          <w:rFonts w:ascii="Times New Roman" w:hAnsi="Times New Roman" w:eastAsia="方正小标宋简体"/>
          <w:b/>
          <w:kern w:val="2"/>
          <w:sz w:val="44"/>
          <w:szCs w:val="44"/>
        </w:rPr>
        <w:t>巴中市“十四五”期间城镇老旧小区改造计划表</w:t>
      </w:r>
    </w:p>
    <w:p>
      <w:pPr>
        <w:pStyle w:val="4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</w:p>
    <w:tbl>
      <w:tblPr>
        <w:tblStyle w:val="5"/>
        <w:tblW w:w="14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430"/>
        <w:gridCol w:w="2430"/>
        <w:gridCol w:w="2430"/>
        <w:gridCol w:w="2430"/>
        <w:gridCol w:w="2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计划年度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涉及小区数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涉及居民户数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涉及楼栋数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（栋）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涉及住宅建筑面积     （万平方米）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</w:rPr>
              <w:t>预计投资额       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>摸底需改造       总量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868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163104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6733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1656.2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818356.3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>2021年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50459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2361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510.24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241088.7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>2022年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44716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1465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461.16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215093.65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>2023年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36685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1919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370.44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194023.55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>2024年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16783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167.23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85431.8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>2025年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14461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147.13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82718.6</w:t>
            </w:r>
          </w:p>
        </w:tc>
      </w:tr>
    </w:tbl>
    <w:p>
      <w:pPr>
        <w:spacing w:line="580" w:lineRule="exact"/>
        <w:rPr>
          <w:rFonts w:ascii="Times New Roman" w:hAnsi="Times New Roma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66AA"/>
    <w:rsid w:val="688A198A"/>
    <w:rsid w:val="71C4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2021-02-22T03:27:00Z</dcterms:created>
  <dc:creator>微生</dc:creator>
  <cp:lastModifiedBy>微生</cp:lastModifiedBy>
  <dcterms:modified xsi:type="dcterms:W3CDTF">2021-02-22T03:28:30Z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234493780_btnclosed</vt:lpwstr>
  </property>
</Properties>
</file>