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0" w:firstLineChars="0"/>
        <w:jc w:val="both"/>
        <w:textAlignment w:val="auto"/>
        <w:rPr>
          <w:rFonts w:hint="default" w:ascii="Times New Roman" w:hAnsi="Times New Roman" w:eastAsia="国标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国标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bookmarkStart w:id="0" w:name="_Toc3251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浙江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新能源上网电价市场化改革实施方案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为全面贯彻落实《国家发展改革委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国家能源局关于深化新能源上网电价市场化改革 促进新能源高质量发展的通知》（发改价格〔2025〕136号）有关要求，推动新能源上网电量全面进入电力市场，建立可持续发展价格结算机制，保持存量项目政策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有序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衔接，稳定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增量项目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收益预期，促进我省能源结构转型和新能源产业高质量发展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eastAsia="zh-CN"/>
        </w:rPr>
        <w:t>推动</w:t>
      </w: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</w:rPr>
        <w:t>新能源</w:t>
      </w: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eastAsia="zh-CN"/>
        </w:rPr>
        <w:t>全面进入电力市场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3" w:firstLineChars="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新能源全面参与现货市场。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>新能源项目（风电、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光伏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>发电，下同）上网电量全部进入电力市场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。其中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>统调新能源项目按照相关市场规则，以“报量报价”方式参与现货市场，加快实现自愿参与日前市场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>其他新能源项目作为价格接受者参与现货市场，按照现货实时市场同类项目（分风电、光伏两类）月度平均价格结算，适时探索结算价格按照所在节点实时市场价格确定；具备条件的可以“报量报价”方式参与现货市场。参与绿电交易的新能源项目，现货市场结算价格按照相关市场规则执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3" w:firstLineChars="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新能源有序参与中长期市场。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新能源项目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通过绿电交易形式参与中长期交易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新能源参与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绿电交易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申报和成交价格分别明确电能量价格和相应绿色电力证书价格。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适时推广多年期绿电交易机制，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>鼓励分布式新能源通过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聚合商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  <w:t>参与绿电交易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bidi="ar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健全电力辅助服务市场。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highlight w:val="none"/>
          <w:lang w:bidi="ar"/>
        </w:rPr>
        <w:t>持续丰富辅助服务市场交易品种，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bidi="ar"/>
        </w:rPr>
        <w:t>适时建立备用辅助服务市场，允许具有调节能力的新能源参与辅助服务市场。现货市场正式运行期间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 w:bidi="ar"/>
        </w:rPr>
        <w:t>，新能源项目不再承担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bidi="ar"/>
        </w:rPr>
        <w:t>调频、备用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bidi="ar"/>
        </w:rPr>
        <w:t>辅助服务市场费用。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0"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44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eastAsia="zh-CN"/>
        </w:rPr>
        <w:t>建立新能源可持续发展价格结算机制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新能源存量项目机制电价标准。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</w:rPr>
        <w:t>机制电价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，与现行价格政策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有序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衔接，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为0.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4153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元/千瓦时；通过竞争性配置形成上网电价的，按照现行价格执行。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</w:rPr>
        <w:t>机制电量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机制电量比例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乘实际上网电量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确定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项目每年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自主确定次年机制电量比例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一次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，但不得高于上一年；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新能源存量项目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首次确定机制电量比例时，统调新能源项目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已开展竞争性配置的新能源项目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不得高于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其他新能源项目不得高于100%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；参与过绿电交易的新能源项目，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机制电量比例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上限根据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绿电交易结算电量占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总上网电量比例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计算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，并设置比例上限最小值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鼓励新能源项目通过设备更新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改造升级等方式提升竞争力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参与市场竞争。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</w:rPr>
        <w:t>执行期限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国家可再生能源补贴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以下简称“新能源补贴”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）的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新能源项目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参照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新能源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补贴期限执行；无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新能源补贴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的，</w:t>
      </w:r>
      <w:r>
        <w:rPr>
          <w:rFonts w:ascii="Times New Roman" w:hAnsi="Times New Roman" w:cs="Times New Roman"/>
          <w:szCs w:val="32"/>
          <w:highlight w:val="none"/>
        </w:rPr>
        <w:t>执行期限按照全容量投产之日起满20年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与</w:t>
      </w:r>
      <w:r>
        <w:rPr>
          <w:rFonts w:ascii="Times New Roman" w:hAnsi="Times New Roman" w:cs="Times New Roman"/>
          <w:szCs w:val="32"/>
          <w:highlight w:val="none"/>
        </w:rPr>
        <w:t>发电量达到全生命周期合理利用小时数对应电量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折算期限</w:t>
      </w:r>
      <w:r>
        <w:rPr>
          <w:rFonts w:ascii="Times New Roman" w:hAnsi="Times New Roman" w:cs="Times New Roman"/>
          <w:szCs w:val="32"/>
          <w:highlight w:val="none"/>
        </w:rPr>
        <w:t>较早者</w:t>
      </w:r>
      <w:r>
        <w:rPr>
          <w:rFonts w:hint="eastAsia" w:ascii="Times New Roman" w:hAnsi="Times New Roman" w:cs="Times New Roman"/>
          <w:szCs w:val="32"/>
          <w:highlight w:val="none"/>
        </w:rPr>
        <w:t>确定</w:t>
      </w:r>
      <w:r>
        <w:rPr>
          <w:rFonts w:hint="eastAsia" w:ascii="Times New Roman" w:hAnsi="Times New Roman" w:cs="Times New Roman"/>
          <w:szCs w:val="32"/>
          <w:highlight w:val="none"/>
          <w:lang w:eastAsia="zh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 w:bidi="ar"/>
        </w:rPr>
        <w:t>执行期限届满后，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 w:bidi="ar"/>
        </w:rPr>
        <w:t>次月不再执行机制电价。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新能源增量项目机制电价竞价</w:t>
      </w:r>
      <w:r>
        <w:rPr>
          <w:rFonts w:hint="eastAsia" w:ascii="Times New Roman" w:hAnsi="Times New Roman" w:eastAsia="楷体_GB2312" w:cs="Times New Roman"/>
          <w:color w:val="auto"/>
          <w:szCs w:val="22"/>
          <w:highlight w:val="none"/>
          <w:lang w:eastAsia="zh-CN"/>
        </w:rPr>
        <w:t>原则</w:t>
      </w: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1.机制电价、机制电量，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通过全省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集中性竞价确定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，实行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分类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组织竞价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分类组织竞价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，同一年度竞价采用相同的竞价上限、下限。深远海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国管海域）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风电主体较为集中的，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不单独组织竞价，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由“根据项目成本调查结果，与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其他类型竞价结果联动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等市场化方式形成机制电价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除统调新能源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外，其他新能源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项目应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在全容量投产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参与竞价。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2.每年新增机制电量总规模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，参考上年可再生能源消纳责任权重完成情况制定；组织首次竞价时，总规模与当前新能源非市场化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电量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比例衔接，并按照实际执行政策的月份进行折算。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</w:rPr>
        <w:t>执行期限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，按照同类项目回收初始投资的平均期限确定；起始时间按项目申报的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全容量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投产时间确定，入选时已投产的项目按入选时间确定。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中标后未按期全容量投产的，按照相关细则条款予以考核。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Cs w:val="22"/>
          <w:highlight w:val="none"/>
        </w:rPr>
        <w:t>新能源机制电价差价电费结算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Cs w:val="22"/>
          <w:highlight w:val="none"/>
          <w:lang w:eastAsia="zh-CN"/>
        </w:rPr>
        <w:t>规则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Cs w:val="22"/>
          <w:highlight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1.计算原则，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月度机制电价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差价电费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=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月度机制电量×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机制电价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月度市场交易均价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月度市场交易均价按照现货实时市场同类项目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（分风电、光伏两类）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月度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加权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均价确定。月度机制电量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=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当月实际上网电量×机制电量比例；其中，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新能源增量项目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当年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的机制电量比例根据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中标的年度机制电量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批准（备案）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装机容量、项目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年发电利用小时数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标杆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折算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年发电利用小时数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标杆由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主管部门定期发布更新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2.电量上限，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新能源存量项目年度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累计结算的机制电量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上限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=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bidi="ar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装机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容量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（实际装机容量、批准或备案装机容量取小值）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×项目年发电利用小时数标杆；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新能源增量项目年度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累计结算的机制电量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上限为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竞价中标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的年度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机制电量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3.偏差管理，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若新能源项目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当年已结算机制电量达到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上限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，则当月超过部分及后续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月份电量均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不再执行机制电价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新能源增量项目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年底仍未达到竞价中标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的年度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机制电量，缺额部分不进行跨年滚动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4.疏导方式，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  <w:t>差价电费由全体工商业用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户按结算电量占比分摊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或分享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，纳入系统运行费用。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新能源可持续发展价格结算机制</w:t>
      </w: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  <w:lang w:val="en-US"/>
        </w:rPr>
        <w:t>退出</w:t>
      </w:r>
      <w:r>
        <w:rPr>
          <w:rFonts w:hint="eastAsia" w:ascii="Times New Roman" w:hAnsi="Times New Roman" w:eastAsia="楷体_GB2312" w:cs="Times New Roman"/>
          <w:color w:val="auto"/>
          <w:szCs w:val="22"/>
          <w:highlight w:val="none"/>
          <w:lang w:val="en-US" w:eastAsia="zh-CN"/>
        </w:rPr>
        <w:t>规则</w:t>
      </w: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已纳入机制的新能源项目，执行期限内可自愿申请退出，也可自愿申请调减次年机制电量。新能源项目执行到期，或者在期限内自愿退出的，均不再纳入机制执行范围；自愿申请调减的，调减后不得增加。新能源项目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退出、调减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后，</w:t>
      </w:r>
      <w:r>
        <w:rPr>
          <w:rFonts w:hint="eastAsia" w:ascii="仿宋_GB2312" w:hAnsi="仿宋_GB2312" w:eastAsia="仿宋_GB2312" w:cs="仿宋_GB2312"/>
          <w:color w:val="auto"/>
          <w:szCs w:val="22"/>
          <w:highlight w:val="none"/>
        </w:rPr>
        <w:t>新能源可持续发展价格结算机制协议相关条款</w:t>
      </w:r>
      <w:r>
        <w:rPr>
          <w:rFonts w:hint="eastAsia" w:ascii="仿宋_GB2312" w:hAnsi="仿宋_GB2312" w:cs="仿宋_GB2312"/>
          <w:color w:val="auto"/>
          <w:szCs w:val="2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Cs w:val="22"/>
          <w:highlight w:val="none"/>
        </w:rPr>
        <w:t>以下简称</w:t>
      </w:r>
      <w:r>
        <w:rPr>
          <w:rFonts w:hint="eastAsia" w:ascii="仿宋_GB2312" w:hAnsi="仿宋_GB2312" w:cs="仿宋_GB2312"/>
          <w:color w:val="auto"/>
          <w:szCs w:val="22"/>
          <w:highlight w:val="none"/>
          <w:lang w:eastAsia="zh-CN"/>
        </w:rPr>
        <w:t>“机制电价结算条款”）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自动调整并生效。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eastAsia="zh-CN"/>
        </w:rPr>
        <w:t>做好改革政策衔接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bidi="ar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做好与电力市场建设衔接。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对纳入机制的电量不再开展其他形式的差价结算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集中式新能源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中长期（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绿电）交易限值=批准（备案）装机容量×项目年发电利用小时数标杆×（1-机制电量比例）。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分布式新能源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/>
        </w:rPr>
        <w:t>中长期（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绿电）交易限值=批准（备案）装机容量×项目年发电利用小时数标杆×（1-机制电量比例）×0.5。计算月度交易限额时，可按照年发电利用小时数标杆/12确定（四舍五入取整）；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  <w:lang w:val="en-US" w:eastAsia="zh-CN" w:bidi="ar"/>
        </w:rPr>
        <w:t>新能源项目当年已结算机制电量达到上限后，后续月可全量参与绿电交易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做好与新能源绿证衔接。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纳入机制的电量不重复获得绿证收益，绿电交易电量的绿证收益，采用“当月绿电合同电量、扣除机制电量的剩余上网电量、电力用户用电量三者取小”的原则结算，机制电量对应绿证统一划转至省级专用绿证账户，处理方式另行明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做好与电网企业代理购电衔接。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电网企业可通过市场化方式采购新能源电量作为代理购电来源，市场化采购电量价格按照市场交易价格确定。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做好与现行新能源政策衔接。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配置储能不作为新建新能源项目核准、并网、上网等的前置条件。已开展竞争性配置的海上风电项目，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作为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存量项目纳入新能源可持续发展价格结算机制，机制电价为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竞争性配置价格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。新能源参与市场后因报价等因素未上网电量，不纳入新能源利用率统计与考核。享有财政补贴的新能源项目，全生命周期合理利用小时数内的补贴标准按照原有规定执行。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44"/>
          <w:sz w:val="32"/>
          <w:szCs w:val="32"/>
          <w:highlight w:val="none"/>
          <w:lang w:eastAsia="zh-CN"/>
        </w:rPr>
        <w:t>协同推进政策落地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加强统筹协调。</w:t>
      </w:r>
      <w:bookmarkStart w:id="1" w:name="OLE_LINK28"/>
      <w:bookmarkStart w:id="2" w:name="OLE_LINK27"/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省发展改革委（能源局）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会同浙江能源监管办、省电力公司</w:t>
      </w:r>
      <w:bookmarkEnd w:id="1"/>
      <w:bookmarkEnd w:id="2"/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、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浙江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电力交易中心、省发展规划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院成立工作组，充分听取有关方面意见，制定具体实施细则，周密组织落实，主动协调解决实施过程中遇到的问题；加强政策宣传解读，及时回应社会关切，凝聚改革共识。省电力公司做好新能源可持续发展价格机制相关的竞价系统搭建、竞价组织实施、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签订、电费结算、信息披露、技术支持系统升级改造等相关工作。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2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细化组织实施。</w:t>
      </w:r>
      <w:r>
        <w:rPr>
          <w:rFonts w:ascii="Times New Roman" w:hAnsi="Times New Roman" w:cs="Times New Roman"/>
          <w:szCs w:val="32"/>
          <w:highlight w:val="none"/>
        </w:rPr>
        <w:t>省发展改革委（能源局）、省电力公司通过</w:t>
      </w:r>
      <w:r>
        <w:rPr>
          <w:rFonts w:hint="eastAsia" w:ascii="Times New Roman" w:hAnsi="Times New Roman" w:cs="Times New Roman"/>
          <w:szCs w:val="32"/>
          <w:highlight w:val="none"/>
        </w:rPr>
        <w:t>短信、客户端、网站公告等渠道告知存量项目</w:t>
      </w:r>
      <w:r>
        <w:rPr>
          <w:rFonts w:ascii="Times New Roman" w:hAnsi="Times New Roman" w:cs="Times New Roman"/>
          <w:szCs w:val="22"/>
          <w:highlight w:val="none"/>
        </w:rPr>
        <w:t>相关政策</w:t>
      </w:r>
      <w:r>
        <w:rPr>
          <w:rFonts w:hint="eastAsia" w:ascii="Times New Roman" w:hAnsi="Times New Roman" w:cs="Times New Roman"/>
          <w:szCs w:val="32"/>
          <w:highlight w:val="none"/>
        </w:rPr>
        <w:t>，新能源</w:t>
      </w:r>
      <w:r>
        <w:rPr>
          <w:rFonts w:ascii="Times New Roman" w:hAnsi="Times New Roman" w:cs="Times New Roman"/>
          <w:szCs w:val="22"/>
          <w:highlight w:val="none"/>
        </w:rPr>
        <w:t>存量项目</w:t>
      </w:r>
      <w:r>
        <w:rPr>
          <w:rFonts w:hint="eastAsia" w:ascii="Times New Roman" w:hAnsi="Times New Roman" w:cs="Times New Roman"/>
          <w:szCs w:val="22"/>
          <w:highlight w:val="none"/>
        </w:rPr>
        <w:t>主体</w:t>
      </w:r>
      <w:r>
        <w:rPr>
          <w:rFonts w:ascii="Times New Roman" w:hAnsi="Times New Roman" w:cs="Times New Roman"/>
          <w:szCs w:val="22"/>
          <w:highlight w:val="none"/>
        </w:rPr>
        <w:t>应在</w:t>
      </w:r>
      <w:r>
        <w:rPr>
          <w:rFonts w:hint="eastAsia" w:ascii="Times New Roman" w:hAnsi="Times New Roman" w:cs="Times New Roman"/>
          <w:szCs w:val="22"/>
          <w:highlight w:val="none"/>
        </w:rPr>
        <w:t>公告</w:t>
      </w:r>
      <w:r>
        <w:rPr>
          <w:rFonts w:ascii="Times New Roman" w:hAnsi="Times New Roman" w:cs="Times New Roman"/>
          <w:szCs w:val="22"/>
          <w:highlight w:val="none"/>
        </w:rPr>
        <w:t>规</w:t>
      </w:r>
      <w:r>
        <w:rPr>
          <w:rFonts w:ascii="仿宋_GB2312" w:hAnsi="仿宋_GB2312" w:cs="仿宋_GB2312"/>
          <w:szCs w:val="22"/>
          <w:highlight w:val="none"/>
        </w:rPr>
        <w:t>定的期限内</w:t>
      </w:r>
      <w:r>
        <w:rPr>
          <w:rFonts w:hint="eastAsia" w:ascii="仿宋_GB2312" w:hAnsi="仿宋_GB2312" w:cs="仿宋_GB2312"/>
          <w:szCs w:val="22"/>
          <w:highlight w:val="none"/>
        </w:rPr>
        <w:t>与电网企业重签购售电合同（含“机制电价结算条款”）；其中统调新能源项目在规定期限内未完成重签的，不纳入机制电价执行范围；其他新能源项目在规定期限内未完成重签的，机制电价结算条款暂按政府公告的统一标准执行，完成购售电合同重签后，对机制电价结算条款另有约定的，从其约定。</w:t>
      </w:r>
      <w:r>
        <w:rPr>
          <w:rFonts w:ascii="Times New Roman" w:hAnsi="Times New Roman" w:cs="Times New Roman"/>
          <w:szCs w:val="32"/>
          <w:highlight w:val="none"/>
        </w:rPr>
        <w:t>省发展改革委（能源局）</w:t>
      </w:r>
      <w:r>
        <w:rPr>
          <w:rFonts w:hint="eastAsia" w:ascii="Times New Roman" w:hAnsi="Times New Roman" w:cs="Times New Roman"/>
          <w:szCs w:val="32"/>
          <w:highlight w:val="none"/>
        </w:rPr>
        <w:t>委托</w:t>
      </w:r>
      <w:r>
        <w:rPr>
          <w:rFonts w:ascii="Times New Roman" w:hAnsi="Times New Roman" w:cs="Times New Roman"/>
          <w:szCs w:val="22"/>
          <w:highlight w:val="none"/>
        </w:rPr>
        <w:t>省电</w:t>
      </w:r>
      <w:r>
        <w:rPr>
          <w:rFonts w:ascii="Times New Roman" w:hAnsi="Times New Roman" w:cs="Times New Roman"/>
          <w:color w:val="000000" w:themeColor="text1"/>
          <w:szCs w:val="22"/>
          <w:highlight w:val="none"/>
          <w14:textFill>
            <w14:solidFill>
              <w14:schemeClr w14:val="tx1"/>
            </w14:solidFill>
          </w14:textFill>
        </w:rPr>
        <w:t>力公司在每年中长期（年度）交易之前</w:t>
      </w:r>
      <w:r>
        <w:rPr>
          <w:rFonts w:hint="eastAsia" w:ascii="Times New Roman" w:hAnsi="Times New Roman" w:cs="Times New Roman"/>
          <w:color w:val="000000" w:themeColor="text1"/>
          <w:szCs w:val="2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Cs w:val="22"/>
          <w:highlight w:val="none"/>
          <w14:textFill>
            <w14:solidFill>
              <w14:schemeClr w14:val="tx1"/>
            </w14:solidFill>
          </w14:textFill>
        </w:rPr>
        <w:t>组织开展次年新能源增量项目机制电价竞价。</w:t>
      </w:r>
      <w:r>
        <w:rPr>
          <w:rFonts w:hint="eastAsia" w:ascii="仿宋_GB2312" w:hAnsi="仿宋_GB2312" w:cs="仿宋_GB2312"/>
          <w:color w:val="000000" w:themeColor="text1"/>
          <w:szCs w:val="22"/>
          <w:highlight w:val="none"/>
          <w14:textFill>
            <w14:solidFill>
              <w14:schemeClr w14:val="tx1"/>
            </w14:solidFill>
          </w14:textFill>
        </w:rPr>
        <w:t>新能源增量项目在办理并网投产流程时应完成购售电合同（含“机制电价结算条款”）签订，机制电价结算条款</w:t>
      </w:r>
      <w:r>
        <w:rPr>
          <w:rFonts w:hint="eastAsia" w:ascii="仿宋_GB2312" w:hAnsi="仿宋_GB2312" w:cs="仿宋_GB2312"/>
          <w:szCs w:val="22"/>
          <w:highlight w:val="none"/>
        </w:rPr>
        <w:t>按照政府公布的竞价结果确定</w:t>
      </w:r>
      <w:r>
        <w:rPr>
          <w:rFonts w:hint="eastAsia" w:ascii="仿宋_GB2312" w:hAnsi="仿宋_GB2312" w:eastAsia="仿宋_GB2312" w:cs="仿宋_GB2312"/>
          <w:color w:val="auto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9" w:lineRule="exact"/>
        <w:ind w:left="-3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22"/>
          <w:highlight w:val="none"/>
        </w:rPr>
        <w:t>做好跟踪评估。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t>省发展改革委（能源局）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定期跟踪监测新能源交易价格波动、新能源发电成本和收益变化、终端用户电价水平等，当交易价格出现异常波动时，及时开展复盘分析，并根据情况进行适应性调整，确保新能源上网电价市场化改革政策平稳有序推进。定期评估改革对行业发展和企业经营等方面的影响，优化政策实施，持续增强市场价格信号对新能源发展的引导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本方案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未明确事项按照《国家发展改革委 国家能源局关于深化新能源上网电价市场化改革 促进新能源高质量发展的通知》（发改价格〔2025〕136号）和其他相关政策执行。我省新能源电价、补贴等有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t>关政策规定与本方案不一致的，以本方案为准。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spacing w:line="240" w:lineRule="auto"/>
                            <w:ind w:left="0" w:leftChars="0" w:firstLine="0" w:firstLineChars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w+tVf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line="240" w:lineRule="auto"/>
                      <w:ind w:left="0" w:leftChars="0" w:firstLine="0" w:firstLineChars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2A809"/>
    <w:multiLevelType w:val="singleLevel"/>
    <w:tmpl w:val="DC22A809"/>
    <w:lvl w:ilvl="0" w:tentative="0">
      <w:start w:val="1"/>
      <w:numFmt w:val="chineseCounting"/>
      <w:suff w:val="nothing"/>
      <w:lvlText w:val="（%1）"/>
      <w:lvlJc w:val="left"/>
      <w:pPr>
        <w:ind w:left="-3"/>
      </w:pPr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1">
    <w:nsid w:val="3FE0D5A5"/>
    <w:multiLevelType w:val="multilevel"/>
    <w:tmpl w:val="3FE0D5A5"/>
    <w:lvl w:ilvl="0" w:tentative="0">
      <w:start w:val="1"/>
      <w:numFmt w:val="chineseCounting"/>
      <w:suff w:val="nothing"/>
      <w:lvlText w:val="%1、"/>
      <w:lvlJc w:val="left"/>
      <w:pPr>
        <w:ind w:left="-24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-24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-24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-24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-24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-24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-24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-24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-24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D136B"/>
    <w:rsid w:val="01436A80"/>
    <w:rsid w:val="219A794B"/>
    <w:rsid w:val="36BA4A41"/>
    <w:rsid w:val="3C7676C6"/>
    <w:rsid w:val="49ED136B"/>
    <w:rsid w:val="52B96578"/>
    <w:rsid w:val="5BEB56A1"/>
    <w:rsid w:val="689E7BCB"/>
    <w:rsid w:val="6CE7EA84"/>
    <w:rsid w:val="737B6A6D"/>
    <w:rsid w:val="77120D3E"/>
    <w:rsid w:val="7C1A2015"/>
    <w:rsid w:val="7CBD797A"/>
    <w:rsid w:val="7E17D9CF"/>
    <w:rsid w:val="B95F0F06"/>
    <w:rsid w:val="ED48E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方正仿宋_GBK" w:hAnsi="方正仿宋_GBK" w:eastAsia="仿宋_GB2312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文本"/>
    <w:qFormat/>
    <w:uiPriority w:val="0"/>
    <w:pPr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bCs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5">
    <w:name w:val="Plain Text"/>
    <w:basedOn w:val="1"/>
    <w:qFormat/>
    <w:uiPriority w:val="0"/>
    <w:pPr>
      <w:spacing w:line="670" w:lineRule="exact"/>
      <w:ind w:left="0" w:leftChars="0" w:firstLine="720" w:firstLineChars="200"/>
    </w:pPr>
    <w:rPr>
      <w:rFonts w:ascii="Times New Roman" w:hAnsi="Times New Roman" w:cs="Courier New"/>
      <w:sz w:val="36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360" w:lineRule="auto"/>
    </w:pPr>
    <w:rPr>
      <w:rFonts w:ascii="Arial Unicode MS" w:hAnsi="Arial Unicode MS" w:eastAsia="Arial Unicode MS" w:cs="Times New Roman"/>
      <w:color w:val="000000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2025-09-23T20:04:00Z</dcterms:created>
  <dc:creator>文印室</dc:creator>
  <cp:lastModifiedBy>文印室</cp:lastModifiedBy>
  <dcterms:modified xsi:type="dcterms:W3CDTF">2025-10-31T08:31:30Z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73F8A33476D018469E460469FAA9CC46_43</vt:lpwstr>
  </property>
</Properties>
</file>