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jc w:val="center"/>
        <w:rPr>
          <w:rFonts w:hint="eastAsia" w:ascii="方正小标宋_GBK" w:hAnsi="宋体" w:eastAsia="方正小标宋_GBK" w:cs="Calibri"/>
          <w:sz w:val="36"/>
          <w:szCs w:val="36"/>
        </w:rPr>
      </w:pPr>
      <w:r>
        <w:rPr>
          <w:rFonts w:hint="eastAsia" w:ascii="方正小标宋_GBK" w:hAnsi="宋体" w:eastAsia="方正小标宋_GBK" w:cs="Calibri"/>
          <w:sz w:val="36"/>
          <w:szCs w:val="36"/>
        </w:rPr>
        <w:t>苏州市市级政府投资建设项目工程变更分类表</w:t>
      </w:r>
    </w:p>
    <w:p>
      <w:pPr>
        <w:widowControl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小标宋_GBK" w:hAnsi="宋体" w:eastAsia="方正小标宋_GBK" w:cs="Calibri"/>
          <w:sz w:val="36"/>
          <w:szCs w:val="36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金额单位：万元</w:t>
      </w:r>
    </w:p>
    <w:tbl>
      <w:tblPr>
        <w:tblStyle w:val="2"/>
        <w:tblW w:w="13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2299"/>
        <w:gridCol w:w="2551"/>
        <w:gridCol w:w="2268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工程合同金额</w:t>
            </w:r>
          </w:p>
        </w:tc>
        <w:tc>
          <w:tcPr>
            <w:tcW w:w="4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一般变更</w:t>
            </w:r>
          </w:p>
        </w:tc>
        <w:tc>
          <w:tcPr>
            <w:tcW w:w="46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重大变更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单项变更金额</w:t>
            </w:r>
          </w:p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（正负净额）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累计变更正负净额占</w:t>
            </w:r>
          </w:p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合同金额比例（%）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单项变更金额</w:t>
            </w:r>
          </w:p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（正负净额）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累计变更正负净额占</w:t>
            </w:r>
          </w:p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合同金额比例（%）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400万以下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10及以上至20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10%及以上至20%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20及以上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20%及以上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400及以上至3000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20及以上至50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10%及以上至20%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50及以上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20%及以上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3000及以上至10000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50及以上至100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8%及以上至15%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100及以上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15%及以上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10000及以上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100及以上至200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5%及以上至10%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200及以上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10%及以上</w:t>
            </w:r>
          </w:p>
        </w:tc>
      </w:tr>
    </w:tbl>
    <w:p>
      <w:pPr>
        <w:widowControl/>
        <w:shd w:val="clear" w:color="auto" w:fill="FFFFFF"/>
        <w:ind w:right="1210" w:rightChars="378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注：1.单项变更金额以绝对值计算判定，累计变更金额以各项变更金额绝对值相加计算。</w:t>
      </w:r>
    </w:p>
    <w:p>
      <w:pPr>
        <w:widowControl/>
        <w:shd w:val="clear" w:color="auto" w:fill="FFFFFF"/>
        <w:ind w:right="1210" w:rightChars="378"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2.单项未达到一般变更金额起点且累计未达到比例的工程变更，无需归集。</w:t>
      </w:r>
    </w:p>
    <w:p>
      <w:pPr>
        <w:widowControl/>
        <w:shd w:val="clear" w:color="auto" w:fill="FFFFFF"/>
        <w:ind w:right="1210" w:rightChars="378"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3.首次累计达到一般变更比例时，应同时将之前发生的工程变更全部归集。</w:t>
      </w:r>
    </w:p>
    <w:p>
      <w:pPr>
        <w:widowControl/>
        <w:shd w:val="clear" w:color="auto" w:fill="FFFFFF"/>
        <w:ind w:right="1210" w:rightChars="378" w:firstLine="960" w:firstLineChars="4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4.属于变更情形第5项及第6项的工程变更，达到单项及累计重大变更金额起点的，按一般变更归集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E5893"/>
    <w:rsid w:val="5117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2025-06-26T06:03:00Z</dcterms:created>
  <dc:creator>admin</dc:creator>
  <cp:lastModifiedBy>admin</cp:lastModifiedBy>
  <dcterms:modified xsi:type="dcterms:W3CDTF">2025-06-26T07:59:25Z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30B5E8C29A794B20BD8D0B051611A707_12</vt:lpwstr>
  </property>
</Properties>
</file>