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FA" w:rsidRDefault="00351FFA" w:rsidP="00351FFA">
      <w:pPr>
        <w:widowControl/>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w:t>
      </w:r>
    </w:p>
    <w:p w:rsidR="00351FFA" w:rsidRDefault="00351FFA" w:rsidP="00351FFA">
      <w:pPr>
        <w:widowControl/>
        <w:spacing w:line="600" w:lineRule="exact"/>
        <w:jc w:val="center"/>
        <w:textAlignment w:val="center"/>
        <w:rPr>
          <w:rFonts w:ascii="方正小标宋简体" w:eastAsia="方正小标宋简体" w:hAnsi="方正小标宋简体" w:cs="方正小标宋简体"/>
          <w:color w:val="000000"/>
          <w:sz w:val="44"/>
          <w:szCs w:val="44"/>
        </w:rPr>
      </w:pPr>
      <w:bookmarkStart w:id="0" w:name="_GoBack"/>
      <w:r>
        <w:rPr>
          <w:rFonts w:ascii="方正小标宋简体" w:eastAsia="方正小标宋简体" w:hAnsi="方正小标宋简体" w:cs="方正小标宋简体" w:hint="eastAsia"/>
          <w:color w:val="000000"/>
          <w:kern w:val="0"/>
          <w:sz w:val="44"/>
          <w:szCs w:val="44"/>
          <w:lang w:bidi="ar"/>
        </w:rPr>
        <w:t>吉林省职业技能等级认定机构星级等级评定标准</w:t>
      </w:r>
    </w:p>
    <w:bookmarkEnd w:id="0"/>
    <w:p w:rsidR="00351FFA" w:rsidRDefault="00351FFA" w:rsidP="00351FFA">
      <w:pPr>
        <w:widowControl/>
        <w:spacing w:line="600" w:lineRule="exact"/>
        <w:jc w:val="left"/>
        <w:textAlignment w:val="center"/>
        <w:rPr>
          <w:rFonts w:ascii="仿宋_GB2312" w:eastAsia="仿宋_GB2312" w:hAnsi="宋体" w:cs="仿宋_GB2312"/>
          <w:color w:val="000000"/>
          <w:kern w:val="0"/>
          <w:sz w:val="32"/>
          <w:szCs w:val="32"/>
          <w:lang w:bidi="ar"/>
        </w:rPr>
      </w:pPr>
    </w:p>
    <w:p w:rsidR="00351FFA" w:rsidRDefault="00351FFA" w:rsidP="00351FFA">
      <w:pPr>
        <w:widowControl/>
        <w:spacing w:line="600" w:lineRule="exact"/>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认定机构：</w:t>
      </w:r>
    </w:p>
    <w:tbl>
      <w:tblPr>
        <w:tblW w:w="14168" w:type="dxa"/>
        <w:tblInd w:w="-568" w:type="dxa"/>
        <w:tblLayout w:type="fixed"/>
        <w:tblLook w:val="04A0" w:firstRow="1" w:lastRow="0" w:firstColumn="1" w:lastColumn="0" w:noHBand="0" w:noVBand="1"/>
      </w:tblPr>
      <w:tblGrid>
        <w:gridCol w:w="1036"/>
        <w:gridCol w:w="937"/>
        <w:gridCol w:w="5022"/>
        <w:gridCol w:w="717"/>
        <w:gridCol w:w="3096"/>
        <w:gridCol w:w="1700"/>
        <w:gridCol w:w="828"/>
        <w:gridCol w:w="832"/>
      </w:tblGrid>
      <w:tr w:rsidR="00351FFA" w:rsidTr="002052F3">
        <w:trPr>
          <w:trHeight w:val="851"/>
        </w:trPr>
        <w:tc>
          <w:tcPr>
            <w:tcW w:w="1416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一、基础项（100分）</w:t>
            </w:r>
          </w:p>
        </w:tc>
      </w:tr>
      <w:tr w:rsidR="00351FFA" w:rsidTr="002052F3">
        <w:trPr>
          <w:trHeight w:val="50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一级</w:t>
            </w:r>
            <w:r>
              <w:rPr>
                <w:rFonts w:ascii="黑体" w:eastAsia="黑体" w:hAnsi="宋体" w:cs="黑体" w:hint="eastAsia"/>
                <w:color w:val="000000"/>
                <w:kern w:val="0"/>
                <w:szCs w:val="21"/>
                <w:lang w:bidi="ar"/>
              </w:rPr>
              <w:br/>
              <w:t>评分</w:t>
            </w:r>
          </w:p>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指标</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二级</w:t>
            </w:r>
            <w:r>
              <w:rPr>
                <w:rFonts w:ascii="黑体" w:eastAsia="黑体" w:hAnsi="宋体" w:cs="黑体" w:hint="eastAsia"/>
                <w:color w:val="000000"/>
                <w:kern w:val="0"/>
                <w:szCs w:val="21"/>
                <w:lang w:bidi="ar"/>
              </w:rPr>
              <w:br/>
              <w:t>评分</w:t>
            </w:r>
          </w:p>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指标</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评估内容</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分值</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评分情形</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评估方式</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自评</w:t>
            </w:r>
          </w:p>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得分</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评估</w:t>
            </w:r>
          </w:p>
          <w:p w:rsidR="00351FFA" w:rsidRDefault="00351FFA" w:rsidP="002052F3">
            <w:pPr>
              <w:widowControl/>
              <w:spacing w:line="320" w:lineRule="exact"/>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得分</w:t>
            </w:r>
          </w:p>
        </w:tc>
      </w:tr>
      <w:tr w:rsidR="00351FFA" w:rsidTr="002052F3">
        <w:trPr>
          <w:trHeight w:val="102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基本建设情况</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评价</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场所</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办公用房和评价场地总面积应达到1000㎡以上，其中租赁场地租赁期不低于5年（4分）；有符合保密要求和题库运行管理规定的保密室（2分）;有良好的办公条件，所有办公场所应符合安全、消防等有关规定（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8</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（1）办公和评价场地面积及租赁期符合要求的得2分，每增加200㎡加1分，最高得4分；（2）其他项目按项得分。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98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考场</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理论考场按30人标准考场配备，技能考场、综合评审考场应当符合评价职业（工种）及等级对应的国家职业标准或行业评价规范要求，通风照明良好，无死角监控，监控可清晰查看每个考（工）</w:t>
            </w:r>
            <w:proofErr w:type="gramStart"/>
            <w:r>
              <w:rPr>
                <w:rFonts w:ascii="仿宋_GB2312" w:eastAsia="仿宋_GB2312" w:hAnsi="宋体" w:cs="仿宋_GB2312" w:hint="eastAsia"/>
                <w:color w:val="000000"/>
                <w:kern w:val="0"/>
                <w:szCs w:val="21"/>
                <w:lang w:bidi="ar"/>
              </w:rPr>
              <w:t>位考试</w:t>
            </w:r>
            <w:proofErr w:type="gramEnd"/>
            <w:r>
              <w:rPr>
                <w:rFonts w:ascii="仿宋_GB2312" w:eastAsia="仿宋_GB2312" w:hAnsi="宋体" w:cs="仿宋_GB2312" w:hint="eastAsia"/>
                <w:color w:val="000000"/>
                <w:kern w:val="0"/>
                <w:szCs w:val="21"/>
                <w:lang w:bidi="ar"/>
              </w:rPr>
              <w:t>情况（5分）。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理论和技能考场不符合要求各扣2分，综合评审考场不符合要求扣1分。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78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设施</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设备</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固定工位、设施设备、辅助材料、工卡量具能满足评价需求以及安全、环保、计量要求（4分）。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设施设备及工卡量具等依据《考场准备通知单》要求，有一项不满足扣0.5分，最多扣4分。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58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队伍建设情况</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专职工作人员</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专职人员5名以上且在申请单位缴纳社保、签订劳动合同（劳动关系协议）（3分）。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不符合要求的发现一处扣1分，最多扣3分。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查阅工作人员名册、社会保险缴费记录、劳动用工合同</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10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考评</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人员</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满足《吉林省职业技能等级认定考评人员管理实施细则》考评人员资格与条件；有培训、考核、聘用记录，签订保密协议；超过标准要求的双倍人数，符合轮换、回避要求，不得交叉使用（4分）。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（1）考评人员不符合要求的少1人扣1分，最多扣2分；（2）其他项目不符合要求的发现一处扣1分，最多扣2分。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68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内督</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人员</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满足《关于进一步加强职业技能等级认定内部质量督导员管理工作的通知》要求，应为本单位在职职工，不得交叉使用（3分）。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6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专家</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队伍</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满足现行的《技能人才评价命题技术规程》题库开发专家团队资质条件（4分）。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不符合要求的有一处扣1分，最多扣4分。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120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制度建设情况</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制度</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建设</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包括但不限于考</w:t>
            </w:r>
            <w:proofErr w:type="gramStart"/>
            <w:r>
              <w:rPr>
                <w:rFonts w:ascii="仿宋_GB2312" w:eastAsia="仿宋_GB2312" w:hAnsi="宋体" w:cs="仿宋_GB2312" w:hint="eastAsia"/>
                <w:color w:val="000000"/>
                <w:kern w:val="0"/>
                <w:szCs w:val="21"/>
                <w:lang w:bidi="ar"/>
              </w:rPr>
              <w:t>务</w:t>
            </w:r>
            <w:proofErr w:type="gramEnd"/>
            <w:r>
              <w:rPr>
                <w:rFonts w:ascii="仿宋_GB2312" w:eastAsia="仿宋_GB2312" w:hAnsi="宋体" w:cs="仿宋_GB2312" w:hint="eastAsia"/>
                <w:color w:val="000000"/>
                <w:kern w:val="0"/>
                <w:szCs w:val="21"/>
                <w:lang w:bidi="ar"/>
              </w:rPr>
              <w:t>管理制度、证书管理制度、信息管理制度、考评人员管理制度、内部质量督导人员管理制度、命题专家管理制度、违规违纪管理制度、场地、设备管理制度、资料存档管理制度、题库管理制度、财务管理制度（3分）；制度内容完整可行（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制度有一项缺失扣0.5分，一项制度内容不完整无</w:t>
            </w:r>
            <w:proofErr w:type="gramStart"/>
            <w:r>
              <w:rPr>
                <w:rFonts w:ascii="仿宋_GB2312" w:eastAsia="仿宋_GB2312" w:hAnsi="宋体" w:cs="仿宋_GB2312" w:hint="eastAsia"/>
                <w:color w:val="000000"/>
                <w:kern w:val="0"/>
                <w:szCs w:val="21"/>
                <w:lang w:bidi="ar"/>
              </w:rPr>
              <w:t>操作性扣1分</w:t>
            </w:r>
            <w:proofErr w:type="gramEnd"/>
            <w:r>
              <w:rPr>
                <w:rFonts w:ascii="仿宋_GB2312" w:eastAsia="仿宋_GB2312" w:hAnsi="宋体" w:cs="仿宋_GB2312" w:hint="eastAsia"/>
                <w:color w:val="000000"/>
                <w:kern w:val="0"/>
                <w:szCs w:val="21"/>
                <w:lang w:bidi="ar"/>
              </w:rPr>
              <w:t>。最多扣6分。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84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题库建设使用情况</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题库</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建设</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满足《国家职业标准》，按照现行的《技能人才评价命题技术规程》建设题库，题库试题编制科学、内容正确、数量充足、质量稳定（3分）；题库资源及时更新（3分）。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不符合要求的有一处扣1分，最多扣6分。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78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试题</w:t>
            </w:r>
          </w:p>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使用</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题库运行管理规范，审题、</w:t>
            </w:r>
            <w:proofErr w:type="gramStart"/>
            <w:r>
              <w:rPr>
                <w:rFonts w:ascii="仿宋_GB2312" w:eastAsia="仿宋_GB2312" w:hAnsi="宋体" w:cs="仿宋_GB2312" w:hint="eastAsia"/>
                <w:color w:val="000000"/>
                <w:kern w:val="0"/>
                <w:szCs w:val="21"/>
                <w:lang w:bidi="ar"/>
              </w:rPr>
              <w:t>制卷流程</w:t>
            </w:r>
            <w:proofErr w:type="gramEnd"/>
            <w:r>
              <w:rPr>
                <w:rFonts w:ascii="仿宋_GB2312" w:eastAsia="仿宋_GB2312" w:hAnsi="宋体" w:cs="仿宋_GB2312" w:hint="eastAsia"/>
                <w:color w:val="000000"/>
                <w:kern w:val="0"/>
                <w:szCs w:val="21"/>
                <w:lang w:bidi="ar"/>
              </w:rPr>
              <w:t>完善，满足质量控制和保密要求（9分）。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9</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随机抽查试题使用台账，试题保管、审核、</w:t>
            </w:r>
            <w:proofErr w:type="gramStart"/>
            <w:r>
              <w:rPr>
                <w:rFonts w:ascii="仿宋_GB2312" w:eastAsia="仿宋_GB2312" w:hAnsi="宋体" w:cs="仿宋_GB2312" w:hint="eastAsia"/>
                <w:color w:val="000000"/>
                <w:kern w:val="0"/>
                <w:szCs w:val="21"/>
                <w:lang w:bidi="ar"/>
              </w:rPr>
              <w:t>制卷流程</w:t>
            </w:r>
            <w:proofErr w:type="gramEnd"/>
            <w:r>
              <w:rPr>
                <w:rFonts w:ascii="仿宋_GB2312" w:eastAsia="仿宋_GB2312" w:hAnsi="宋体" w:cs="仿宋_GB2312" w:hint="eastAsia"/>
                <w:color w:val="000000"/>
                <w:kern w:val="0"/>
                <w:szCs w:val="21"/>
                <w:lang w:bidi="ar"/>
              </w:rPr>
              <w:t>不规范的发现一次扣1分，最多扣9分。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20" w:lineRule="exact"/>
              <w:rPr>
                <w:rFonts w:ascii="仿宋_GB2312" w:eastAsia="仿宋_GB2312" w:hAnsi="宋体" w:cs="仿宋_GB2312"/>
                <w:color w:val="000000"/>
                <w:szCs w:val="21"/>
              </w:rPr>
            </w:pPr>
          </w:p>
        </w:tc>
      </w:tr>
      <w:tr w:rsidR="00351FFA" w:rsidTr="002052F3">
        <w:trPr>
          <w:trHeight w:val="154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评价</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实施</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资格</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审查</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按照相关规定报名审核材料保存规范完整；审核程序规范、签字完整，符合要求；参评人员符合申报条件（5分）。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（1）随机抽查报名材料，资料保存不规范不完整的发现一次扣0.5分；无审核流转程序、经办人员签字的发现一次扣0.5分；资格不符合发现一人扣0.5分。最多扣5分。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计划</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管理</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按相关文件规定发布认定计划，计划内容齐全（2分）。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w:t>
            </w:r>
            <w:proofErr w:type="gramStart"/>
            <w:r>
              <w:rPr>
                <w:rFonts w:ascii="仿宋_GB2312" w:eastAsia="仿宋_GB2312" w:hAnsi="宋体" w:cs="仿宋_GB2312" w:hint="eastAsia"/>
                <w:color w:val="000000"/>
                <w:kern w:val="0"/>
                <w:szCs w:val="21"/>
                <w:lang w:bidi="ar"/>
              </w:rPr>
              <w:t>务</w:t>
            </w:r>
            <w:proofErr w:type="gramEnd"/>
            <w:r>
              <w:rPr>
                <w:rFonts w:ascii="仿宋_GB2312" w:eastAsia="仿宋_GB2312" w:hAnsi="宋体" w:cs="仿宋_GB2312" w:hint="eastAsia"/>
                <w:color w:val="000000"/>
                <w:kern w:val="0"/>
                <w:szCs w:val="21"/>
                <w:lang w:bidi="ar"/>
              </w:rPr>
              <w:t>流程编排</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按相关文件规定编排考</w:t>
            </w:r>
            <w:proofErr w:type="gramStart"/>
            <w:r>
              <w:rPr>
                <w:rFonts w:ascii="仿宋_GB2312" w:eastAsia="仿宋_GB2312" w:hAnsi="宋体" w:cs="仿宋_GB2312" w:hint="eastAsia"/>
                <w:color w:val="000000"/>
                <w:kern w:val="0"/>
                <w:szCs w:val="21"/>
                <w:lang w:bidi="ar"/>
              </w:rPr>
              <w:t>务</w:t>
            </w:r>
            <w:proofErr w:type="gramEnd"/>
            <w:r>
              <w:rPr>
                <w:rFonts w:ascii="仿宋_GB2312" w:eastAsia="仿宋_GB2312" w:hAnsi="宋体" w:cs="仿宋_GB2312" w:hint="eastAsia"/>
                <w:color w:val="000000"/>
                <w:kern w:val="0"/>
                <w:szCs w:val="21"/>
                <w:lang w:bidi="ar"/>
              </w:rPr>
              <w:t>流程（3分）。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76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考场</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准备</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考场配备符合国家职业标准，场地环境、设施设备、工具量具、材料物品等符合本批次认定职业（工种）及等级要求（2分）。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随机抽查考试批次，不符合要求的，按项目发现一次扣1分，最多扣2分。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4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考试时间管理</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考试</w:t>
            </w:r>
            <w:proofErr w:type="gramStart"/>
            <w:r>
              <w:rPr>
                <w:rFonts w:ascii="仿宋_GB2312" w:eastAsia="仿宋_GB2312" w:hAnsi="宋体" w:cs="仿宋_GB2312" w:hint="eastAsia"/>
                <w:color w:val="000000"/>
                <w:kern w:val="0"/>
                <w:szCs w:val="21"/>
                <w:lang w:bidi="ar"/>
              </w:rPr>
              <w:t>时长未达到</w:t>
            </w:r>
            <w:proofErr w:type="gramEnd"/>
            <w:r>
              <w:rPr>
                <w:rFonts w:ascii="仿宋_GB2312" w:eastAsia="仿宋_GB2312" w:hAnsi="宋体" w:cs="仿宋_GB2312" w:hint="eastAsia"/>
                <w:color w:val="000000"/>
                <w:kern w:val="0"/>
                <w:szCs w:val="21"/>
                <w:lang w:bidi="ar"/>
              </w:rPr>
              <w:t>《国家职业标准》规定时长，降低评价标准（3分）。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实地查看（抽查监控视频，查阅记录）</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8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人员</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履职</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w:t>
            </w:r>
            <w:proofErr w:type="gramStart"/>
            <w:r>
              <w:rPr>
                <w:rFonts w:ascii="仿宋_GB2312" w:eastAsia="仿宋_GB2312" w:hAnsi="宋体" w:cs="仿宋_GB2312" w:hint="eastAsia"/>
                <w:color w:val="000000"/>
                <w:kern w:val="0"/>
                <w:szCs w:val="21"/>
                <w:lang w:bidi="ar"/>
              </w:rPr>
              <w:t>务</w:t>
            </w:r>
            <w:proofErr w:type="gramEnd"/>
            <w:r>
              <w:rPr>
                <w:rFonts w:ascii="仿宋_GB2312" w:eastAsia="仿宋_GB2312" w:hAnsi="宋体" w:cs="仿宋_GB2312" w:hint="eastAsia"/>
                <w:color w:val="000000"/>
                <w:kern w:val="0"/>
                <w:szCs w:val="21"/>
                <w:lang w:bidi="ar"/>
              </w:rPr>
              <w:t>工作人员、监考员、考评员、质量督导员在执行岗位职责时存在徇私舞弊，失职渎职等行为（5分）。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不符合要求的有一处扣1分，最多扣5分。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实地查看（抽查监控视频，查阅记录）</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6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考场</w:t>
            </w:r>
          </w:p>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纪律</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考场纪律良好、有序（3分）。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实地查看（抽查监控视频，查阅记录）</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94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成绩评定汇总</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按相关规定要求组织理论知识考试阅卷；操作技能考核每批次均建立3人及以上的考评组，严格落实考评员单独评判，工作人员计算平均分;阅卷、考评记录详细认真，签字手续完善（5分）。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不符合要求的有一处扣1分，最多扣5分。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6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成绩数据上传</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成绩满足不少于5个工作日公示，公示内容符合要求；公示无异议的成绩及时上传；上</w:t>
            </w:r>
            <w:proofErr w:type="gramStart"/>
            <w:r>
              <w:rPr>
                <w:rFonts w:ascii="仿宋_GB2312" w:eastAsia="仿宋_GB2312" w:hAnsi="宋体" w:cs="仿宋_GB2312" w:hint="eastAsia"/>
                <w:color w:val="000000"/>
                <w:kern w:val="0"/>
                <w:szCs w:val="21"/>
                <w:lang w:bidi="ar"/>
              </w:rPr>
              <w:t>传成绩</w:t>
            </w:r>
            <w:proofErr w:type="gramEnd"/>
            <w:r>
              <w:rPr>
                <w:rFonts w:ascii="仿宋_GB2312" w:eastAsia="仿宋_GB2312" w:hAnsi="宋体" w:cs="仿宋_GB2312" w:hint="eastAsia"/>
                <w:color w:val="000000"/>
                <w:kern w:val="0"/>
                <w:szCs w:val="21"/>
                <w:lang w:bidi="ar"/>
              </w:rPr>
              <w:t>与评阅、考评成绩一致（2分）。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不符合要求的有一处扣0.5分，最多扣2分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30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300" w:lineRule="exact"/>
              <w:rPr>
                <w:rFonts w:ascii="仿宋_GB2312" w:eastAsia="仿宋_GB2312" w:hAnsi="宋体" w:cs="仿宋_GB2312"/>
                <w:color w:val="000000"/>
                <w:szCs w:val="21"/>
              </w:rPr>
            </w:pPr>
          </w:p>
        </w:tc>
      </w:tr>
      <w:tr w:rsidR="00351FFA" w:rsidTr="002052F3">
        <w:trPr>
          <w:trHeight w:val="56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评价</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实施</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过程</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记录</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按相关规定要求记录考务工作流程，内容真实，签字手续完善（2分）。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不符合要求的有一处扣0.5分，最多扣2分。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查阅有效凭证和实地检查</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5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证书</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管理</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按相关文件规定执行证书样式、空白证书管理、证书核发、证书数据报送工作（2分）。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不符合要求的有一项扣0.5分，最多扣2分。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54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档案</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管理</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纸制</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档案</w:t>
            </w:r>
          </w:p>
        </w:tc>
        <w:tc>
          <w:tcPr>
            <w:tcW w:w="5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按相关规定要求存档，存档资料规范完整齐全（4分）。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资料缺失一项扣1分，最多扣4分。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5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rPr>
                <w:rFonts w:ascii="仿宋_GB2312" w:eastAsia="仿宋_GB2312" w:hAnsi="宋体" w:cs="仿宋_GB2312"/>
                <w:color w:val="000000"/>
                <w:szCs w:val="2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电子</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档案</w:t>
            </w:r>
          </w:p>
        </w:tc>
        <w:tc>
          <w:tcPr>
            <w:tcW w:w="5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按相关规定要求存档，</w:t>
            </w:r>
            <w:proofErr w:type="gramStart"/>
            <w:r>
              <w:rPr>
                <w:rFonts w:ascii="仿宋_GB2312" w:eastAsia="仿宋_GB2312" w:hAnsi="宋体" w:cs="仿宋_GB2312" w:hint="eastAsia"/>
                <w:color w:val="000000"/>
                <w:kern w:val="0"/>
                <w:szCs w:val="21"/>
                <w:lang w:bidi="ar"/>
              </w:rPr>
              <w:t>评价全</w:t>
            </w:r>
            <w:proofErr w:type="gramEnd"/>
            <w:r>
              <w:rPr>
                <w:rFonts w:ascii="仿宋_GB2312" w:eastAsia="仿宋_GB2312" w:hAnsi="宋体" w:cs="仿宋_GB2312" w:hint="eastAsia"/>
                <w:color w:val="000000"/>
                <w:kern w:val="0"/>
                <w:szCs w:val="21"/>
                <w:lang w:bidi="ar"/>
              </w:rPr>
              <w:t>过程资料完整（4分）。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资料缺失一项扣1分，最多扣4分。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实地查看</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128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社会</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评价</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社会</w:t>
            </w:r>
          </w:p>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监督</w:t>
            </w: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建立网站、</w:t>
            </w:r>
            <w:proofErr w:type="gramStart"/>
            <w:r>
              <w:rPr>
                <w:rFonts w:ascii="仿宋_GB2312" w:eastAsia="仿宋_GB2312" w:hAnsi="宋体" w:cs="仿宋_GB2312" w:hint="eastAsia"/>
                <w:color w:val="000000"/>
                <w:kern w:val="0"/>
                <w:szCs w:val="21"/>
                <w:lang w:bidi="ar"/>
              </w:rPr>
              <w:t>微信公众号、抖音</w:t>
            </w:r>
            <w:proofErr w:type="gramEnd"/>
            <w:r>
              <w:rPr>
                <w:rFonts w:ascii="仿宋_GB2312" w:eastAsia="仿宋_GB2312" w:hAnsi="宋体" w:cs="仿宋_GB2312" w:hint="eastAsia"/>
                <w:color w:val="000000"/>
                <w:kern w:val="0"/>
                <w:szCs w:val="21"/>
                <w:lang w:bidi="ar"/>
              </w:rPr>
              <w:t>账号等载体平台，对评价公告、考试信息、成绩查询等事项通过宣传载体及时发布，提供查询等服务（1分）;对业务主管部门举办的重大活动、机构开展的重要业务进行及时宣传报道（1分）;与主流媒体建立良好合作关系，通过主流媒体发布宣传报道（1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不符合要求的有一项扣</w:t>
            </w:r>
            <w:r>
              <w:rPr>
                <w:rStyle w:val="font01"/>
                <w:rFonts w:hAnsi="宋体" w:hint="default"/>
                <w:sz w:val="21"/>
                <w:szCs w:val="21"/>
                <w:lang w:bidi="ar"/>
              </w:rPr>
              <w:t>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proofErr w:type="gramStart"/>
            <w:r>
              <w:rPr>
                <w:rFonts w:ascii="仿宋_GB2312" w:eastAsia="仿宋_GB2312" w:hAnsi="宋体" w:cs="仿宋_GB2312" w:hint="eastAsia"/>
                <w:color w:val="000000"/>
                <w:kern w:val="0"/>
                <w:szCs w:val="21"/>
                <w:lang w:bidi="ar"/>
              </w:rPr>
              <w:t>查阅台帐资料</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10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rPr>
                <w:rFonts w:ascii="仿宋_GB2312" w:eastAsia="仿宋_GB2312" w:hAnsi="宋体" w:cs="仿宋_GB2312"/>
                <w:color w:val="000000"/>
                <w:szCs w:val="21"/>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center"/>
              <w:rPr>
                <w:rFonts w:ascii="仿宋_GB2312" w:eastAsia="仿宋_GB2312" w:hAnsi="宋体" w:cs="仿宋_GB2312"/>
                <w:color w:val="000000"/>
                <w:szCs w:val="21"/>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建立投诉举报渠道，对外公开举报电话，主动及时处理相关投诉建议（1分）;主动接受并配合业务主管部门开展日常性检查、随机抽查、专项评估等（1分）;随机了解服务对象对其评价，满意度达90%以上（1分）。</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不符合要求的有一项扣</w:t>
            </w:r>
            <w:r>
              <w:rPr>
                <w:rStyle w:val="font01"/>
                <w:rFonts w:hAnsi="宋体" w:hint="default"/>
                <w:sz w:val="21"/>
                <w:szCs w:val="21"/>
                <w:lang w:bidi="ar"/>
              </w:rPr>
              <w:t>1分，最多扣3分。</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jc w:val="left"/>
              <w:textAlignment w:val="center"/>
              <w:rPr>
                <w:rFonts w:ascii="仿宋_GB2312" w:eastAsia="仿宋_GB2312" w:hAnsi="宋体" w:cs="仿宋_GB2312"/>
                <w:color w:val="000000"/>
                <w:szCs w:val="21"/>
              </w:rPr>
            </w:pPr>
            <w:proofErr w:type="gramStart"/>
            <w:r>
              <w:rPr>
                <w:rFonts w:ascii="仿宋_GB2312" w:eastAsia="仿宋_GB2312" w:hAnsi="宋体" w:cs="仿宋_GB2312" w:hint="eastAsia"/>
                <w:color w:val="000000"/>
                <w:kern w:val="0"/>
                <w:szCs w:val="21"/>
                <w:lang w:bidi="ar"/>
              </w:rPr>
              <w:t>查阅台</w:t>
            </w:r>
            <w:proofErr w:type="gramEnd"/>
            <w:r>
              <w:rPr>
                <w:rFonts w:ascii="仿宋_GB2312" w:eastAsia="仿宋_GB2312" w:hAnsi="宋体" w:cs="仿宋_GB2312" w:hint="eastAsia"/>
                <w:color w:val="000000"/>
                <w:kern w:val="0"/>
                <w:szCs w:val="21"/>
                <w:lang w:bidi="ar"/>
              </w:rPr>
              <w:t>账资料、座谈问询和个别访谈</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500"/>
        </w:trPr>
        <w:tc>
          <w:tcPr>
            <w:tcW w:w="1250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总分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rPr>
                <w:rFonts w:ascii="仿宋_GB2312" w:eastAsia="仿宋_GB2312" w:hAnsi="宋体" w:cs="仿宋_GB2312"/>
                <w:color w:val="000000"/>
                <w:szCs w:val="21"/>
              </w:rPr>
            </w:pPr>
          </w:p>
        </w:tc>
      </w:tr>
      <w:tr w:rsidR="00351FFA" w:rsidTr="002052F3">
        <w:trPr>
          <w:trHeight w:val="420"/>
        </w:trPr>
        <w:tc>
          <w:tcPr>
            <w:tcW w:w="1416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jc w:val="left"/>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二、否定项</w:t>
            </w:r>
          </w:p>
        </w:tc>
      </w:tr>
      <w:tr w:rsidR="00351FFA" w:rsidTr="002052F3">
        <w:trPr>
          <w:trHeight w:val="1060"/>
        </w:trPr>
        <w:tc>
          <w:tcPr>
            <w:tcW w:w="141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51FFA" w:rsidRDefault="00351FFA" w:rsidP="002052F3">
            <w:pPr>
              <w:widowControl/>
              <w:spacing w:line="280" w:lineRule="exact"/>
              <w:ind w:firstLineChars="200" w:firstLine="420"/>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超出备案范围开展评价工作；伪造报名资格或纵容参评人员违规报名、伪造试卷；试卷（题）考前泄密；组织舞弊、篡改成绩、不考试就发证；滥发倒卖证书；违法</w:t>
            </w:r>
            <w:proofErr w:type="gramStart"/>
            <w:r>
              <w:rPr>
                <w:rFonts w:ascii="仿宋_GB2312" w:eastAsia="仿宋_GB2312" w:hAnsi="宋体" w:cs="仿宋_GB2312" w:hint="eastAsia"/>
                <w:color w:val="000000"/>
                <w:kern w:val="0"/>
                <w:szCs w:val="21"/>
                <w:lang w:bidi="ar"/>
              </w:rPr>
              <w:t>违规使用违规使用</w:t>
            </w:r>
            <w:proofErr w:type="gramEnd"/>
            <w:r>
              <w:rPr>
                <w:rFonts w:ascii="仿宋_GB2312" w:eastAsia="仿宋_GB2312" w:hAnsi="宋体" w:cs="仿宋_GB2312" w:hint="eastAsia"/>
                <w:color w:val="000000"/>
                <w:kern w:val="0"/>
                <w:szCs w:val="21"/>
                <w:lang w:bidi="ar"/>
              </w:rPr>
              <w:t>“中华人民共和国”“中国”“中华”“国家”“全国”“职业资格”或“人员资格”等字样和国徽标志；假借行政机关名义虚假宣传，欺骗诈骗；非法制售职业资格证书和职业技能等级证书等行为不予评定星级等级。</w:t>
            </w:r>
          </w:p>
        </w:tc>
      </w:tr>
      <w:tr w:rsidR="00351FFA" w:rsidTr="002052F3">
        <w:trPr>
          <w:trHeight w:val="765"/>
        </w:trPr>
        <w:tc>
          <w:tcPr>
            <w:tcW w:w="1416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FFA" w:rsidRDefault="00351FFA" w:rsidP="002052F3">
            <w:pPr>
              <w:widowControl/>
              <w:spacing w:line="280" w:lineRule="exact"/>
              <w:ind w:firstLineChars="200" w:firstLine="420"/>
              <w:jc w:val="left"/>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得分和星级对应规则：三星级（★★★）得分≥80分、二星级（★★）得分≥70分、</w:t>
            </w:r>
            <w:proofErr w:type="gramStart"/>
            <w:r>
              <w:rPr>
                <w:rFonts w:ascii="仿宋_GB2312" w:eastAsia="仿宋_GB2312" w:hAnsi="宋体" w:cs="仿宋_GB2312" w:hint="eastAsia"/>
                <w:color w:val="000000"/>
                <w:kern w:val="0"/>
                <w:szCs w:val="21"/>
                <w:lang w:bidi="ar"/>
              </w:rPr>
              <w:t>一</w:t>
            </w:r>
            <w:proofErr w:type="gramEnd"/>
            <w:r>
              <w:rPr>
                <w:rFonts w:ascii="仿宋_GB2312" w:eastAsia="仿宋_GB2312" w:hAnsi="宋体" w:cs="仿宋_GB2312" w:hint="eastAsia"/>
                <w:color w:val="000000"/>
                <w:kern w:val="0"/>
                <w:szCs w:val="21"/>
                <w:lang w:bidi="ar"/>
              </w:rPr>
              <w:t>星级（★）得分≥60分。评定等级不能出现否定项情形。基础分不得低于60分。</w:t>
            </w:r>
          </w:p>
        </w:tc>
      </w:tr>
    </w:tbl>
    <w:p w:rsidR="00351FFA" w:rsidRDefault="00351FFA" w:rsidP="00351FFA">
      <w:pPr>
        <w:pStyle w:val="a5"/>
        <w:adjustRightInd w:val="0"/>
        <w:snapToGrid w:val="0"/>
        <w:spacing w:line="600" w:lineRule="exact"/>
        <w:ind w:firstLine="639"/>
        <w:rPr>
          <w:rFonts w:ascii="Times New Roman" w:eastAsia="仿宋_GB2312" w:hAnsi="Times New Roman" w:cs="Times New Roman"/>
          <w:lang w:eastAsia="zh-CN"/>
        </w:rPr>
      </w:pPr>
    </w:p>
    <w:p w:rsidR="000A36F2" w:rsidRDefault="00351FFA"/>
    <w:sectPr w:rsidR="000A36F2">
      <w:pgSz w:w="16838" w:h="11906" w:orient="landscape"/>
      <w:pgMar w:top="1587" w:right="2098" w:bottom="1474" w:left="1984"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FA" w:rsidRDefault="00351FFA" w:rsidP="00351FFA">
      <w:r>
        <w:separator/>
      </w:r>
    </w:p>
  </w:endnote>
  <w:endnote w:type="continuationSeparator" w:id="0">
    <w:p w:rsidR="00351FFA" w:rsidRDefault="00351FFA" w:rsidP="0035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FA" w:rsidRDefault="00351FFA" w:rsidP="00351FFA">
      <w:r>
        <w:separator/>
      </w:r>
    </w:p>
  </w:footnote>
  <w:footnote w:type="continuationSeparator" w:id="0">
    <w:p w:rsidR="00351FFA" w:rsidRDefault="00351FFA" w:rsidP="0035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6C"/>
    <w:rsid w:val="000916C5"/>
    <w:rsid w:val="00266C70"/>
    <w:rsid w:val="00351FFA"/>
    <w:rsid w:val="003A1901"/>
    <w:rsid w:val="0096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FFA"/>
    <w:rPr>
      <w:sz w:val="18"/>
      <w:szCs w:val="18"/>
    </w:rPr>
  </w:style>
  <w:style w:type="paragraph" w:styleId="a4">
    <w:name w:val="footer"/>
    <w:basedOn w:val="a"/>
    <w:link w:val="Char0"/>
    <w:uiPriority w:val="99"/>
    <w:unhideWhenUsed/>
    <w:rsid w:val="00351FFA"/>
    <w:pPr>
      <w:tabs>
        <w:tab w:val="center" w:pos="4153"/>
        <w:tab w:val="right" w:pos="8306"/>
      </w:tabs>
      <w:snapToGrid w:val="0"/>
      <w:jc w:val="left"/>
    </w:pPr>
    <w:rPr>
      <w:sz w:val="18"/>
      <w:szCs w:val="18"/>
    </w:rPr>
  </w:style>
  <w:style w:type="character" w:customStyle="1" w:styleId="Char0">
    <w:name w:val="页脚 Char"/>
    <w:basedOn w:val="a0"/>
    <w:link w:val="a4"/>
    <w:uiPriority w:val="99"/>
    <w:rsid w:val="00351FFA"/>
    <w:rPr>
      <w:sz w:val="18"/>
      <w:szCs w:val="18"/>
    </w:rPr>
  </w:style>
  <w:style w:type="paragraph" w:styleId="a5">
    <w:name w:val="Body Text"/>
    <w:basedOn w:val="a"/>
    <w:link w:val="Char1"/>
    <w:semiHidden/>
    <w:qFormat/>
    <w:rsid w:val="00351FFA"/>
    <w:rPr>
      <w:rFonts w:ascii="仿宋" w:eastAsia="仿宋" w:hAnsi="仿宋" w:cs="仿宋"/>
      <w:sz w:val="32"/>
      <w:szCs w:val="32"/>
      <w:lang w:eastAsia="en-US"/>
    </w:rPr>
  </w:style>
  <w:style w:type="character" w:customStyle="1" w:styleId="Char1">
    <w:name w:val="正文文本 Char"/>
    <w:basedOn w:val="a0"/>
    <w:link w:val="a5"/>
    <w:semiHidden/>
    <w:rsid w:val="00351FFA"/>
    <w:rPr>
      <w:rFonts w:ascii="仿宋" w:eastAsia="仿宋" w:hAnsi="仿宋" w:cs="仿宋"/>
      <w:sz w:val="32"/>
      <w:szCs w:val="32"/>
      <w:lang w:eastAsia="en-US"/>
    </w:rPr>
  </w:style>
  <w:style w:type="character" w:customStyle="1" w:styleId="font01">
    <w:name w:val="font01"/>
    <w:basedOn w:val="a0"/>
    <w:qFormat/>
    <w:rsid w:val="00351FFA"/>
    <w:rPr>
      <w:rFonts w:ascii="仿宋_GB2312" w:eastAsia="仿宋_GB2312" w:cs="仿宋_GB2312"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FFA"/>
    <w:rPr>
      <w:sz w:val="18"/>
      <w:szCs w:val="18"/>
    </w:rPr>
  </w:style>
  <w:style w:type="paragraph" w:styleId="a4">
    <w:name w:val="footer"/>
    <w:basedOn w:val="a"/>
    <w:link w:val="Char0"/>
    <w:uiPriority w:val="99"/>
    <w:unhideWhenUsed/>
    <w:rsid w:val="00351FFA"/>
    <w:pPr>
      <w:tabs>
        <w:tab w:val="center" w:pos="4153"/>
        <w:tab w:val="right" w:pos="8306"/>
      </w:tabs>
      <w:snapToGrid w:val="0"/>
      <w:jc w:val="left"/>
    </w:pPr>
    <w:rPr>
      <w:sz w:val="18"/>
      <w:szCs w:val="18"/>
    </w:rPr>
  </w:style>
  <w:style w:type="character" w:customStyle="1" w:styleId="Char0">
    <w:name w:val="页脚 Char"/>
    <w:basedOn w:val="a0"/>
    <w:link w:val="a4"/>
    <w:uiPriority w:val="99"/>
    <w:rsid w:val="00351FFA"/>
    <w:rPr>
      <w:sz w:val="18"/>
      <w:szCs w:val="18"/>
    </w:rPr>
  </w:style>
  <w:style w:type="paragraph" w:styleId="a5">
    <w:name w:val="Body Text"/>
    <w:basedOn w:val="a"/>
    <w:link w:val="Char1"/>
    <w:semiHidden/>
    <w:qFormat/>
    <w:rsid w:val="00351FFA"/>
    <w:rPr>
      <w:rFonts w:ascii="仿宋" w:eastAsia="仿宋" w:hAnsi="仿宋" w:cs="仿宋"/>
      <w:sz w:val="32"/>
      <w:szCs w:val="32"/>
      <w:lang w:eastAsia="en-US"/>
    </w:rPr>
  </w:style>
  <w:style w:type="character" w:customStyle="1" w:styleId="Char1">
    <w:name w:val="正文文本 Char"/>
    <w:basedOn w:val="a0"/>
    <w:link w:val="a5"/>
    <w:semiHidden/>
    <w:rsid w:val="00351FFA"/>
    <w:rPr>
      <w:rFonts w:ascii="仿宋" w:eastAsia="仿宋" w:hAnsi="仿宋" w:cs="仿宋"/>
      <w:sz w:val="32"/>
      <w:szCs w:val="32"/>
      <w:lang w:eastAsia="en-US"/>
    </w:rPr>
  </w:style>
  <w:style w:type="character" w:customStyle="1" w:styleId="font01">
    <w:name w:val="font01"/>
    <w:basedOn w:val="a0"/>
    <w:qFormat/>
    <w:rsid w:val="00351FFA"/>
    <w:rPr>
      <w:rFonts w:ascii="仿宋_GB2312" w:eastAsia="仿宋_GB2312" w:cs="仿宋_GB2312"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2025-07-02T06:28:00Z</dcterms:created>
  <dcterms:modified xsi:type="dcterms:W3CDTF">2025-07-02T06:29:00Z</dcterms:modified>
</cp:coreProperties>
</file>