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b w:val="0"/>
          <w:bCs/>
        </w:rPr>
      </w:pPr>
      <w:r>
        <w:rPr>
          <w:rFonts w:hint="eastAsia" w:ascii="黑体" w:hAnsi="黑体" w:eastAsia="黑体" w:cs="黑体"/>
          <w:b w:val="0"/>
          <w:bCs/>
        </w:rPr>
        <w:t>附件3</w:t>
      </w:r>
    </w:p>
    <w:p>
      <w:pPr>
        <w:outlineLvl w:val="0"/>
        <w:rPr>
          <w:rFonts w:ascii="宋体" w:hAnsi="宋体" w:eastAsia="宋体"/>
          <w:b/>
        </w:rPr>
      </w:pP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哈尔滨市本级城镇国有土地</w:t>
      </w: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基准地价适用地类对照</w:t>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rPr>
      </w:pPr>
      <w:r>
        <w:rPr>
          <w:rFonts w:hint="eastAsia" w:ascii="黑体" w:hAnsi="黑体" w:eastAsia="黑体" w:cs="黑体"/>
          <w:lang w:eastAsia="zh-CN"/>
        </w:rPr>
        <w:t>（一）</w:t>
      </w:r>
      <w:bookmarkStart w:id="0" w:name="_GoBack"/>
      <w:r>
        <w:rPr>
          <w:rFonts w:hint="eastAsia" w:ascii="黑体" w:hAnsi="黑体" w:eastAsia="黑体" w:cs="黑体"/>
        </w:rPr>
        <w:t>哈尔滨市本级城镇国有土地基准地价类别对照表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noWrap w:val="0"/>
            <w:vAlign w:val="center"/>
          </w:tcPr>
          <w:p>
            <w:pPr>
              <w:spacing w:beforeLines="0" w:afterLines="0"/>
              <w:jc w:val="center"/>
              <w:rPr>
                <w:rFonts w:hint="eastAsia" w:ascii="宋体" w:hAnsi="宋体" w:eastAsia="宋体" w:cs="宋体"/>
                <w:b/>
                <w:bCs/>
                <w:sz w:val="24"/>
                <w:szCs w:val="24"/>
              </w:rPr>
            </w:pPr>
            <w:r>
              <w:rPr>
                <w:rFonts w:hint="eastAsia" w:ascii="宋体" w:hAnsi="宋体" w:eastAsia="宋体" w:cs="宋体"/>
                <w:b/>
                <w:bCs/>
                <w:sz w:val="24"/>
                <w:szCs w:val="24"/>
              </w:rPr>
              <w:t>基准地价类别</w:t>
            </w:r>
          </w:p>
        </w:tc>
        <w:tc>
          <w:tcPr>
            <w:tcW w:w="7403" w:type="dxa"/>
            <w:noWrap w:val="0"/>
            <w:vAlign w:val="center"/>
          </w:tcPr>
          <w:p>
            <w:pPr>
              <w:spacing w:beforeLines="0" w:afterLines="0"/>
              <w:jc w:val="center"/>
              <w:rPr>
                <w:rFonts w:hint="eastAsia" w:ascii="宋体" w:hAnsi="宋体" w:eastAsia="宋体" w:cs="宋体"/>
                <w:b/>
                <w:bCs/>
                <w:sz w:val="24"/>
                <w:szCs w:val="24"/>
              </w:rPr>
            </w:pPr>
            <w:r>
              <w:rPr>
                <w:rFonts w:hint="eastAsia" w:ascii="宋体" w:hAnsi="宋体" w:eastAsia="宋体" w:cs="宋体"/>
                <w:b/>
                <w:bCs/>
                <w:sz w:val="24"/>
                <w:szCs w:val="24"/>
              </w:rPr>
              <w:t>《土地利用现状分类》对应的地类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商服用地</w:t>
            </w:r>
          </w:p>
        </w:tc>
        <w:tc>
          <w:tcPr>
            <w:tcW w:w="7403" w:type="dxa"/>
            <w:noWrap w:val="0"/>
            <w:vAlign w:val="center"/>
          </w:tcPr>
          <w:p>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商服用地中的零售商</w:t>
            </w:r>
            <w:r>
              <w:rPr>
                <w:rFonts w:hint="eastAsia" w:ascii="宋体" w:hAnsi="宋体" w:eastAsia="宋体" w:cs="宋体"/>
                <w:sz w:val="24"/>
                <w:szCs w:val="24"/>
                <w:lang w:eastAsia="zh-CN"/>
              </w:rPr>
              <w:t>业</w:t>
            </w:r>
            <w:r>
              <w:rPr>
                <w:rFonts w:hint="eastAsia" w:ascii="宋体" w:hAnsi="宋体" w:eastAsia="宋体" w:cs="宋体"/>
                <w:sz w:val="24"/>
                <w:szCs w:val="24"/>
              </w:rPr>
              <w:t>用地、批发市场用地、餐饮用地、旅馆用地、商务金融用地、娱乐用地、其他商服用地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住宅用地</w:t>
            </w:r>
          </w:p>
        </w:tc>
        <w:tc>
          <w:tcPr>
            <w:tcW w:w="7403" w:type="dxa"/>
            <w:noWrap w:val="0"/>
            <w:vAlign w:val="center"/>
          </w:tcPr>
          <w:p>
            <w:pPr>
              <w:spacing w:beforeLines="0" w:afterLines="0"/>
              <w:jc w:val="left"/>
              <w:rPr>
                <w:rFonts w:hint="eastAsia" w:ascii="宋体" w:hAnsi="宋体" w:eastAsia="宋体" w:cs="宋体"/>
                <w:sz w:val="24"/>
                <w:szCs w:val="24"/>
              </w:rPr>
            </w:pPr>
            <w:r>
              <w:rPr>
                <w:rFonts w:hint="eastAsia" w:ascii="宋体" w:hAnsi="宋体" w:eastAsia="宋体" w:cs="宋体"/>
                <w:sz w:val="24"/>
                <w:szCs w:val="24"/>
              </w:rPr>
              <w:t>住宅用地中的城镇住宅用地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公共服务用地</w:t>
            </w:r>
          </w:p>
        </w:tc>
        <w:tc>
          <w:tcPr>
            <w:tcW w:w="7403" w:type="dxa"/>
            <w:noWrap w:val="0"/>
            <w:vAlign w:val="center"/>
          </w:tcPr>
          <w:p>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公共管理与公共服务用地中的机关团体用地、新闻出版用地、教育用地、科研用地、医疗卫生用地、社会福利用地、文化设施用地、体育用地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工业用地</w:t>
            </w:r>
          </w:p>
        </w:tc>
        <w:tc>
          <w:tcPr>
            <w:tcW w:w="7403" w:type="dxa"/>
            <w:noWrap w:val="0"/>
            <w:vAlign w:val="center"/>
          </w:tcPr>
          <w:p>
            <w:pPr>
              <w:spacing w:beforeLines="0" w:afterLines="0"/>
              <w:jc w:val="left"/>
              <w:rPr>
                <w:rFonts w:hint="eastAsia" w:ascii="宋体" w:hAnsi="宋体" w:eastAsia="宋体" w:cs="宋体"/>
                <w:sz w:val="24"/>
                <w:szCs w:val="24"/>
              </w:rPr>
            </w:pPr>
            <w:r>
              <w:rPr>
                <w:rFonts w:hint="eastAsia" w:ascii="宋体" w:hAnsi="宋体" w:eastAsia="宋体" w:cs="宋体"/>
                <w:sz w:val="24"/>
                <w:szCs w:val="24"/>
              </w:rPr>
              <w:t>工矿仓储用地中的工业用地、采矿用地、仓储用地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公用设施用地</w:t>
            </w:r>
          </w:p>
        </w:tc>
        <w:tc>
          <w:tcPr>
            <w:tcW w:w="7403" w:type="dxa"/>
            <w:noWrap w:val="0"/>
            <w:vAlign w:val="center"/>
          </w:tcPr>
          <w:p>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公共管理与公共服务用地中的公用设施用地、公园与绿地</w:t>
            </w:r>
          </w:p>
        </w:tc>
      </w:tr>
    </w:tbl>
    <w:p>
      <w:pPr>
        <w:spacing w:line="400" w:lineRule="exact"/>
        <w:ind w:firstLine="480" w:firstLineChars="200"/>
        <w:rPr>
          <w:sz w:val="24"/>
          <w:szCs w:val="24"/>
        </w:rPr>
      </w:pPr>
      <w:r>
        <w:rPr>
          <w:rFonts w:hint="eastAsia"/>
          <w:sz w:val="24"/>
          <w:szCs w:val="24"/>
        </w:rPr>
        <w:t>上表所列以外的其他城镇建设用地类型，如涉及地价评估，可参照商服、住宅、公共服务、工业、公用设施用地基准地价标准：</w:t>
      </w:r>
    </w:p>
    <w:p>
      <w:pPr>
        <w:spacing w:line="400" w:lineRule="exact"/>
        <w:ind w:firstLine="480" w:firstLineChars="200"/>
        <w:rPr>
          <w:sz w:val="24"/>
          <w:szCs w:val="24"/>
        </w:rPr>
      </w:pPr>
      <w:r>
        <w:rPr>
          <w:rFonts w:hint="eastAsia"/>
          <w:sz w:val="24"/>
          <w:szCs w:val="24"/>
        </w:rPr>
        <w:t>交通运输用地中的铁路用地、轨道交通用地、公路用地、城镇村道路用地、交通场站用地、机场用地、港口码头用地、管道运输用地，特殊用地中的监教场所用地、宗教用地、殡葬用地（非经营性）、风景名胜用地，水域及水利设施用地中的水工建筑用地以及按建设用地批复供地的养殖业用地参照公用设施用地基准地价标准。</w:t>
      </w:r>
    </w:p>
    <w:p>
      <w:pPr>
        <w:spacing w:line="400" w:lineRule="exact"/>
        <w:ind w:firstLine="480" w:firstLineChars="200"/>
        <w:rPr>
          <w:sz w:val="24"/>
          <w:szCs w:val="24"/>
        </w:rPr>
      </w:pPr>
      <w:r>
        <w:rPr>
          <w:rFonts w:hint="eastAsia"/>
          <w:sz w:val="24"/>
          <w:szCs w:val="24"/>
        </w:rPr>
        <w:t>特殊用地中的殡葬用地（经营性）参照商服用地基准地价标准。</w:t>
      </w:r>
    </w:p>
    <w:p>
      <w:pPr>
        <w:spacing w:line="400" w:lineRule="exact"/>
        <w:ind w:firstLine="480" w:firstLineChars="200"/>
        <w:rPr>
          <w:sz w:val="24"/>
          <w:szCs w:val="24"/>
        </w:rPr>
      </w:pPr>
      <w:r>
        <w:rPr>
          <w:rFonts w:hint="eastAsia"/>
          <w:sz w:val="24"/>
          <w:szCs w:val="24"/>
        </w:rPr>
        <w:t>特殊用地中的使领馆用地参照公共服务用地基准地价标准。</w:t>
      </w:r>
    </w:p>
    <w:p>
      <w:pPr>
        <w:spacing w:line="400" w:lineRule="exact"/>
        <w:ind w:firstLine="480" w:firstLineChars="200"/>
        <w:rPr>
          <w:sz w:val="24"/>
          <w:szCs w:val="24"/>
        </w:rPr>
      </w:pPr>
      <w:r>
        <w:rPr>
          <w:rFonts w:hint="eastAsia"/>
          <w:sz w:val="24"/>
          <w:szCs w:val="24"/>
        </w:rPr>
        <w:t>特殊用地中的军事设施用地应根据其实际用途，分别参照相应的基准地价标准。</w:t>
      </w:r>
    </w:p>
    <w:p>
      <w:pPr>
        <w:outlineLvl w:val="0"/>
        <w:rPr>
          <w:rFonts w:hint="eastAsia" w:ascii="黑体" w:hAnsi="黑体" w:eastAsia="黑体" w:cs="黑体"/>
          <w:b w:val="0"/>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GY2M2QxYWU2MjQ1NWU1ZTAyYTAwMmI0ZDAwMmUifQ=="/>
  </w:docVars>
  <w:rsids>
    <w:rsidRoot w:val="23931E1C"/>
    <w:rsid w:val="2393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2022-06-21T07:53:00Z</dcterms:created>
  <dc:creator>子焉</dc:creator>
  <cp:lastModifiedBy>子焉</cp:lastModifiedBy>
  <dcterms:modified xsi:type="dcterms:W3CDTF">2022-06-21T07:53:59Z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684A124D68F448698D49E00ACD8F94C0</vt:lpwstr>
  </property>
</Properties>
</file>