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r>
        <w:rPr>
          <w:rFonts w:hint="eastAsia" w:ascii="Times New Roman" w:hAnsi="Times New Roman" w:eastAsia="黑体" w:cs="黑体"/>
          <w:snapToGrid/>
          <w:color w:val="000000" w:themeColor="text1"/>
          <w:sz w:val="32"/>
          <w:szCs w:val="32"/>
        </w:rPr>
        <w:t>6</w:t>
      </w:r>
    </w:p>
    <w:p>
      <w:pPr>
        <w:widowControl/>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劳务企业信用考核标准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方正小标宋简体" w:hAnsi="方正小标宋简体" w:eastAsia="方正小标宋简体" w:cs="方正小标宋简体"/>
          <w:color w:val="000000" w:themeColor="text1"/>
          <w:kern w:val="0"/>
          <w:sz w:val="44"/>
          <w:szCs w:val="44"/>
        </w:rPr>
      </w:pPr>
      <w:r>
        <w:rPr>
          <w:rFonts w:hint="eastAsia" w:ascii="黑体" w:hAnsi="黑体" w:eastAsia="黑体" w:cs="Tahoma"/>
          <w:color w:val="000000" w:themeColor="text1"/>
          <w:kern w:val="0"/>
          <w:sz w:val="32"/>
          <w:szCs w:val="32"/>
        </w:rPr>
        <w:t>一、优良信用信息记分标准</w:t>
      </w:r>
    </w:p>
    <w:tbl>
      <w:tblPr>
        <w:tblStyle w:val="6"/>
        <w:tblW w:w="9638" w:type="dxa"/>
        <w:jc w:val="center"/>
        <w:tblLayout w:type="fixed"/>
        <w:tblCellMar>
          <w:top w:w="0" w:type="dxa"/>
          <w:left w:w="108" w:type="dxa"/>
          <w:bottom w:w="0" w:type="dxa"/>
          <w:right w:w="108" w:type="dxa"/>
        </w:tblCellMar>
      </w:tblPr>
      <w:tblGrid>
        <w:gridCol w:w="958"/>
        <w:gridCol w:w="790"/>
        <w:gridCol w:w="5730"/>
        <w:gridCol w:w="2160"/>
      </w:tblGrid>
      <w:tr>
        <w:tblPrEx>
          <w:tblCellMar>
            <w:top w:w="0" w:type="dxa"/>
            <w:left w:w="108" w:type="dxa"/>
            <w:bottom w:w="0" w:type="dxa"/>
            <w:right w:w="108" w:type="dxa"/>
          </w:tblCellMar>
        </w:tblPrEx>
        <w:trPr>
          <w:trHeight w:val="585" w:hRule="atLeast"/>
          <w:tblHeader/>
          <w:jc w:val="center"/>
        </w:trPr>
        <w:tc>
          <w:tcPr>
            <w:tcW w:w="958"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类别</w:t>
            </w:r>
          </w:p>
        </w:tc>
        <w:tc>
          <w:tcPr>
            <w:tcW w:w="790"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5730"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良好行为描述</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加分标准（分）</w:t>
            </w:r>
          </w:p>
        </w:tc>
      </w:tr>
      <w:tr>
        <w:tblPrEx>
          <w:tblCellMar>
            <w:top w:w="0" w:type="dxa"/>
            <w:left w:w="108" w:type="dxa"/>
            <w:bottom w:w="0" w:type="dxa"/>
            <w:right w:w="108" w:type="dxa"/>
          </w:tblCellMar>
        </w:tblPrEx>
        <w:trPr>
          <w:trHeight w:val="562"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安全</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生产</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日照市建筑施工现场标准化管理示范工地（市住房城乡建设局）</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562"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本年参加本市/区安全比武活动，取得一、二、三等奖</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562"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本年参建项目获得市文明工地的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/项</w:t>
            </w:r>
          </w:p>
        </w:tc>
      </w:tr>
      <w:tr>
        <w:tblPrEx>
          <w:tblCellMar>
            <w:top w:w="0" w:type="dxa"/>
            <w:left w:w="108" w:type="dxa"/>
            <w:bottom w:w="0" w:type="dxa"/>
            <w:right w:w="108" w:type="dxa"/>
          </w:tblCellMar>
        </w:tblPrEx>
        <w:trPr>
          <w:trHeight w:val="583"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本年参建项目获得省安全文明工地荣誉的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/项</w:t>
            </w:r>
          </w:p>
        </w:tc>
      </w:tr>
      <w:tr>
        <w:tblPrEx>
          <w:tblCellMar>
            <w:top w:w="0" w:type="dxa"/>
            <w:left w:w="108" w:type="dxa"/>
            <w:bottom w:w="0" w:type="dxa"/>
            <w:right w:w="108" w:type="dxa"/>
          </w:tblCellMar>
        </w:tblPrEx>
        <w:trPr>
          <w:trHeight w:val="1102"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重大</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突发</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应急</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事件</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建筑劳务企业在日照市组织应对日照市重大事件、突发事件以及应急事件中表现突出，获得国家、山东省、日照市政府表彰的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108" w:type="dxa"/>
            <w:bottom w:w="0" w:type="dxa"/>
            <w:right w:w="108" w:type="dxa"/>
          </w:tblCellMar>
        </w:tblPrEx>
        <w:trPr>
          <w:trHeight w:val="608"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获得国家、山东省、日照市住房和城乡建设主管部门表彰的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25</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协助主管部门承担重要任务中表现突出、较好的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679"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技术</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质量</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本年度企业经鉴定获得技术工人岗位证书的，每</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人加</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分，累计最高</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分</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1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本年参加本市/区技术比武活动，取得一、二、三等奖</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51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本年参建项目获得国家级优良工程的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/项</w:t>
            </w:r>
          </w:p>
        </w:tc>
      </w:tr>
      <w:tr>
        <w:tblPrEx>
          <w:tblCellMar>
            <w:top w:w="0" w:type="dxa"/>
            <w:left w:w="108" w:type="dxa"/>
            <w:bottom w:w="0" w:type="dxa"/>
            <w:right w:w="108" w:type="dxa"/>
          </w:tblCellMar>
        </w:tblPrEx>
        <w:trPr>
          <w:trHeight w:val="583"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本年参建项目获得省优质结构工程荣誉的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/项</w:t>
            </w:r>
          </w:p>
        </w:tc>
      </w:tr>
      <w:tr>
        <w:tblPrEx>
          <w:tblCellMar>
            <w:top w:w="0" w:type="dxa"/>
            <w:left w:w="108" w:type="dxa"/>
            <w:bottom w:w="0" w:type="dxa"/>
            <w:right w:w="108" w:type="dxa"/>
          </w:tblCellMar>
        </w:tblPrEx>
        <w:trPr>
          <w:trHeight w:val="583"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经验</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介绍</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推广</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工程</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观摩</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在本市施工工程，被全国、全省、全市级现场观摩、推广的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960"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13</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企业经营管理特色突出，经市住房和城乡建设主管部门推荐在全国、省、市住房和城乡建设类工作会议作经验介绍的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14</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被市级住房和城乡建设主管部门推荐，配合国家、省、市级调研、检查的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15</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在国家、省、市级住房和城乡建设主管部门组织的专项检查中，被通报表扬的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990"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作业</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规模</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纳税</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16</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建筑劳务企业本年度在日照市纳税达到</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200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400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700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1000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2000</w:t>
            </w:r>
            <w:r>
              <w:rPr>
                <w:rFonts w:hint="eastAsia" w:ascii="仿宋_GB2312" w:hAnsi="仿宋_GB2312" w:eastAsia="仿宋_GB2312" w:cs="仿宋_GB2312"/>
                <w:color w:val="000000" w:themeColor="text1"/>
                <w:kern w:val="0"/>
                <w:sz w:val="21"/>
                <w:szCs w:val="21"/>
              </w:rPr>
              <w:t>万元和</w:t>
            </w:r>
            <w:r>
              <w:rPr>
                <w:rFonts w:hint="eastAsia" w:ascii="Times New Roman" w:hAnsi="Times New Roman" w:eastAsia="仿宋_GB2312" w:cs="仿宋_GB2312"/>
                <w:snapToGrid/>
                <w:color w:val="000000" w:themeColor="text1"/>
                <w:kern w:val="0"/>
                <w:sz w:val="21"/>
                <w:szCs w:val="21"/>
              </w:rPr>
              <w:t>3000</w:t>
            </w:r>
            <w:r>
              <w:rPr>
                <w:rFonts w:hint="eastAsia" w:ascii="仿宋_GB2312" w:hAnsi="仿宋_GB2312" w:eastAsia="仿宋_GB2312" w:cs="仿宋_GB2312"/>
                <w:color w:val="000000" w:themeColor="text1"/>
                <w:kern w:val="0"/>
                <w:sz w:val="21"/>
                <w:szCs w:val="21"/>
              </w:rPr>
              <w:t>万元以上的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trHeight w:val="990"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17</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建筑劳务企业本年度在日照市已竣工项目分包合同额累计达到</w:t>
            </w:r>
            <w:r>
              <w:rPr>
                <w:rFonts w:hint="eastAsia" w:ascii="Times New Roman" w:hAnsi="Times New Roman" w:eastAsia="仿宋_GB2312" w:cs="仿宋_GB2312"/>
                <w:snapToGrid/>
                <w:color w:val="000000" w:themeColor="text1"/>
                <w:kern w:val="0"/>
                <w:sz w:val="21"/>
                <w:szCs w:val="21"/>
              </w:rPr>
              <w:t>1500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3000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3000</w:t>
            </w:r>
            <w:r>
              <w:rPr>
                <w:rFonts w:hint="eastAsia" w:ascii="仿宋_GB2312" w:hAnsi="仿宋_GB2312" w:eastAsia="仿宋_GB2312" w:cs="仿宋_GB2312"/>
                <w:color w:val="000000" w:themeColor="text1"/>
                <w:kern w:val="0"/>
                <w:sz w:val="21"/>
                <w:szCs w:val="21"/>
              </w:rPr>
              <w:t>万元以上的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900"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农民工</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工资</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支付</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18</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本年参建项目获得保障农民工工资支付制度落实示范项目的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/项</w:t>
            </w:r>
          </w:p>
        </w:tc>
      </w:tr>
      <w:tr>
        <w:tblPrEx>
          <w:tblCellMar>
            <w:top w:w="0" w:type="dxa"/>
            <w:left w:w="108" w:type="dxa"/>
            <w:bottom w:w="0" w:type="dxa"/>
            <w:right w:w="108" w:type="dxa"/>
          </w:tblCellMar>
        </w:tblPrEx>
        <w:trPr>
          <w:trHeight w:val="1553" w:hRule="atLeast"/>
          <w:jc w:val="center"/>
        </w:trPr>
        <w:tc>
          <w:tcPr>
            <w:tcW w:w="958"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企业积极参加建筑劳务企业信用考核</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19</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连续三年参加信用考核、连续两年参加信用考核、参加过信用考核</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7</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679" w:hRule="atLeast"/>
          <w:jc w:val="center"/>
        </w:trPr>
        <w:tc>
          <w:tcPr>
            <w:tcW w:w="95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其他表彰奖励</w:t>
            </w: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20</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获得国家、省、地市级党委、政府（非部门）表彰奖励的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21</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获得国家、省级、地市级住房和城乡建设主管部门表彰奖励的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22</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获得国家、省级、地市级建筑业行业协会表彰奖励的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679" w:hRule="atLeast"/>
          <w:jc w:val="center"/>
        </w:trPr>
        <w:tc>
          <w:tcPr>
            <w:tcW w:w="958"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themeColor="text1"/>
                <w:kern w:val="0"/>
                <w:sz w:val="21"/>
                <w:szCs w:val="21"/>
              </w:rPr>
            </w:pPr>
          </w:p>
        </w:tc>
        <w:tc>
          <w:tcPr>
            <w:tcW w:w="79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23</w:t>
            </w:r>
          </w:p>
        </w:tc>
        <w:tc>
          <w:tcPr>
            <w:tcW w:w="57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获得国家、省级、地市级城市其他部门或行业协会表彰奖励的</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 xml:space="preserve"> </w:t>
            </w:r>
            <w:r>
              <w:rPr>
                <w:rFonts w:hint="eastAsia" w:ascii="仿宋_GB2312" w:hAnsi="仿宋_GB2312" w:eastAsia="仿宋_GB2312" w:cs="仿宋_GB2312"/>
                <w:color w:val="000000" w:themeColor="text1"/>
                <w:kern w:val="0"/>
                <w:sz w:val="21"/>
                <w:szCs w:val="21"/>
              </w:rPr>
              <w:br w:type="textWrapping"/>
            </w: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108" w:type="dxa"/>
            <w:bottom w:w="0" w:type="dxa"/>
            <w:right w:w="108" w:type="dxa"/>
          </w:tblCellMar>
        </w:tblPrEx>
        <w:trPr>
          <w:trHeight w:val="2145" w:hRule="atLeast"/>
          <w:jc w:val="center"/>
        </w:trPr>
        <w:tc>
          <w:tcPr>
            <w:tcW w:w="963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b/>
                <w:bCs/>
                <w:color w:val="000000" w:themeColor="text1"/>
                <w:kern w:val="0"/>
                <w:sz w:val="21"/>
                <w:szCs w:val="21"/>
              </w:rPr>
              <w:t>备注：</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.市住房城乡建设局评选或组织申报的奖项，由市住房城乡建设局具体组织部门负责确认，录入信用考核系统，不需企业另行申报；</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.各区县（功能区）住房城乡建设行政主管部门有关加分事宜，在本区县（功能区）加分额度内，按照单项加分不超过市级原则确定</w:t>
            </w:r>
            <w:r>
              <w:rPr>
                <w:rFonts w:hint="eastAsia" w:ascii="宋体" w:hAnsi="宋体" w:eastAsia="宋体" w:cs="宋体"/>
                <w:color w:val="000000" w:themeColor="text1"/>
                <w:kern w:val="0"/>
                <w:sz w:val="21"/>
                <w:szCs w:val="21"/>
              </w:rPr>
              <w:t>。</w:t>
            </w:r>
          </w:p>
        </w:tc>
      </w:tr>
    </w:tbl>
    <w:p>
      <w:pPr>
        <w:rPr>
          <w:color w:val="000000" w:themeColor="text1"/>
        </w:rPr>
      </w:pPr>
    </w:p>
    <w:p>
      <w:pPr>
        <w:rPr>
          <w:color w:val="000000" w:themeColor="text1"/>
        </w:rPr>
      </w:pPr>
      <w:r>
        <w:rPr>
          <w:color w:val="000000" w:themeColor="text1"/>
        </w:rPr>
        <w:br w:type="page"/>
      </w:r>
    </w:p>
    <w:p>
      <w:pPr>
        <w:rPr>
          <w:color w:val="000000" w:themeColor="text1"/>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二、不良信用信息记分标准</w:t>
      </w:r>
    </w:p>
    <w:tbl>
      <w:tblPr>
        <w:tblStyle w:val="6"/>
        <w:tblW w:w="9371" w:type="dxa"/>
        <w:jc w:val="center"/>
        <w:tblLayout w:type="fixed"/>
        <w:tblCellMar>
          <w:top w:w="0" w:type="dxa"/>
          <w:left w:w="108" w:type="dxa"/>
          <w:bottom w:w="0" w:type="dxa"/>
          <w:right w:w="108" w:type="dxa"/>
        </w:tblCellMar>
      </w:tblPr>
      <w:tblGrid>
        <w:gridCol w:w="900"/>
        <w:gridCol w:w="7195"/>
        <w:gridCol w:w="1276"/>
      </w:tblGrid>
      <w:tr>
        <w:tblPrEx>
          <w:tblCellMar>
            <w:top w:w="0" w:type="dxa"/>
            <w:left w:w="108" w:type="dxa"/>
            <w:bottom w:w="0" w:type="dxa"/>
            <w:right w:w="108" w:type="dxa"/>
          </w:tblCellMar>
        </w:tblPrEx>
        <w:trPr>
          <w:cantSplit/>
          <w:trHeight w:val="567" w:hRule="atLeast"/>
          <w:tblHeader/>
          <w:jc w:val="center"/>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71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不良行为描述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扣分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标准</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依据相关法律、法规或《建筑工程施工发包与承包违法行为认定查处管理办法》认定为转包、违法分包或挂靠等违法行为的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伪造、变造、倒卖、出租、出借《建筑施工企业资质证书》或超越本单位资质等级范围承揽工程的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为达到不合理目的，组织制造突发事件，或拖欠农民工工资，造成</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人以上群体上访及其他突发性事件的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因工程施工质量、施工安全问题引起群体投诉、越级上访，造成恶劣影响，且劳务分包单位负有责任的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个月以上的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在执法调查取证过程中恶意阻挠以及拒不提供或提供虚假证据材料的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发生一般及以上质量事故的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发生一般以上安全事故的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因劳务分包企业原因发生深基坑坍塌、塔机倒塌等事故，危及周边建筑物、公共设施、人员安全的或造成恶劣社会影响的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因劳务分包企业原因发生危险性较大的分部分项工程安全隐患，未造成安全事故的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企业质量安全保证体系评估不合格的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xml:space="preserve">因拖欠工程款、农民工工资或解决拖欠农民工工资措施不力、将工资直接发放给“包工头”等原因，造成农民工上访的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外地劳务企业未通过山东省建筑市场监管与诚信信息一体化平台（以下简称“省一体化平台”）审核，进入日照市承揽业务的；进场施工前未办理日照市建筑市场主体信用考核登记的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企业在办理相关手续或考核检查中，提供虚假资料的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调查取证时恶意阻挠、拒不提供相关证据材料的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未按经审查通过的施工图设计文件施工或违反工程建设强制性标准的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开工前施工图、涉及结构安全的重大设计变更未经审查批准擅自施工的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664"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工程竣工交付使用后，确因施工质量原因引起用户集体投诉、越级上访，且劳务分包单位负有责任的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施工现场未设置质量安全生产管理机构的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因劳务分包企业原因造成工程因质量、安全、环保等原因被责令停工的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违反工程建设强制性标准，造成工程质量安全隐患的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个月以上的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对住房和城乡建设主管部门布置的危及公共安全、人民生命财产安全或应急突发事件等紧急任务未及时贯彻落实的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因安全防护措施不到位，造成人员受伤的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施工现场未按有关规定配备劳资专管员或劳资专管员未按规定履行管理责任的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农民工工资发放和劳动合同签订时未经本人授权代签字的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经查实，集中收集农民工工资卡的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在市级以上建设行政主管部门组织的大检查中被通报批评的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未使用规范的劳务分包合同示范文本的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未按规定落实农民工工资支付“四项制度”， 且在限期内未完成整改的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使用诚信“黑名单”企业或人员的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劳务分包企业施工现场签订劳动合同人员比例未达到</w:t>
            </w:r>
            <w:r>
              <w:rPr>
                <w:rFonts w:hint="eastAsia" w:ascii="Times New Roman" w:hAnsi="Times New Roman" w:eastAsia="仿宋_GB2312" w:cs="仿宋_GB2312"/>
                <w:snapToGrid/>
                <w:color w:val="000000" w:themeColor="text1"/>
                <w:kern w:val="0"/>
                <w:sz w:val="21"/>
                <w:szCs w:val="21"/>
              </w:rPr>
              <w:t>80%</w:t>
            </w:r>
            <w:r>
              <w:rPr>
                <w:rFonts w:hint="eastAsia" w:ascii="仿宋_GB2312" w:hAnsi="仿宋_GB2312" w:eastAsia="仿宋_GB2312" w:cs="仿宋_GB2312"/>
                <w:color w:val="000000" w:themeColor="text1"/>
                <w:kern w:val="0"/>
                <w:sz w:val="21"/>
                <w:szCs w:val="21"/>
              </w:rPr>
              <w:t>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以各种理由拒绝领取告知书或处罚决定书的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检查中发现使用不同法人印章，企业不能提供有力证据的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设计单位明确为重大设计变更，未经施工图审查部门审查通过，擅自施工的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基础或主体工程未经验收擅自进入下道工序施工的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企业分管负责人、企业质量安全机构、现场项目部或现场质量安全管理人员未认真履行职责，未按规定要求开展安全检查,未发现现场质量安全较严重隐患的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企业分管负责人、企业质量安全机构日常检查工作未达到规定要求的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质量安全管理专职工作人员数量未达到规定配备标准，虚报人员或者非本单位人员的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企业质量安全管理体系运行不畅的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与农民工存在有关纠纷，同一问题未得到有效解决，导致</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次及以上重复上访的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同一质量问题屡次维修不好，造成重复质量投诉</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次及以上的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被建设行政主管部门书面通报批评的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违反工程质量标准规范或未按图施工，造成质量严重缺陷的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伪造或涂改施工质量、安全技术资料及人员管理资料的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未按规定进行工程结构实体现场检测的或检测结果不合格继续施工的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对建设行政主管部门作出的行政处罚文书无正当理由不配合送达的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未按规定，在正式开工一个月内执行分包企业委托总承包企业（含直接承包建设单位发包工程的单位）代发工资制度的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作业人员持证上岗率未达到</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不服从总承包单位管理，给工程安全、质量、进度、成本等造成较大损失或不良影响，被总承包单位投诉经核实的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应该知道工程项目属违规项目，仍进行施工作业的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施工现场管理人员、劳务工长无故脱岗的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企业未开展质量安全管理体系季度自查自纠工作或自查自纠工作不真实的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签订劳动合同时向工人收取定金、保证金或扣留居民身份证和其他证件的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施工现场签订劳动合同人员比例超过</w:t>
            </w:r>
            <w:r>
              <w:rPr>
                <w:rFonts w:hint="eastAsia" w:ascii="Times New Roman" w:hAnsi="Times New Roman" w:eastAsia="仿宋_GB2312" w:cs="仿宋_GB2312"/>
                <w:snapToGrid/>
                <w:color w:val="000000" w:themeColor="text1"/>
                <w:kern w:val="0"/>
                <w:sz w:val="21"/>
                <w:szCs w:val="21"/>
              </w:rPr>
              <w:t>80%</w:t>
            </w:r>
            <w:r>
              <w:rPr>
                <w:rFonts w:hint="eastAsia" w:ascii="仿宋_GB2312" w:hAnsi="仿宋_GB2312" w:eastAsia="仿宋_GB2312" w:cs="仿宋_GB2312"/>
                <w:color w:val="000000" w:themeColor="text1"/>
                <w:kern w:val="0"/>
                <w:sz w:val="21"/>
                <w:szCs w:val="21"/>
              </w:rPr>
              <w:t>（含</w:t>
            </w:r>
            <w:r>
              <w:rPr>
                <w:rFonts w:hint="eastAsia" w:ascii="Times New Roman" w:hAnsi="Times New Roman" w:eastAsia="仿宋_GB2312" w:cs="仿宋_GB2312"/>
                <w:snapToGrid/>
                <w:color w:val="000000" w:themeColor="text1"/>
                <w:kern w:val="0"/>
                <w:sz w:val="21"/>
                <w:szCs w:val="21"/>
              </w:rPr>
              <w:t>80%</w:t>
            </w:r>
            <w:r>
              <w:rPr>
                <w:rFonts w:hint="eastAsia" w:ascii="仿宋_GB2312" w:hAnsi="仿宋_GB2312" w:eastAsia="仿宋_GB2312" w:cs="仿宋_GB2312"/>
                <w:color w:val="000000" w:themeColor="text1"/>
                <w:kern w:val="0"/>
                <w:sz w:val="21"/>
                <w:szCs w:val="21"/>
              </w:rPr>
              <w:t>），未达到</w:t>
            </w:r>
            <w:r>
              <w:rPr>
                <w:rFonts w:hint="eastAsia" w:ascii="Times New Roman" w:hAnsi="Times New Roman" w:eastAsia="仿宋_GB2312" w:cs="仿宋_GB2312"/>
                <w:snapToGrid/>
                <w:color w:val="000000" w:themeColor="text1"/>
                <w:kern w:val="0"/>
                <w:sz w:val="21"/>
                <w:szCs w:val="21"/>
              </w:rPr>
              <w:t>90%</w:t>
            </w:r>
            <w:r>
              <w:rPr>
                <w:rFonts w:hint="eastAsia" w:ascii="仿宋_GB2312" w:hAnsi="仿宋_GB2312" w:eastAsia="仿宋_GB2312" w:cs="仿宋_GB2312"/>
                <w:color w:val="000000" w:themeColor="text1"/>
                <w:kern w:val="0"/>
                <w:sz w:val="21"/>
                <w:szCs w:val="21"/>
              </w:rPr>
              <w:t>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农民工工资支付“四项制度”落实不到位，未通过农民工工资专用账户按月足额发放工资的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发放农民工工资不进行公示的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施工现场质量、安全技术资料及人员管理资料不齐全或整理混乱的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对建设行政主管部门布置的紧急任务未及时贯彻落实的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无故不参加建设行政主管部门组织的安全生产、质量管理有关会议或业务活动的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对住房和城乡建设主管部门提出的整改要求逾期不整改或整改不彻底的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外地入日照企业的信息发生变更后，</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天内未办理变更的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无故扣押已调出人员执（职）业、资格、岗位证书每人、次的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已收到行政处罚决定，但未在规定时间内缴纳罚款或已接受处罚，未按要求及时整改并提供整改材料的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未严格执行施工现场标准化管理相关规定的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工程存在安全隐患被责令整改的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对用户因施工质量问题的投诉推诿扯皮或处理措施不力，造成用户重复投诉的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未按规定对安装工程进行抽样检验或抽样检验不合格的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企业分管负责人、企业质量安全管理机构日常检查工作未达到规定要求的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质量安全管理专职工作人员不到岗到位、企业与项目部质量安全管理人员或质量与安全管理人员相互兼职的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企业分管负责人、企业质量安全机构、现场项目部或质量安全管理人员未认真履行职责，对各类隐患未及时发现或未进行有效整改的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施工质量、安全技术资料及人员管理资料不齐全或整理混乱的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违反工程质量标准规范或未按图施工，造成质量缺陷的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未按规定要求办理安全生产许可证延期手续的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未及时履行一般设计变更手续，擅自施工的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未按规定，按月考核农民工工作量并编制工资支付表的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入场工人未录入实名制系统，考勤未通过实名制通道，未达到</w:t>
            </w:r>
            <w:r>
              <w:rPr>
                <w:rFonts w:hint="eastAsia" w:ascii="Times New Roman" w:hAnsi="Times New Roman" w:eastAsia="仿宋_GB2312" w:cs="仿宋_GB2312"/>
                <w:snapToGrid/>
                <w:color w:val="000000" w:themeColor="text1"/>
                <w:kern w:val="0"/>
                <w:sz w:val="21"/>
                <w:szCs w:val="21"/>
              </w:rPr>
              <w:t>90%</w:t>
            </w:r>
            <w:r>
              <w:rPr>
                <w:rFonts w:hint="eastAsia" w:ascii="仿宋_GB2312" w:hAnsi="仿宋_GB2312" w:eastAsia="仿宋_GB2312" w:cs="仿宋_GB2312"/>
                <w:color w:val="000000" w:themeColor="text1"/>
                <w:kern w:val="0"/>
                <w:sz w:val="21"/>
                <w:szCs w:val="21"/>
              </w:rPr>
              <w:t>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78</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施工现场签订劳动合同人员比例超过</w:t>
            </w:r>
            <w:r>
              <w:rPr>
                <w:rFonts w:hint="eastAsia" w:ascii="Times New Roman" w:hAnsi="Times New Roman" w:eastAsia="仿宋_GB2312" w:cs="仿宋_GB2312"/>
                <w:snapToGrid/>
                <w:color w:val="000000" w:themeColor="text1"/>
                <w:kern w:val="0"/>
                <w:sz w:val="21"/>
                <w:szCs w:val="21"/>
              </w:rPr>
              <w:t>90%</w:t>
            </w:r>
            <w:r>
              <w:rPr>
                <w:rFonts w:hint="eastAsia" w:ascii="仿宋_GB2312" w:hAnsi="仿宋_GB2312" w:eastAsia="仿宋_GB2312" w:cs="仿宋_GB2312"/>
                <w:color w:val="000000" w:themeColor="text1"/>
                <w:kern w:val="0"/>
                <w:sz w:val="21"/>
                <w:szCs w:val="21"/>
              </w:rPr>
              <w:t>（含</w:t>
            </w:r>
            <w:r>
              <w:rPr>
                <w:rFonts w:hint="eastAsia" w:ascii="Times New Roman" w:hAnsi="Times New Roman" w:eastAsia="仿宋_GB2312" w:cs="仿宋_GB2312"/>
                <w:snapToGrid/>
                <w:color w:val="000000" w:themeColor="text1"/>
                <w:kern w:val="0"/>
                <w:sz w:val="21"/>
                <w:szCs w:val="21"/>
              </w:rPr>
              <w:t>90%</w:t>
            </w:r>
            <w:r>
              <w:rPr>
                <w:rFonts w:hint="eastAsia" w:ascii="仿宋_GB2312" w:hAnsi="仿宋_GB2312" w:eastAsia="仿宋_GB2312" w:cs="仿宋_GB2312"/>
                <w:color w:val="000000" w:themeColor="text1"/>
                <w:kern w:val="0"/>
                <w:sz w:val="21"/>
                <w:szCs w:val="21"/>
              </w:rPr>
              <w:t>），未达到</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79</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违反工程质量标准规范，造成质量问题的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80</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因施工质量原因，工程竣工交付使用后，在保修期内被用户投诉并查实的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81</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未按要求对监理机构下达的《监理通知单》进行整改的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82</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企业分管负责人、企业质量安全机构、现场项目部或质量安全管理人员质量安全检查及管理记录不全，存放整理不清晰的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83</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已接受行政处罚，但仍以各种理由不及时整改的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84</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资质信息发生变更后时未向建设行政主管部门备案登记以及未进行网上更改及上传更新超过</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个月的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85</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劳务分包企业资质证书未在有效期内及时年检或年检不合格，仍继续施工的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86</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对用户因施工质量问题的投诉推诿、扯皮或处理不力，未按期限办理的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/每项每次</w:t>
            </w:r>
          </w:p>
        </w:tc>
      </w:tr>
      <w:tr>
        <w:tblPrEx>
          <w:tblCellMar>
            <w:top w:w="0" w:type="dxa"/>
            <w:left w:w="108" w:type="dxa"/>
            <w:bottom w:w="0" w:type="dxa"/>
            <w:right w:w="108" w:type="dxa"/>
          </w:tblCellMar>
        </w:tblPrEx>
        <w:trPr>
          <w:cantSplit/>
          <w:trHeight w:val="567"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87</w:t>
            </w:r>
          </w:p>
        </w:tc>
        <w:tc>
          <w:tcPr>
            <w:tcW w:w="7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未履行监理职责，对用户因施工质量问题的投诉推诿、扯皮或处理不力，未按期限办理的</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/每项每次</w:t>
            </w:r>
          </w:p>
        </w:tc>
      </w:tr>
    </w:tbl>
    <w:p>
      <w:pPr>
        <w:adjustRightInd w:val="0"/>
        <w:snapToGrid w:val="0"/>
        <w:spacing w:line="560" w:lineRule="exact"/>
        <w:rPr>
          <w:rFonts w:ascii="仿宋_GB2312" w:eastAsia="仿宋_GB2312"/>
          <w:color w:val="000000" w:themeColor="text1"/>
          <w:sz w:val="32"/>
          <w:szCs w:val="32"/>
        </w:rPr>
      </w:pPr>
      <w:bookmarkStart w:id="0" w:name="_GoBack"/>
      <w:bookmarkEnd w:id="0"/>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66F8B2D"/>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2022-06-13T23:50:00Z</dcterms:created>
  <dc:creator>Windows 10</dc:creator>
  <cp:lastModifiedBy>user</cp:lastModifiedBy>
  <cp:lastPrinted>2022-05-23T17:12:00Z</cp:lastPrinted>
  <dcterms:modified xsi:type="dcterms:W3CDTF">2023-12-22T18:30:58Z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