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WFCR-2022-0140001</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潍建发〔202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rPr>
          <w:rFonts w:ascii="仿宋_GB2312" w:eastAsia="仿宋_GB2312"/>
          <w:sz w:val="32"/>
          <w:szCs w:val="32"/>
        </w:rPr>
      </w:pPr>
    </w:p>
    <w:p>
      <w:pPr>
        <w:jc w:val="center"/>
        <w:rPr>
          <w:rFonts w:ascii="文星标宋" w:hAnsi="文星标宋" w:eastAsia="文星标宋" w:cs="文星标宋"/>
          <w:bCs/>
          <w:sz w:val="44"/>
          <w:szCs w:val="44"/>
        </w:rPr>
      </w:pPr>
      <w:r>
        <w:rPr>
          <w:rFonts w:hint="eastAsia" w:ascii="文星标宋" w:hAnsi="文星标宋" w:eastAsia="文星标宋" w:cs="文星标宋"/>
          <w:bCs/>
          <w:sz w:val="44"/>
          <w:szCs w:val="44"/>
        </w:rPr>
        <w:t>潍坊市</w:t>
      </w:r>
      <w:r>
        <w:rPr>
          <w:rFonts w:ascii="文星标宋" w:hAnsi="文星标宋" w:eastAsia="文星标宋" w:cs="文星标宋"/>
          <w:bCs/>
          <w:sz w:val="44"/>
          <w:szCs w:val="44"/>
        </w:rPr>
        <w:t>住房和城乡建设局</w:t>
      </w:r>
    </w:p>
    <w:p>
      <w:pPr>
        <w:jc w:val="center"/>
        <w:rPr>
          <w:rFonts w:hint="eastAsia" w:ascii="文星标宋" w:eastAsia="文星标宋"/>
          <w:sz w:val="44"/>
          <w:szCs w:val="44"/>
        </w:rPr>
      </w:pPr>
      <w:r>
        <w:rPr>
          <w:rFonts w:hint="eastAsia" w:ascii="文星标宋" w:hAnsi="文星标宋" w:eastAsia="文星标宋" w:cs="文星标宋"/>
          <w:bCs/>
          <w:sz w:val="44"/>
          <w:szCs w:val="44"/>
        </w:rPr>
        <w:t>关于印发《</w:t>
      </w:r>
      <w:r>
        <w:rPr>
          <w:rFonts w:hint="eastAsia" w:ascii="文星标宋" w:eastAsia="文星标宋"/>
          <w:sz w:val="44"/>
          <w:szCs w:val="44"/>
        </w:rPr>
        <w:t>潍坊市市政施工企业信用评价</w:t>
      </w:r>
    </w:p>
    <w:p>
      <w:pPr>
        <w:jc w:val="center"/>
        <w:rPr>
          <w:rFonts w:ascii="文星标宋" w:eastAsia="文星标宋"/>
          <w:sz w:val="44"/>
          <w:szCs w:val="44"/>
        </w:rPr>
      </w:pPr>
      <w:r>
        <w:rPr>
          <w:rFonts w:hint="eastAsia" w:ascii="文星标宋" w:eastAsia="文星标宋"/>
          <w:sz w:val="44"/>
          <w:szCs w:val="44"/>
        </w:rPr>
        <w:t>管理办法</w:t>
      </w:r>
      <w:r>
        <w:rPr>
          <w:rFonts w:hint="eastAsia" w:ascii="文星标宋" w:hAnsi="文星标宋" w:eastAsia="文星标宋" w:cs="文星标宋"/>
          <w:bCs/>
          <w:sz w:val="44"/>
          <w:szCs w:val="44"/>
        </w:rPr>
        <w:t>》的通知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各县市区、市属有关开发区住建局，滨海区、峡山区建设交通局，综合保税区建设管理局，各有关</w:t>
      </w:r>
      <w:r>
        <w:rPr>
          <w:rFonts w:ascii="仿宋_GB2312" w:eastAsia="仿宋_GB2312"/>
          <w:sz w:val="32"/>
          <w:szCs w:val="32"/>
        </w:rPr>
        <w:t>单位、企业</w:t>
      </w:r>
      <w:r>
        <w:rPr>
          <w:rFonts w:hint="eastAsia" w:ascii="仿宋_GB2312" w:eastAsia="仿宋_GB2312"/>
          <w:sz w:val="32"/>
          <w:szCs w:val="32"/>
        </w:rPr>
        <w:t>：</w:t>
      </w:r>
    </w:p>
    <w:p>
      <w:pPr>
        <w:ind w:firstLine="645"/>
        <w:rPr>
          <w:rFonts w:ascii="仿宋_GB2312" w:eastAsia="仿宋_GB2312"/>
          <w:sz w:val="32"/>
          <w:szCs w:val="32"/>
          <w:highlight w:val="yellow"/>
        </w:rPr>
      </w:pPr>
      <w:r>
        <w:rPr>
          <w:rFonts w:hint="eastAsia" w:ascii="仿宋_GB2312" w:eastAsia="仿宋_GB2312"/>
          <w:sz w:val="32"/>
          <w:szCs w:val="32"/>
        </w:rPr>
        <w:t>现将《潍坊</w:t>
      </w:r>
      <w:bookmarkStart w:id="0" w:name="_GoBack"/>
      <w:bookmarkEnd w:id="0"/>
      <w:r>
        <w:rPr>
          <w:rFonts w:hint="eastAsia" w:ascii="仿宋_GB2312" w:eastAsia="仿宋_GB2312"/>
          <w:sz w:val="32"/>
          <w:szCs w:val="32"/>
        </w:rPr>
        <w:t>市市政施工企业信用评价管理办法》印发</w:t>
      </w:r>
      <w:r>
        <w:rPr>
          <w:rFonts w:ascii="仿宋_GB2312" w:eastAsia="仿宋_GB2312"/>
          <w:sz w:val="32"/>
          <w:szCs w:val="32"/>
        </w:rPr>
        <w:t>你们，请结合</w:t>
      </w:r>
      <w:r>
        <w:rPr>
          <w:rFonts w:hint="eastAsia" w:ascii="仿宋_GB2312" w:eastAsia="仿宋_GB2312"/>
          <w:sz w:val="32"/>
          <w:szCs w:val="32"/>
        </w:rPr>
        <w:t>实际，</w:t>
      </w:r>
      <w:r>
        <w:rPr>
          <w:rFonts w:ascii="仿宋_GB2312" w:eastAsia="仿宋_GB2312"/>
          <w:sz w:val="32"/>
          <w:szCs w:val="32"/>
        </w:rPr>
        <w:t>认真贯彻</w:t>
      </w:r>
      <w:r>
        <w:rPr>
          <w:rFonts w:hint="eastAsia" w:ascii="仿宋_GB2312" w:eastAsia="仿宋_GB2312"/>
          <w:sz w:val="32"/>
          <w:szCs w:val="32"/>
        </w:rPr>
        <w:t>执行。</w:t>
      </w:r>
    </w:p>
    <w:p>
      <w:pPr>
        <w:ind w:firstLine="645"/>
        <w:rPr>
          <w:rFonts w:ascii="仿宋_GB2312" w:eastAsia="仿宋_GB2312"/>
          <w:sz w:val="32"/>
          <w:szCs w:val="32"/>
        </w:rPr>
      </w:pPr>
    </w:p>
    <w:p>
      <w:pPr>
        <w:ind w:firstLine="645"/>
        <w:rPr>
          <w:rFonts w:ascii="仿宋_GB2312" w:eastAsia="仿宋_GB2312"/>
          <w:sz w:val="32"/>
          <w:szCs w:val="32"/>
        </w:rPr>
      </w:pPr>
    </w:p>
    <w:p>
      <w:pPr>
        <w:wordWrap w:val="0"/>
        <w:ind w:firstLine="645"/>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潍坊市住房和城乡建设局        </w:t>
      </w:r>
    </w:p>
    <w:p>
      <w:pPr>
        <w:wordWrap w:val="0"/>
        <w:jc w:val="right"/>
        <w:rPr>
          <w:rFonts w:ascii="仿宋_GB2312" w:eastAsia="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ascii="仿宋_GB2312" w:eastAsia="仿宋_GB2312"/>
          <w:sz w:val="32"/>
          <w:szCs w:val="32"/>
        </w:rPr>
        <w:t xml:space="preserve">    </w:t>
      </w:r>
    </w:p>
    <w:p>
      <w:pPr>
        <w:jc w:val="center"/>
        <w:rPr>
          <w:rFonts w:hint="eastAsia" w:ascii="文星标宋" w:eastAsia="文星标宋"/>
          <w:sz w:val="44"/>
          <w:szCs w:val="44"/>
        </w:rPr>
        <w:sectPr>
          <w:headerReference r:id="rId3" w:type="default"/>
          <w:footerReference r:id="rId4" w:type="default"/>
          <w:pgSz w:w="11906" w:h="16838"/>
          <w:pgMar w:top="1418" w:right="1418" w:bottom="1418" w:left="1418" w:header="851" w:footer="765" w:gutter="0"/>
          <w:pgNumType w:fmt="numberInDash"/>
          <w:cols w:space="425" w:num="1"/>
          <w:docGrid w:type="lines" w:linePitch="312" w:charSpace="0"/>
        </w:sectPr>
      </w:pPr>
    </w:p>
    <w:p>
      <w:pPr>
        <w:jc w:val="center"/>
        <w:rPr>
          <w:rFonts w:ascii="文星标宋" w:eastAsia="文星标宋"/>
          <w:sz w:val="44"/>
          <w:szCs w:val="44"/>
        </w:rPr>
      </w:pPr>
      <w:r>
        <w:rPr>
          <w:rFonts w:hint="eastAsia" w:ascii="文星标宋" w:eastAsia="文星标宋"/>
          <w:sz w:val="44"/>
          <w:szCs w:val="44"/>
        </w:rPr>
        <w:t>潍坊市市政施工企业信用评价管理办法</w:t>
      </w:r>
    </w:p>
    <w:p>
      <w:pPr>
        <w:jc w:val="center"/>
        <w:rPr>
          <w:rFonts w:hint="default" w:ascii="楷体_GB2312" w:eastAsia="楷体_GB2312"/>
          <w:sz w:val="36"/>
          <w:szCs w:val="36"/>
          <w:lang w:val="en-US" w:eastAsia="zh-CN"/>
        </w:rPr>
      </w:pPr>
    </w:p>
    <w:p>
      <w:pPr>
        <w:spacing w:beforeLines="50" w:afterLines="50"/>
        <w:jc w:val="center"/>
        <w:rPr>
          <w:rFonts w:ascii="黑体" w:hAnsi="黑体" w:eastAsia="黑体"/>
          <w:sz w:val="32"/>
          <w:szCs w:val="32"/>
        </w:rPr>
      </w:pPr>
      <w:r>
        <w:rPr>
          <w:rFonts w:hint="eastAsia" w:ascii="黑体" w:hAnsi="黑体" w:eastAsia="黑体"/>
          <w:sz w:val="32"/>
          <w:szCs w:val="32"/>
        </w:rPr>
        <w:t>第一章  总则</w:t>
      </w:r>
    </w:p>
    <w:p>
      <w:pPr>
        <w:ind w:firstLine="645"/>
        <w:rPr>
          <w:rFonts w:ascii="仿宋_GB2312" w:eastAsia="仿宋_GB2312"/>
          <w:sz w:val="32"/>
          <w:szCs w:val="32"/>
        </w:rPr>
      </w:pPr>
      <w:r>
        <w:rPr>
          <w:rFonts w:hint="eastAsia" w:ascii="楷体_GB2312" w:hAnsi="黑体" w:eastAsia="楷体_GB2312"/>
          <w:sz w:val="32"/>
          <w:szCs w:val="32"/>
        </w:rPr>
        <w:t>第一条</w:t>
      </w:r>
      <w:r>
        <w:rPr>
          <w:rFonts w:hint="eastAsia" w:ascii="仿宋_GB2312" w:eastAsia="仿宋_GB2312"/>
          <w:sz w:val="32"/>
          <w:szCs w:val="32"/>
        </w:rPr>
        <w:t xml:space="preserve">  为规范</w:t>
      </w:r>
      <w:r>
        <w:rPr>
          <w:rFonts w:ascii="仿宋_GB2312" w:eastAsia="仿宋_GB2312"/>
          <w:sz w:val="32"/>
          <w:szCs w:val="32"/>
        </w:rPr>
        <w:t>我市</w:t>
      </w:r>
      <w:r>
        <w:rPr>
          <w:rFonts w:hint="eastAsia" w:ascii="仿宋_GB2312" w:eastAsia="仿宋_GB2312"/>
          <w:sz w:val="32"/>
          <w:szCs w:val="32"/>
        </w:rPr>
        <w:t>市政</w:t>
      </w:r>
      <w:r>
        <w:rPr>
          <w:rFonts w:ascii="仿宋_GB2312" w:eastAsia="仿宋_GB2312"/>
          <w:sz w:val="32"/>
          <w:szCs w:val="32"/>
        </w:rPr>
        <w:t>市场秩序，推进</w:t>
      </w:r>
      <w:r>
        <w:rPr>
          <w:rFonts w:hint="eastAsia" w:ascii="仿宋_GB2312" w:eastAsia="仿宋_GB2312"/>
          <w:sz w:val="32"/>
          <w:szCs w:val="32"/>
        </w:rPr>
        <w:t>信用</w:t>
      </w:r>
      <w:r>
        <w:rPr>
          <w:rFonts w:ascii="仿宋_GB2312" w:eastAsia="仿宋_GB2312"/>
          <w:sz w:val="32"/>
          <w:szCs w:val="32"/>
        </w:rPr>
        <w:t>体系</w:t>
      </w:r>
      <w:r>
        <w:rPr>
          <w:rFonts w:hint="eastAsia" w:ascii="仿宋_GB2312" w:eastAsia="仿宋_GB2312"/>
          <w:sz w:val="32"/>
          <w:szCs w:val="32"/>
        </w:rPr>
        <w:t>建设</w:t>
      </w:r>
      <w:r>
        <w:rPr>
          <w:rFonts w:ascii="仿宋_GB2312" w:eastAsia="仿宋_GB2312"/>
          <w:sz w:val="32"/>
          <w:szCs w:val="32"/>
        </w:rPr>
        <w:t>，促进</w:t>
      </w:r>
      <w:r>
        <w:rPr>
          <w:rFonts w:hint="eastAsia" w:ascii="仿宋_GB2312" w:eastAsia="仿宋_GB2312"/>
          <w:sz w:val="32"/>
          <w:szCs w:val="32"/>
        </w:rPr>
        <w:t>市政</w:t>
      </w:r>
      <w:r>
        <w:rPr>
          <w:rFonts w:ascii="仿宋_GB2312" w:eastAsia="仿宋_GB2312"/>
          <w:sz w:val="32"/>
          <w:szCs w:val="32"/>
        </w:rPr>
        <w:t>施工企业增强诚信自律意识，营造</w:t>
      </w:r>
      <w:r>
        <w:rPr>
          <w:rFonts w:hint="eastAsia" w:ascii="仿宋_GB2312" w:eastAsia="仿宋_GB2312"/>
          <w:sz w:val="32"/>
          <w:szCs w:val="32"/>
        </w:rPr>
        <w:t>诚实守信</w:t>
      </w:r>
      <w:r>
        <w:rPr>
          <w:rFonts w:ascii="仿宋_GB2312" w:eastAsia="仿宋_GB2312"/>
          <w:sz w:val="32"/>
          <w:szCs w:val="32"/>
        </w:rPr>
        <w:t>的市场</w:t>
      </w:r>
      <w:r>
        <w:rPr>
          <w:rFonts w:hint="eastAsia" w:ascii="仿宋_GB2312" w:eastAsia="仿宋_GB2312"/>
          <w:sz w:val="32"/>
          <w:szCs w:val="32"/>
        </w:rPr>
        <w:t>环境</w:t>
      </w:r>
      <w:r>
        <w:rPr>
          <w:rFonts w:ascii="仿宋_GB2312" w:eastAsia="仿宋_GB2312"/>
          <w:sz w:val="32"/>
          <w:szCs w:val="32"/>
        </w:rPr>
        <w:t>，</w:t>
      </w:r>
      <w:r>
        <w:rPr>
          <w:rFonts w:hint="eastAsia" w:ascii="仿宋_GB2312" w:eastAsia="仿宋_GB2312"/>
          <w:sz w:val="32"/>
          <w:szCs w:val="32"/>
        </w:rPr>
        <w:t>根据《中华人民共和国建筑法》、《中华人民共和国招标投标法》、《企业信息公示暂行条例》、《建筑市场信用管理暂行办法》、《山东省社会信用条例》和《山东省建筑市场信用管理办法》等法律法规和相关规定，结合</w:t>
      </w:r>
      <w:r>
        <w:rPr>
          <w:rFonts w:ascii="仿宋_GB2312" w:eastAsia="仿宋_GB2312"/>
          <w:sz w:val="32"/>
          <w:szCs w:val="32"/>
        </w:rPr>
        <w:t>我市实际，制定本办法</w:t>
      </w:r>
      <w:r>
        <w:rPr>
          <w:rFonts w:hint="eastAsia" w:ascii="仿宋_GB2312" w:eastAsia="仿宋_GB2312"/>
          <w:sz w:val="32"/>
          <w:szCs w:val="32"/>
        </w:rPr>
        <w:t>。</w:t>
      </w:r>
    </w:p>
    <w:p>
      <w:pPr>
        <w:ind w:firstLine="645"/>
        <w:rPr>
          <w:rFonts w:ascii="仿宋_GB2312" w:eastAsia="仿宋_GB2312"/>
          <w:sz w:val="32"/>
          <w:szCs w:val="32"/>
        </w:rPr>
      </w:pPr>
      <w:r>
        <w:rPr>
          <w:rFonts w:hint="eastAsia" w:ascii="楷体_GB2312" w:hAnsi="黑体" w:eastAsia="楷体_GB2312"/>
          <w:sz w:val="32"/>
          <w:szCs w:val="32"/>
        </w:rPr>
        <w:t>第二条</w:t>
      </w:r>
      <w:r>
        <w:rPr>
          <w:rFonts w:hint="eastAsia" w:ascii="仿宋_GB2312" w:eastAsia="仿宋_GB2312"/>
          <w:sz w:val="32"/>
          <w:szCs w:val="32"/>
        </w:rPr>
        <w:t xml:space="preserve">  凡在我市行政区域内</w:t>
      </w:r>
      <w:r>
        <w:rPr>
          <w:rFonts w:ascii="仿宋_GB2312" w:eastAsia="仿宋_GB2312"/>
          <w:sz w:val="32"/>
          <w:szCs w:val="32"/>
        </w:rPr>
        <w:t>从事市政</w:t>
      </w:r>
      <w:r>
        <w:rPr>
          <w:rFonts w:hint="eastAsia" w:ascii="仿宋_GB2312" w:eastAsia="仿宋_GB2312"/>
          <w:sz w:val="32"/>
          <w:szCs w:val="32"/>
        </w:rPr>
        <w:t>工程</w:t>
      </w:r>
      <w:r>
        <w:rPr>
          <w:rFonts w:ascii="仿宋_GB2312" w:eastAsia="仿宋_GB2312"/>
          <w:sz w:val="32"/>
          <w:szCs w:val="32"/>
        </w:rPr>
        <w:t>施工活动，依法取得</w:t>
      </w:r>
      <w:r>
        <w:rPr>
          <w:rFonts w:hint="eastAsia" w:ascii="仿宋_GB2312" w:eastAsia="仿宋_GB2312"/>
          <w:sz w:val="32"/>
          <w:szCs w:val="32"/>
        </w:rPr>
        <w:t>市政公用</w:t>
      </w:r>
      <w:r>
        <w:rPr>
          <w:rFonts w:ascii="仿宋_GB2312" w:eastAsia="仿宋_GB2312"/>
          <w:sz w:val="32"/>
          <w:szCs w:val="32"/>
        </w:rPr>
        <w:t>工程施工总承包资质，</w:t>
      </w:r>
      <w:r>
        <w:rPr>
          <w:rFonts w:hint="eastAsia" w:ascii="仿宋_GB2312" w:eastAsia="仿宋_GB2312"/>
          <w:sz w:val="32"/>
          <w:szCs w:val="32"/>
        </w:rPr>
        <w:t>并录入“潍坊市建筑市场监管与诚信信息一体化平台”（以下简称“市平台”）的市政施工企业，</w:t>
      </w:r>
      <w:r>
        <w:rPr>
          <w:rFonts w:ascii="仿宋_GB2312" w:eastAsia="仿宋_GB2312"/>
          <w:sz w:val="32"/>
          <w:szCs w:val="32"/>
        </w:rPr>
        <w:t>其</w:t>
      </w:r>
      <w:r>
        <w:rPr>
          <w:rFonts w:hint="eastAsia" w:ascii="仿宋_GB2312" w:eastAsia="仿宋_GB2312"/>
          <w:sz w:val="32"/>
          <w:szCs w:val="32"/>
        </w:rPr>
        <w:t>信用评价</w:t>
      </w:r>
      <w:r>
        <w:rPr>
          <w:rFonts w:ascii="仿宋_GB2312" w:eastAsia="仿宋_GB2312"/>
          <w:sz w:val="32"/>
          <w:szCs w:val="32"/>
        </w:rPr>
        <w:t>管理工作适用本办法。</w:t>
      </w:r>
    </w:p>
    <w:p>
      <w:pPr>
        <w:ind w:firstLine="645"/>
        <w:rPr>
          <w:rFonts w:ascii="楷体_GB2312" w:hAnsi="黑体" w:eastAsia="楷体_GB2312"/>
          <w:sz w:val="32"/>
          <w:szCs w:val="32"/>
        </w:rPr>
      </w:pPr>
      <w:r>
        <w:rPr>
          <w:rFonts w:hint="eastAsia" w:ascii="楷体_GB2312" w:hAnsi="黑体" w:eastAsia="楷体_GB2312"/>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本办法所称市政施工企业信用管理是指市政施工企业在市政工程建设活动中所产生的信用信息的认定、归集、交换、公开、评价、使用和监督管理。</w:t>
      </w:r>
    </w:p>
    <w:p>
      <w:pPr>
        <w:ind w:firstLine="645"/>
        <w:rPr>
          <w:rFonts w:ascii="仿宋_GB2312" w:eastAsia="仿宋_GB2312"/>
          <w:sz w:val="32"/>
          <w:szCs w:val="32"/>
        </w:rPr>
      </w:pPr>
      <w:r>
        <w:rPr>
          <w:rFonts w:hint="eastAsia" w:ascii="楷体_GB2312" w:hAnsi="黑体" w:eastAsia="楷体_GB2312"/>
          <w:sz w:val="32"/>
          <w:szCs w:val="32"/>
        </w:rPr>
        <w:t>第四条</w:t>
      </w:r>
      <w:r>
        <w:rPr>
          <w:rFonts w:hint="eastAsia" w:ascii="仿宋_GB2312" w:eastAsia="仿宋_GB2312"/>
          <w:sz w:val="32"/>
          <w:szCs w:val="32"/>
        </w:rPr>
        <w:t xml:space="preserve">  本办法所称</w:t>
      </w:r>
      <w:r>
        <w:rPr>
          <w:rFonts w:ascii="仿宋_GB2312" w:eastAsia="仿宋_GB2312"/>
          <w:sz w:val="32"/>
          <w:szCs w:val="32"/>
        </w:rPr>
        <w:t>市政工程，</w:t>
      </w:r>
      <w:r>
        <w:rPr>
          <w:rFonts w:hint="eastAsia" w:ascii="仿宋_GB2312" w:eastAsia="仿宋_GB2312"/>
          <w:sz w:val="32"/>
          <w:szCs w:val="32"/>
        </w:rPr>
        <w:t>包括</w:t>
      </w:r>
      <w:r>
        <w:rPr>
          <w:rFonts w:ascii="仿宋_GB2312" w:eastAsia="仿宋_GB2312"/>
          <w:sz w:val="32"/>
          <w:szCs w:val="32"/>
        </w:rPr>
        <w:t>城市道路工程、城市桥梁工程、城市隧道工程、照明工程</w:t>
      </w:r>
      <w:r>
        <w:rPr>
          <w:rFonts w:hint="eastAsia" w:ascii="仿宋_GB2312" w:eastAsia="仿宋_GB2312"/>
          <w:sz w:val="32"/>
          <w:szCs w:val="32"/>
        </w:rPr>
        <w:t>、</w:t>
      </w:r>
      <w:r>
        <w:rPr>
          <w:rFonts w:ascii="仿宋_GB2312" w:eastAsia="仿宋_GB2312"/>
          <w:sz w:val="32"/>
          <w:szCs w:val="32"/>
        </w:rPr>
        <w:t>公共交通工程。</w:t>
      </w:r>
    </w:p>
    <w:p>
      <w:pPr>
        <w:spacing w:line="600" w:lineRule="exact"/>
        <w:ind w:firstLine="640" w:firstLineChars="200"/>
        <w:rPr>
          <w:rFonts w:ascii="仿宋_GB2312" w:eastAsia="仿宋_GB2312"/>
          <w:sz w:val="32"/>
          <w:szCs w:val="32"/>
        </w:rPr>
      </w:pPr>
      <w:r>
        <w:rPr>
          <w:rFonts w:hint="eastAsia" w:ascii="楷体_GB2312" w:hAnsi="黑体" w:eastAsia="楷体_GB2312"/>
          <w:sz w:val="32"/>
          <w:szCs w:val="32"/>
        </w:rPr>
        <w:t>第五条</w:t>
      </w:r>
      <w:r>
        <w:rPr>
          <w:rFonts w:hint="eastAsia" w:ascii="仿宋_GB2312" w:eastAsia="仿宋_GB2312"/>
          <w:sz w:val="32"/>
          <w:szCs w:val="32"/>
        </w:rPr>
        <w:t xml:space="preserve">  市住建局负责全市市政施工企业信用评价的综合管理和指导工作，负责制定全市市政施工企业信用管理制度并组织实施，会同有关部门实施守信联合激励和失信联合惩戒。</w:t>
      </w:r>
    </w:p>
    <w:p>
      <w:pPr>
        <w:ind w:firstLine="645"/>
        <w:rPr>
          <w:rFonts w:ascii="仿宋_GB2312" w:eastAsia="仿宋_GB2312"/>
          <w:sz w:val="32"/>
          <w:szCs w:val="32"/>
        </w:rPr>
      </w:pPr>
      <w:r>
        <w:rPr>
          <w:rFonts w:hint="eastAsia" w:ascii="仿宋_GB2312" w:eastAsia="仿宋_GB2312"/>
          <w:sz w:val="32"/>
          <w:szCs w:val="32"/>
        </w:rPr>
        <w:t>县市区、市属开发区住房城乡建设主管部门统一使用市平台开展市政施工企业信用管理工作，负责各行政区域内从事市政施工活动企业信用行为的检查、记录、汇总和信用信息的确认、录入工作，会同有关部门实施守信联合激励和失信联合惩戒。</w:t>
      </w:r>
    </w:p>
    <w:p>
      <w:pPr>
        <w:spacing w:beforeLines="50" w:afterLines="50"/>
        <w:jc w:val="center"/>
        <w:rPr>
          <w:rFonts w:ascii="黑体" w:hAnsi="黑体" w:eastAsia="黑体"/>
          <w:sz w:val="32"/>
          <w:szCs w:val="32"/>
        </w:rPr>
      </w:pPr>
      <w:r>
        <w:rPr>
          <w:rFonts w:hint="eastAsia" w:ascii="黑体" w:hAnsi="黑体" w:eastAsia="黑体"/>
          <w:sz w:val="32"/>
          <w:szCs w:val="32"/>
        </w:rPr>
        <w:t>第二章  信用信息</w:t>
      </w:r>
    </w:p>
    <w:p>
      <w:pPr>
        <w:ind w:firstLine="645"/>
      </w:pPr>
      <w:r>
        <w:rPr>
          <w:rFonts w:hint="eastAsia" w:ascii="楷体_GB2312" w:hAnsi="黑体" w:eastAsia="楷体_GB2312"/>
          <w:sz w:val="32"/>
          <w:szCs w:val="32"/>
        </w:rPr>
        <w:t>第六条</w:t>
      </w:r>
      <w:r>
        <w:rPr>
          <w:rFonts w:hint="eastAsia" w:ascii="仿宋_GB2312" w:eastAsia="仿宋_GB2312"/>
          <w:sz w:val="32"/>
          <w:szCs w:val="32"/>
        </w:rPr>
        <w:t xml:space="preserve">  信用信息由基本信息、优良信用信息、不良信用信息和“黑名单”构成。</w:t>
      </w:r>
    </w:p>
    <w:p>
      <w:pPr>
        <w:ind w:firstLine="645"/>
        <w:rPr>
          <w:rFonts w:ascii="楷体_GB2312" w:hAnsi="黑体" w:eastAsia="楷体_GB2312"/>
          <w:sz w:val="32"/>
          <w:szCs w:val="32"/>
        </w:rPr>
      </w:pPr>
      <w:r>
        <w:rPr>
          <w:rFonts w:hint="eastAsia" w:ascii="楷体_GB2312" w:eastAsia="楷体_GB2312"/>
          <w:sz w:val="32"/>
          <w:szCs w:val="32"/>
        </w:rPr>
        <w:t xml:space="preserve">第七条  </w:t>
      </w:r>
      <w:r>
        <w:rPr>
          <w:rFonts w:hint="eastAsia" w:ascii="仿宋_GB2312" w:eastAsia="仿宋_GB2312"/>
          <w:sz w:val="32"/>
          <w:szCs w:val="32"/>
        </w:rPr>
        <w:t>基本信息包括名称、统一社会信用代码等注册登记备案信息、资质信息、工程项目信息等。</w:t>
      </w:r>
    </w:p>
    <w:p>
      <w:pPr>
        <w:ind w:firstLine="645"/>
        <w:rPr>
          <w:rFonts w:ascii="仿宋_GB2312" w:eastAsia="仿宋_GB2312"/>
          <w:sz w:val="32"/>
          <w:szCs w:val="32"/>
        </w:rPr>
      </w:pPr>
      <w:r>
        <w:rPr>
          <w:rFonts w:hint="eastAsia" w:ascii="楷体_GB2312" w:hAnsi="黑体" w:eastAsia="楷体_GB2312"/>
          <w:sz w:val="32"/>
          <w:szCs w:val="32"/>
        </w:rPr>
        <w:t xml:space="preserve">第八条 </w:t>
      </w:r>
      <w:r>
        <w:rPr>
          <w:rFonts w:hint="eastAsia" w:ascii="仿宋_GB2312" w:eastAsia="仿宋_GB2312"/>
          <w:sz w:val="32"/>
          <w:szCs w:val="32"/>
        </w:rPr>
        <w:t xml:space="preserve"> 优良信用信息是指企业在我市行政区域内从事市政</w:t>
      </w:r>
      <w:r>
        <w:rPr>
          <w:rFonts w:ascii="仿宋_GB2312" w:eastAsia="仿宋_GB2312"/>
          <w:sz w:val="32"/>
          <w:szCs w:val="32"/>
        </w:rPr>
        <w:t>工程的建设</w:t>
      </w:r>
      <w:r>
        <w:rPr>
          <w:rFonts w:hint="eastAsia" w:ascii="仿宋_GB2312" w:eastAsia="仿宋_GB2312"/>
          <w:sz w:val="32"/>
          <w:szCs w:val="32"/>
        </w:rPr>
        <w:t>中遵守有关法律、法规和强制性标准，自觉维护市场秩序，积极拓展业务，诚信经营，争先创优，技术进步，履行社会责任，受到县级</w:t>
      </w:r>
      <w:r>
        <w:rPr>
          <w:rFonts w:ascii="仿宋_GB2312" w:eastAsia="仿宋_GB2312"/>
          <w:sz w:val="32"/>
          <w:szCs w:val="32"/>
        </w:rPr>
        <w:t>以上</w:t>
      </w:r>
      <w:r>
        <w:rPr>
          <w:rFonts w:hint="eastAsia" w:ascii="仿宋_GB2312" w:eastAsia="仿宋_GB2312"/>
          <w:sz w:val="32"/>
          <w:szCs w:val="32"/>
        </w:rPr>
        <w:t>行政</w:t>
      </w:r>
      <w:r>
        <w:rPr>
          <w:rFonts w:ascii="仿宋_GB2312" w:eastAsia="仿宋_GB2312"/>
          <w:sz w:val="32"/>
          <w:szCs w:val="32"/>
        </w:rPr>
        <w:t>机关或</w:t>
      </w:r>
      <w:r>
        <w:rPr>
          <w:rFonts w:hint="eastAsia" w:ascii="仿宋_GB2312" w:eastAsia="仿宋_GB2312"/>
          <w:sz w:val="32"/>
          <w:szCs w:val="32"/>
        </w:rPr>
        <w:t>依法</w:t>
      </w:r>
      <w:r>
        <w:rPr>
          <w:rFonts w:ascii="仿宋_GB2312" w:eastAsia="仿宋_GB2312"/>
          <w:sz w:val="32"/>
          <w:szCs w:val="32"/>
        </w:rPr>
        <w:t>设立的群团组织</w:t>
      </w:r>
      <w:r>
        <w:rPr>
          <w:rFonts w:hint="eastAsia" w:ascii="仿宋_GB2312" w:eastAsia="仿宋_GB2312"/>
          <w:sz w:val="32"/>
          <w:szCs w:val="32"/>
        </w:rPr>
        <w:t>表彰</w:t>
      </w:r>
      <w:r>
        <w:rPr>
          <w:rFonts w:ascii="仿宋_GB2312" w:eastAsia="仿宋_GB2312"/>
          <w:sz w:val="32"/>
          <w:szCs w:val="32"/>
        </w:rPr>
        <w:t>奖励</w:t>
      </w:r>
      <w:r>
        <w:rPr>
          <w:rFonts w:hint="eastAsia" w:ascii="仿宋_GB2312" w:eastAsia="仿宋_GB2312"/>
          <w:sz w:val="32"/>
          <w:szCs w:val="32"/>
        </w:rPr>
        <w:t>，所形成的行为</w:t>
      </w:r>
      <w:r>
        <w:rPr>
          <w:rFonts w:ascii="仿宋_GB2312" w:eastAsia="仿宋_GB2312"/>
          <w:sz w:val="32"/>
          <w:szCs w:val="32"/>
        </w:rPr>
        <w:t>记录。</w:t>
      </w:r>
    </w:p>
    <w:p>
      <w:pPr>
        <w:ind w:firstLine="645"/>
        <w:rPr>
          <w:rFonts w:ascii="仿宋_GB2312" w:eastAsia="仿宋_GB2312"/>
          <w:sz w:val="32"/>
          <w:szCs w:val="32"/>
        </w:rPr>
      </w:pPr>
      <w:r>
        <w:rPr>
          <w:rFonts w:hint="eastAsia" w:ascii="楷体_GB2312" w:hAnsi="黑体" w:eastAsia="楷体_GB2312"/>
          <w:sz w:val="32"/>
          <w:szCs w:val="32"/>
        </w:rPr>
        <w:t xml:space="preserve">第九条  </w:t>
      </w:r>
      <w:r>
        <w:rPr>
          <w:rFonts w:hint="eastAsia" w:ascii="仿宋_GB2312" w:eastAsia="仿宋_GB2312"/>
          <w:sz w:val="32"/>
          <w:szCs w:val="32"/>
        </w:rPr>
        <w:t>不良信用信息是指企业在我市行政区域内生产经营活动中违反有关法律、法规、强制性标准和管理要求等，</w:t>
      </w:r>
      <w:r>
        <w:rPr>
          <w:rFonts w:hint="eastAsia" w:ascii="仿宋_GB2312" w:eastAsia="仿宋_GB2312"/>
          <w:sz w:val="32"/>
          <w:szCs w:val="32"/>
          <w:lang w:val="en-US" w:eastAsia="zh-CN"/>
        </w:rPr>
        <w:t>受到</w:t>
      </w:r>
      <w:r>
        <w:rPr>
          <w:rFonts w:hint="eastAsia" w:ascii="仿宋_GB2312" w:eastAsia="仿宋_GB2312"/>
          <w:sz w:val="32"/>
          <w:szCs w:val="32"/>
        </w:rPr>
        <w:t>县级以上住房城乡建设主管部门行政处罚的信息，以及经有关部门认定的其他不良信用信息</w:t>
      </w:r>
      <w:r>
        <w:rPr>
          <w:rFonts w:ascii="仿宋_GB2312" w:eastAsia="仿宋_GB2312"/>
          <w:sz w:val="32"/>
          <w:szCs w:val="32"/>
        </w:rPr>
        <w:t>。</w:t>
      </w:r>
    </w:p>
    <w:p>
      <w:pPr>
        <w:ind w:firstLine="645"/>
        <w:rPr>
          <w:rFonts w:ascii="仿宋_GB2312" w:eastAsia="仿宋_GB2312"/>
          <w:sz w:val="32"/>
          <w:szCs w:val="32"/>
        </w:rPr>
      </w:pPr>
      <w:r>
        <w:rPr>
          <w:rFonts w:hint="eastAsia" w:ascii="楷体_GB2312" w:eastAsia="楷体_GB2312"/>
          <w:sz w:val="32"/>
          <w:szCs w:val="32"/>
        </w:rPr>
        <w:t>第十条</w:t>
      </w:r>
      <w:r>
        <w:rPr>
          <w:rFonts w:hint="eastAsia" w:ascii="仿宋_GB2312" w:eastAsia="仿宋_GB2312"/>
          <w:sz w:val="32"/>
          <w:szCs w:val="32"/>
        </w:rPr>
        <w:t xml:space="preserve">  企业有下列行为之一的，实行“一票否决”，列入“黑名单”。</w:t>
      </w:r>
    </w:p>
    <w:p>
      <w:pPr>
        <w:ind w:firstLine="645"/>
        <w:rPr>
          <w:rFonts w:ascii="仿宋_GB2312" w:eastAsia="仿宋_GB2312"/>
          <w:sz w:val="32"/>
          <w:szCs w:val="32"/>
        </w:rPr>
      </w:pPr>
      <w:r>
        <w:rPr>
          <w:rFonts w:hint="eastAsia" w:ascii="仿宋_GB2312" w:eastAsia="仿宋_GB2312"/>
          <w:sz w:val="32"/>
          <w:szCs w:val="32"/>
        </w:rPr>
        <w:t>（一）利用虚假材料、以欺骗手段取得企业资质的。</w:t>
      </w:r>
    </w:p>
    <w:p>
      <w:pPr>
        <w:ind w:firstLine="645"/>
        <w:rPr>
          <w:rFonts w:ascii="仿宋_GB2312" w:eastAsia="仿宋_GB2312"/>
          <w:sz w:val="32"/>
          <w:szCs w:val="32"/>
        </w:rPr>
      </w:pPr>
      <w:r>
        <w:rPr>
          <w:rFonts w:hint="eastAsia" w:ascii="仿宋_GB2312" w:eastAsia="仿宋_GB2312"/>
          <w:sz w:val="32"/>
          <w:szCs w:val="32"/>
        </w:rPr>
        <w:t>（二）发生违法</w:t>
      </w:r>
      <w:r>
        <w:rPr>
          <w:rFonts w:ascii="仿宋_GB2312" w:eastAsia="仿宋_GB2312"/>
          <w:sz w:val="32"/>
          <w:szCs w:val="32"/>
        </w:rPr>
        <w:t>发包、</w:t>
      </w:r>
      <w:r>
        <w:rPr>
          <w:rFonts w:hint="eastAsia" w:ascii="仿宋_GB2312" w:eastAsia="仿宋_GB2312"/>
          <w:sz w:val="32"/>
          <w:szCs w:val="32"/>
        </w:rPr>
        <w:t>转包、违法</w:t>
      </w:r>
      <w:r>
        <w:rPr>
          <w:rFonts w:ascii="仿宋_GB2312" w:eastAsia="仿宋_GB2312"/>
          <w:sz w:val="32"/>
          <w:szCs w:val="32"/>
        </w:rPr>
        <w:t>分包、挂靠及</w:t>
      </w:r>
      <w:r>
        <w:rPr>
          <w:rFonts w:hint="eastAsia" w:ascii="仿宋_GB2312" w:eastAsia="仿宋_GB2312"/>
          <w:sz w:val="32"/>
          <w:szCs w:val="32"/>
        </w:rPr>
        <w:t>出借资质，受到行政处罚的。</w:t>
      </w:r>
    </w:p>
    <w:p>
      <w:pPr>
        <w:ind w:firstLine="645"/>
        <w:rPr>
          <w:rFonts w:ascii="仿宋_GB2312" w:eastAsia="仿宋_GB2312"/>
          <w:sz w:val="32"/>
          <w:szCs w:val="32"/>
        </w:rPr>
      </w:pPr>
      <w:r>
        <w:rPr>
          <w:rFonts w:hint="eastAsia" w:ascii="仿宋_GB2312" w:eastAsia="仿宋_GB2312"/>
          <w:sz w:val="32"/>
          <w:szCs w:val="32"/>
        </w:rPr>
        <w:t xml:space="preserve">（三）单位违规使用“挂证”人员，受到行政处罚的。 </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（四）发生安全</w:t>
      </w:r>
      <w:r>
        <w:rPr>
          <w:rFonts w:ascii="仿宋_GB2312" w:eastAsia="仿宋_GB2312"/>
          <w:sz w:val="32"/>
          <w:szCs w:val="32"/>
        </w:rPr>
        <w:t>生产或</w:t>
      </w:r>
      <w:r>
        <w:rPr>
          <w:rFonts w:hint="eastAsia" w:ascii="仿宋_GB2312" w:eastAsia="仿宋_GB2312"/>
          <w:sz w:val="32"/>
          <w:szCs w:val="32"/>
        </w:rPr>
        <w:t>重大及以上工程质量事故，或1年内累计发生2次及以上较大工程质量事故，或发生性质恶劣、危害性严重、社会影响大的较大工程质量事故，受到行政处罚的。</w:t>
      </w:r>
    </w:p>
    <w:p>
      <w:pPr>
        <w:ind w:firstLine="645"/>
        <w:rPr>
          <w:rFonts w:ascii="仿宋_GB2312" w:eastAsia="仿宋_GB2312"/>
          <w:sz w:val="32"/>
          <w:szCs w:val="32"/>
        </w:rPr>
      </w:pPr>
      <w:r>
        <w:rPr>
          <w:rFonts w:hint="eastAsia" w:ascii="仿宋_GB2312" w:eastAsia="仿宋_GB2312"/>
          <w:sz w:val="32"/>
          <w:szCs w:val="32"/>
        </w:rPr>
        <w:t>（五）发生恶意拖欠民工工资案件的。</w:t>
      </w:r>
    </w:p>
    <w:p>
      <w:pPr>
        <w:ind w:firstLine="645"/>
        <w:rPr>
          <w:rFonts w:ascii="仿宋_GB2312" w:eastAsia="仿宋_GB2312"/>
          <w:sz w:val="32"/>
          <w:szCs w:val="32"/>
        </w:rPr>
      </w:pPr>
      <w:r>
        <w:rPr>
          <w:rFonts w:hint="eastAsia" w:ascii="仿宋_GB2312" w:eastAsia="仿宋_GB2312"/>
          <w:sz w:val="32"/>
          <w:szCs w:val="32"/>
        </w:rPr>
        <w:t>（六）经法院判决或仲裁机构裁决，认定为拖欠工程款，且拒不履行生效法律文书确定的义务的。</w:t>
      </w:r>
    </w:p>
    <w:p>
      <w:pPr>
        <w:ind w:firstLine="645"/>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被</w:t>
      </w:r>
      <w:r>
        <w:rPr>
          <w:rFonts w:hint="eastAsia" w:ascii="仿宋_GB2312" w:eastAsia="仿宋_GB2312"/>
          <w:sz w:val="32"/>
          <w:szCs w:val="32"/>
        </w:rPr>
        <w:t>列入拖欠民工工资“黑名单”的。</w:t>
      </w:r>
    </w:p>
    <w:p>
      <w:pPr>
        <w:ind w:firstLine="645"/>
        <w:rPr>
          <w:rFonts w:ascii="仿宋_GB2312" w:eastAsia="仿宋_GB2312"/>
          <w:sz w:val="32"/>
          <w:szCs w:val="32"/>
        </w:rPr>
      </w:pPr>
      <w:r>
        <w:rPr>
          <w:rFonts w:hint="eastAsia" w:ascii="仿宋_GB2312" w:eastAsia="仿宋_GB2312"/>
          <w:sz w:val="32"/>
          <w:szCs w:val="32"/>
        </w:rPr>
        <w:t>（八）在工程建设活动中，因扰乱市场秩序受到公安机关治安处罚或经司法部门认定负有刑事责任的。</w:t>
      </w:r>
    </w:p>
    <w:p>
      <w:pPr>
        <w:ind w:firstLine="645"/>
        <w:rPr>
          <w:rFonts w:ascii="仿宋_GB2312" w:eastAsia="仿宋_GB2312"/>
          <w:sz w:val="32"/>
          <w:szCs w:val="32"/>
        </w:rPr>
      </w:pPr>
      <w:r>
        <w:rPr>
          <w:rFonts w:hint="eastAsia" w:ascii="仿宋_GB2312" w:eastAsia="仿宋_GB2312"/>
          <w:sz w:val="32"/>
          <w:szCs w:val="32"/>
        </w:rPr>
        <w:t>（九）扬尘防治措施不到位</w:t>
      </w:r>
      <w:r>
        <w:rPr>
          <w:rFonts w:ascii="仿宋_GB2312" w:eastAsia="仿宋_GB2312"/>
          <w:sz w:val="32"/>
          <w:szCs w:val="32"/>
        </w:rPr>
        <w:t>并造成严重社会影响的</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第十一条  </w:t>
      </w:r>
      <w:r>
        <w:rPr>
          <w:rFonts w:hint="eastAsia" w:ascii="仿宋_GB2312" w:eastAsia="仿宋_GB2312"/>
          <w:sz w:val="32"/>
          <w:szCs w:val="32"/>
        </w:rPr>
        <w:t>除县级以上住房城乡建设主管部门作出的行政处罚信息外，其他不良信用信息和“黑名单”应经住房城乡建设主管部门或有关部门认定。</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第十二条</w:t>
      </w:r>
      <w:r>
        <w:rPr>
          <w:rFonts w:hint="eastAsia" w:eastAsia="仿宋_GB2312"/>
          <w:sz w:val="32"/>
          <w:szCs w:val="32"/>
        </w:rPr>
        <w:t xml:space="preserve">  </w:t>
      </w:r>
      <w:r>
        <w:rPr>
          <w:rFonts w:hint="eastAsia" w:ascii="仿宋_GB2312" w:eastAsia="仿宋_GB2312"/>
          <w:sz w:val="32"/>
          <w:szCs w:val="32"/>
        </w:rPr>
        <w:t>不良信用信息和“黑名单”包括企业名称、统一社会信用代码、法定代表人、行政处罚决定、列入部门、管理期限等。</w:t>
      </w:r>
    </w:p>
    <w:p>
      <w:pPr>
        <w:ind w:firstLine="645"/>
      </w:pPr>
      <w:r>
        <w:rPr>
          <w:rFonts w:hint="eastAsia" w:ascii="楷体_GB2312" w:eastAsia="楷体_GB2312"/>
          <w:sz w:val="32"/>
          <w:szCs w:val="32"/>
        </w:rPr>
        <w:t>第十三条</w:t>
      </w:r>
      <w:r>
        <w:rPr>
          <w:rFonts w:hint="eastAsia" w:eastAsia="仿宋_GB2312"/>
          <w:sz w:val="32"/>
          <w:szCs w:val="32"/>
        </w:rPr>
        <w:t xml:space="preserve">  企</w:t>
      </w:r>
      <w:r>
        <w:rPr>
          <w:rFonts w:hint="eastAsia" w:ascii="仿宋_GB2312" w:eastAsia="仿宋_GB2312"/>
          <w:sz w:val="32"/>
          <w:szCs w:val="32"/>
        </w:rPr>
        <w:t>业信用信息汇总形成信用档案。</w:t>
      </w:r>
    </w:p>
    <w:p>
      <w:pPr>
        <w:spacing w:beforeLines="50" w:afterLines="50"/>
        <w:jc w:val="center"/>
        <w:rPr>
          <w:rFonts w:ascii="仿宋_GB2312" w:eastAsia="仿宋_GB2312"/>
          <w:sz w:val="32"/>
          <w:szCs w:val="32"/>
        </w:rPr>
      </w:pPr>
      <w:r>
        <w:rPr>
          <w:rFonts w:hint="eastAsia" w:ascii="黑体" w:hAnsi="黑体" w:eastAsia="黑体"/>
          <w:sz w:val="32"/>
          <w:szCs w:val="32"/>
        </w:rPr>
        <w:t>第三章  信用信息归集与交换</w:t>
      </w:r>
    </w:p>
    <w:p>
      <w:pPr>
        <w:ind w:firstLine="645"/>
        <w:rPr>
          <w:rFonts w:ascii="仿宋_GB2312" w:eastAsia="仿宋_GB2312"/>
          <w:sz w:val="32"/>
          <w:szCs w:val="32"/>
          <w:highlight w:val="lightGray"/>
        </w:rPr>
      </w:pPr>
      <w:r>
        <w:rPr>
          <w:rFonts w:hint="eastAsia" w:ascii="楷体_GB2312" w:hAnsi="黑体" w:eastAsia="楷体_GB2312"/>
          <w:sz w:val="32"/>
          <w:szCs w:val="32"/>
        </w:rPr>
        <w:t xml:space="preserve">第十四条  </w:t>
      </w:r>
      <w:r>
        <w:rPr>
          <w:rFonts w:hint="eastAsia" w:ascii="仿宋_GB2312" w:eastAsia="仿宋_GB2312"/>
          <w:sz w:val="32"/>
          <w:szCs w:val="32"/>
        </w:rPr>
        <w:t>各级住房城乡建设主管部门通过市平台，认定、归集、审核、更新、变更和公开本行政区域内企业的信用信息。</w:t>
      </w:r>
    </w:p>
    <w:p>
      <w:pPr>
        <w:ind w:firstLine="645"/>
        <w:rPr>
          <w:rFonts w:ascii="仿宋_GB2312" w:eastAsia="仿宋_GB2312"/>
          <w:sz w:val="32"/>
          <w:szCs w:val="32"/>
        </w:rPr>
      </w:pPr>
      <w:r>
        <w:rPr>
          <w:rFonts w:hint="eastAsia" w:ascii="仿宋_GB2312" w:eastAsia="仿宋_GB2312"/>
          <w:sz w:val="32"/>
          <w:szCs w:val="32"/>
        </w:rPr>
        <w:t>按照“谁监管、谁负责”的原则，各级住房城乡建设主管部门负责审核企业信用信息的及时性、真实性和完整性。</w:t>
      </w:r>
    </w:p>
    <w:p>
      <w:pPr>
        <w:ind w:firstLine="645"/>
      </w:pPr>
      <w:r>
        <w:rPr>
          <w:rFonts w:hint="eastAsia" w:ascii="楷体_GB2312" w:hAnsi="黑体" w:eastAsia="楷体_GB2312"/>
          <w:sz w:val="32"/>
          <w:szCs w:val="32"/>
        </w:rPr>
        <w:t>第十五条</w:t>
      </w:r>
      <w:r>
        <w:rPr>
          <w:rFonts w:hint="eastAsia" w:ascii="仿宋_GB2312" w:eastAsia="仿宋_GB2312"/>
          <w:sz w:val="32"/>
          <w:szCs w:val="32"/>
        </w:rPr>
        <w:t xml:space="preserve">  信用信息提供单位应当保证所提供的信息真实、准确、完整，对提供信息内容的真实性负责。</w:t>
      </w:r>
    </w:p>
    <w:p>
      <w:pPr>
        <w:ind w:firstLine="645"/>
        <w:rPr>
          <w:rFonts w:ascii="仿宋_GB2312" w:eastAsia="仿宋_GB2312"/>
          <w:sz w:val="32"/>
          <w:szCs w:val="32"/>
        </w:rPr>
      </w:pPr>
      <w:r>
        <w:rPr>
          <w:rFonts w:hint="eastAsia" w:ascii="楷体_GB2312" w:eastAsia="楷体_GB2312"/>
          <w:sz w:val="32"/>
          <w:szCs w:val="32"/>
        </w:rPr>
        <w:t xml:space="preserve">第十六条  </w:t>
      </w:r>
      <w:r>
        <w:rPr>
          <w:rFonts w:hint="eastAsia" w:ascii="仿宋_GB2312" w:eastAsia="仿宋_GB2312"/>
          <w:sz w:val="32"/>
          <w:szCs w:val="32"/>
        </w:rPr>
        <w:t>优良信</w:t>
      </w:r>
      <w:r>
        <w:rPr>
          <w:rFonts w:ascii="仿宋_GB2312" w:eastAsia="仿宋_GB2312"/>
          <w:sz w:val="32"/>
          <w:szCs w:val="32"/>
        </w:rPr>
        <w:t>用信息，</w:t>
      </w:r>
      <w:r>
        <w:rPr>
          <w:rFonts w:hint="eastAsia" w:ascii="仿宋_GB2312" w:eastAsia="仿宋_GB2312"/>
          <w:sz w:val="32"/>
          <w:szCs w:val="32"/>
        </w:rPr>
        <w:t>由</w:t>
      </w:r>
      <w:r>
        <w:rPr>
          <w:rFonts w:ascii="仿宋_GB2312" w:eastAsia="仿宋_GB2312"/>
          <w:sz w:val="32"/>
          <w:szCs w:val="32"/>
        </w:rPr>
        <w:t>企业</w:t>
      </w:r>
      <w:r>
        <w:rPr>
          <w:rFonts w:hint="eastAsia" w:ascii="仿宋_GB2312" w:eastAsia="仿宋_GB2312"/>
          <w:sz w:val="32"/>
          <w:szCs w:val="32"/>
        </w:rPr>
        <w:t>登陆市平台，按照《市政施工企业优良信用信息</w:t>
      </w:r>
      <w:r>
        <w:rPr>
          <w:rFonts w:hint="eastAsia" w:ascii="仿宋_GB2312" w:eastAsia="仿宋_GB2312"/>
          <w:sz w:val="32"/>
          <w:szCs w:val="32"/>
          <w:lang w:val="en-US" w:eastAsia="zh-CN"/>
        </w:rPr>
        <w:t>记</w:t>
      </w:r>
      <w:r>
        <w:rPr>
          <w:rFonts w:hint="eastAsia" w:ascii="仿宋_GB2312" w:eastAsia="仿宋_GB2312"/>
          <w:sz w:val="32"/>
          <w:szCs w:val="32"/>
        </w:rPr>
        <w:t>分标准》自行申报，经县市区、市属开发区住房城乡建设主管部门审核，网上公示</w:t>
      </w:r>
      <w:r>
        <w:rPr>
          <w:rFonts w:hint="eastAsia" w:ascii="仿宋_GB2312" w:eastAsia="仿宋_GB2312"/>
          <w:sz w:val="32"/>
          <w:szCs w:val="32"/>
          <w:lang w:val="en-US" w:eastAsia="zh-CN"/>
        </w:rPr>
        <w:t>5</w:t>
      </w:r>
      <w:r>
        <w:rPr>
          <w:rFonts w:hint="eastAsia" w:ascii="仿宋_GB2312" w:eastAsia="仿宋_GB2312"/>
          <w:sz w:val="32"/>
          <w:szCs w:val="32"/>
        </w:rPr>
        <w:t>个工作日且无异议后，信用信息入库，并依法向社会公开。</w:t>
      </w:r>
    </w:p>
    <w:p>
      <w:pPr>
        <w:ind w:firstLine="645"/>
        <w:rPr>
          <w:rFonts w:ascii="仿宋_GB2312" w:eastAsia="仿宋_GB2312"/>
          <w:sz w:val="32"/>
          <w:szCs w:val="32"/>
        </w:rPr>
      </w:pPr>
      <w:r>
        <w:rPr>
          <w:rFonts w:hint="eastAsia" w:ascii="仿宋_GB2312" w:eastAsia="仿宋_GB2312"/>
          <w:sz w:val="32"/>
          <w:szCs w:val="32"/>
        </w:rPr>
        <w:t>未报送、未公布的优良信用信息在信用评价时不予采用。</w:t>
      </w:r>
    </w:p>
    <w:p>
      <w:pPr>
        <w:ind w:firstLine="645"/>
        <w:rPr>
          <w:rFonts w:ascii="仿宋_GB2312" w:eastAsia="仿宋_GB2312"/>
          <w:sz w:val="32"/>
          <w:szCs w:val="32"/>
        </w:rPr>
      </w:pPr>
      <w:r>
        <w:rPr>
          <w:rFonts w:hint="eastAsia" w:ascii="楷体_GB2312" w:eastAsia="楷体_GB2312"/>
          <w:sz w:val="32"/>
          <w:szCs w:val="32"/>
        </w:rPr>
        <w:t>第十七条</w:t>
      </w:r>
      <w:r>
        <w:rPr>
          <w:rFonts w:hint="eastAsia" w:ascii="仿宋_GB2312" w:eastAsia="仿宋_GB2312"/>
          <w:sz w:val="32"/>
          <w:szCs w:val="32"/>
        </w:rPr>
        <w:t xml:space="preserve">  不良信用信息，由各级住房城乡建设主管部门及相关部门直接录入市平台，网上公示</w:t>
      </w:r>
      <w:r>
        <w:rPr>
          <w:rFonts w:hint="eastAsia" w:ascii="仿宋_GB2312" w:eastAsia="仿宋_GB2312"/>
          <w:sz w:val="32"/>
          <w:szCs w:val="32"/>
          <w:lang w:val="en-US" w:eastAsia="zh-CN"/>
        </w:rPr>
        <w:t>5</w:t>
      </w:r>
      <w:r>
        <w:rPr>
          <w:rFonts w:hint="eastAsia" w:ascii="仿宋_GB2312" w:eastAsia="仿宋_GB2312"/>
          <w:sz w:val="32"/>
          <w:szCs w:val="32"/>
        </w:rPr>
        <w:t>个工作日无异议后，信用信息入库，并依法向社会公开。</w:t>
      </w:r>
    </w:p>
    <w:p>
      <w:pPr>
        <w:ind w:firstLine="645"/>
        <w:rPr>
          <w:rFonts w:ascii="仿宋_GB2312" w:eastAsia="仿宋_GB2312"/>
          <w:sz w:val="32"/>
          <w:szCs w:val="32"/>
        </w:rPr>
      </w:pPr>
      <w:r>
        <w:rPr>
          <w:rFonts w:hint="eastAsia" w:ascii="仿宋_GB2312" w:eastAsia="仿宋_GB2312"/>
          <w:sz w:val="32"/>
          <w:szCs w:val="32"/>
        </w:rPr>
        <w:t>不良信用信息实行告知制度，由信用评价具体实施单位制作</w:t>
      </w:r>
      <w:r>
        <w:rPr>
          <w:rFonts w:ascii="仿宋_GB2312" w:eastAsia="仿宋_GB2312"/>
          <w:sz w:val="32"/>
          <w:szCs w:val="32"/>
        </w:rPr>
        <w:t>不良</w:t>
      </w:r>
      <w:r>
        <w:rPr>
          <w:rFonts w:hint="eastAsia" w:ascii="仿宋_GB2312" w:eastAsia="仿宋_GB2312"/>
          <w:sz w:val="32"/>
          <w:szCs w:val="32"/>
        </w:rPr>
        <w:t>信用</w:t>
      </w:r>
      <w:r>
        <w:rPr>
          <w:rFonts w:ascii="仿宋_GB2312" w:eastAsia="仿宋_GB2312"/>
          <w:sz w:val="32"/>
          <w:szCs w:val="32"/>
        </w:rPr>
        <w:t>信息告知单，</w:t>
      </w:r>
      <w:r>
        <w:rPr>
          <w:rFonts w:hint="eastAsia" w:ascii="仿宋_GB2312" w:eastAsia="仿宋_GB2312"/>
          <w:sz w:val="32"/>
          <w:szCs w:val="32"/>
        </w:rPr>
        <w:t>同时送达企业。</w:t>
      </w:r>
    </w:p>
    <w:p>
      <w:pPr>
        <w:ind w:firstLine="645"/>
        <w:rPr>
          <w:rFonts w:ascii="仿宋_GB2312" w:eastAsia="仿宋_GB2312"/>
          <w:sz w:val="32"/>
          <w:szCs w:val="32"/>
        </w:rPr>
      </w:pPr>
      <w:r>
        <w:rPr>
          <w:rFonts w:hint="eastAsia" w:ascii="楷体_GB2312" w:eastAsia="楷体_GB2312"/>
          <w:sz w:val="32"/>
          <w:szCs w:val="32"/>
        </w:rPr>
        <w:t>第十八条</w:t>
      </w:r>
      <w:r>
        <w:rPr>
          <w:rFonts w:hint="eastAsia" w:ascii="仿宋_GB2312" w:eastAsia="仿宋_GB2312"/>
          <w:sz w:val="32"/>
          <w:szCs w:val="32"/>
        </w:rPr>
        <w:t xml:space="preserve">  企业对信用信息有异议时，应在公示后5个</w:t>
      </w:r>
      <w:r>
        <w:rPr>
          <w:rFonts w:ascii="仿宋_GB2312" w:eastAsia="仿宋_GB2312"/>
          <w:sz w:val="32"/>
          <w:szCs w:val="32"/>
        </w:rPr>
        <w:t>工作日</w:t>
      </w:r>
      <w:r>
        <w:rPr>
          <w:rFonts w:hint="eastAsia" w:ascii="仿宋_GB2312" w:eastAsia="仿宋_GB2312"/>
          <w:sz w:val="32"/>
          <w:szCs w:val="32"/>
        </w:rPr>
        <w:t>内向当地或市级住房城乡建设主管部门提出书面申辩，并提供相关证明材料。住房城乡建设主管部门接到书面申辩后</w:t>
      </w:r>
      <w:r>
        <w:rPr>
          <w:rFonts w:ascii="仿宋_GB2312" w:eastAsia="仿宋_GB2312"/>
          <w:sz w:val="32"/>
          <w:szCs w:val="32"/>
        </w:rPr>
        <w:t>5</w:t>
      </w:r>
      <w:r>
        <w:rPr>
          <w:rFonts w:hint="eastAsia" w:ascii="仿宋_GB2312" w:eastAsia="仿宋_GB2312"/>
          <w:sz w:val="32"/>
          <w:szCs w:val="32"/>
        </w:rPr>
        <w:t>个工作日内进行核查，查证确属</w:t>
      </w:r>
      <w:r>
        <w:rPr>
          <w:rFonts w:ascii="仿宋_GB2312" w:eastAsia="仿宋_GB2312"/>
          <w:sz w:val="32"/>
          <w:szCs w:val="32"/>
        </w:rPr>
        <w:t>有误</w:t>
      </w:r>
      <w:r>
        <w:rPr>
          <w:rFonts w:hint="eastAsia" w:ascii="仿宋_GB2312" w:eastAsia="仿宋_GB2312"/>
          <w:sz w:val="32"/>
          <w:szCs w:val="32"/>
        </w:rPr>
        <w:t>的，予以修正。</w:t>
      </w:r>
    </w:p>
    <w:p>
      <w:pPr>
        <w:ind w:firstLine="645"/>
        <w:rPr>
          <w:rFonts w:ascii="仿宋_GB2312" w:eastAsia="仿宋_GB2312"/>
          <w:sz w:val="32"/>
          <w:szCs w:val="32"/>
        </w:rPr>
      </w:pPr>
      <w:r>
        <w:rPr>
          <w:rFonts w:hint="eastAsia" w:ascii="楷体_GB2312" w:eastAsia="楷体_GB2312"/>
          <w:sz w:val="32"/>
          <w:szCs w:val="32"/>
        </w:rPr>
        <w:t>第十九条</w:t>
      </w:r>
      <w:r>
        <w:rPr>
          <w:rFonts w:hint="eastAsia" w:ascii="仿宋_GB2312" w:eastAsia="仿宋_GB2312"/>
          <w:sz w:val="32"/>
          <w:szCs w:val="32"/>
        </w:rPr>
        <w:t xml:space="preserve">  各级住房城乡建设主管部门应当加强与发展改革、人民银行、人民法院、人力资源社会保障、生态环境、交通运输、水利、市场监管、行政审批、税务、城市管理等部门和单位的联系，加快推进信用信息系统的互联互通，逐步建立信用信息共享机制。</w:t>
      </w:r>
    </w:p>
    <w:p>
      <w:pPr>
        <w:spacing w:beforeLines="50" w:afterLines="50"/>
        <w:jc w:val="center"/>
        <w:rPr>
          <w:rFonts w:ascii="黑体" w:hAnsi="黑体" w:eastAsia="黑体"/>
          <w:sz w:val="32"/>
          <w:szCs w:val="32"/>
        </w:rPr>
      </w:pPr>
      <w:r>
        <w:rPr>
          <w:rFonts w:hint="eastAsia" w:ascii="黑体" w:hAnsi="黑体" w:eastAsia="黑体"/>
          <w:sz w:val="32"/>
          <w:szCs w:val="32"/>
        </w:rPr>
        <w:t>第四章  信用信息公开与修复</w:t>
      </w:r>
    </w:p>
    <w:p>
      <w:pPr>
        <w:ind w:firstLine="645"/>
        <w:rPr>
          <w:rFonts w:ascii="楷体_GB2312" w:eastAsia="楷体_GB2312"/>
          <w:sz w:val="32"/>
          <w:szCs w:val="32"/>
        </w:rPr>
      </w:pPr>
      <w:r>
        <w:rPr>
          <w:rFonts w:hint="eastAsia" w:ascii="楷体_GB2312" w:eastAsia="楷体_GB2312"/>
          <w:sz w:val="32"/>
          <w:szCs w:val="32"/>
        </w:rPr>
        <w:t>第二十条</w:t>
      </w:r>
      <w:r>
        <w:rPr>
          <w:rFonts w:hint="eastAsia" w:eastAsia="仿宋_GB2312"/>
          <w:sz w:val="32"/>
          <w:szCs w:val="32"/>
        </w:rPr>
        <w:t xml:space="preserve">  </w:t>
      </w:r>
      <w:r>
        <w:rPr>
          <w:rFonts w:hint="eastAsia" w:ascii="仿宋_GB2312" w:eastAsia="仿宋_GB2312"/>
          <w:sz w:val="32"/>
          <w:szCs w:val="32"/>
        </w:rPr>
        <w:t>住房城乡建设主管部门应当完善信用信息公开制度。公开企业信用信息不得危及国家安全、公共安全、经济安全和社会稳定，不得泄露国家秘密，不得侵犯商业秘密和个人隐私。</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第二十一条</w:t>
      </w:r>
      <w:r>
        <w:rPr>
          <w:rFonts w:hint="eastAsia" w:eastAsia="仿宋_GB2312"/>
          <w:sz w:val="32"/>
          <w:szCs w:val="32"/>
        </w:rPr>
        <w:t xml:space="preserve">  </w:t>
      </w:r>
      <w:r>
        <w:rPr>
          <w:rFonts w:hint="eastAsia" w:ascii="仿宋_GB2312" w:eastAsia="仿宋_GB2312"/>
          <w:sz w:val="32"/>
          <w:szCs w:val="32"/>
        </w:rPr>
        <w:t>企业信用信息公开期限为：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（一）基本信息长期公开。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（二）优良信用信息公开期限为3年。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（三）不良信用信息公开期限为1年，并不得低于相关行政处罚期限。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黑名单”管理期限为自被列入之日起1年。企业在管理期限内未再次发生“黑名单”情形行为的，期满后由原列入部门将其从“黑名单”移出，转为不良信用信息再公开2年，并不得低于相关行政处罚期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（二）、（三）、（四）项信息公开期满后，由原列入部门将该信息从公开或者查询界面删除，转入企业信用档案长期保存。</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第二十二条 </w:t>
      </w:r>
      <w:r>
        <w:rPr>
          <w:rFonts w:hint="eastAsia" w:eastAsia="仿宋_GB2312"/>
          <w:sz w:val="32"/>
          <w:szCs w:val="32"/>
        </w:rPr>
        <w:t xml:space="preserve"> </w:t>
      </w:r>
      <w:r>
        <w:rPr>
          <w:rFonts w:hint="eastAsia" w:ascii="仿宋_GB2312" w:eastAsia="仿宋_GB2312"/>
          <w:sz w:val="32"/>
          <w:szCs w:val="32"/>
        </w:rPr>
        <w:t>表彰奖励、行政处罚被依法变更或撤销的，负责信息归集的住房城乡建设主管部门应及时变更或删除相关信用信息。</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 xml:space="preserve">第二十三条  </w:t>
      </w:r>
      <w:r>
        <w:rPr>
          <w:rFonts w:hint="eastAsia" w:ascii="仿宋_GB2312" w:eastAsia="仿宋_GB2312"/>
          <w:sz w:val="32"/>
          <w:szCs w:val="32"/>
        </w:rPr>
        <w:t>在不良信息公开期限内，企业在行政处罚期结束后主动纠正不良信用行为，消除不良影响，建立防范措施且确有实效的，可采取作出信用承诺、通过信用核查、提交信用报告等方式，按规定向作出不良信用行为认定的各级住房城乡建设主管部门提出信用修复申请，受理单位应在10个工作日内作出是否修复决定。</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第二十四条 </w:t>
      </w:r>
      <w:r>
        <w:rPr>
          <w:rFonts w:hint="eastAsia" w:ascii="仿宋_GB2312" w:eastAsia="仿宋_GB2312"/>
          <w:sz w:val="32"/>
          <w:szCs w:val="32"/>
        </w:rPr>
        <w:t xml:space="preserve"> 市住建局根据不良信用信息修复决定，调整不良信用信息扣分惩戒期限。</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第二十五条 </w:t>
      </w:r>
      <w:r>
        <w:rPr>
          <w:rFonts w:hint="eastAsia" w:ascii="仿宋_GB2312" w:eastAsia="仿宋_GB2312"/>
          <w:sz w:val="32"/>
          <w:szCs w:val="32"/>
        </w:rPr>
        <w:t xml:space="preserve"> “黑名单”管理期限为自被列入名单之日起1年内，不缩短惩戒期限；其他因行政处罚记录不良信用信息实施信用修复的，惩戒期限可缩短为不少于6个月，但不得低于行政处罚期限；其他认定的不良信用信息实施信用修复的，惩戒期限可缩短为不少于6个月。</w:t>
      </w:r>
    </w:p>
    <w:p>
      <w:pPr>
        <w:ind w:firstLine="645"/>
        <w:rPr>
          <w:rFonts w:ascii="楷体_GB2312" w:eastAsia="楷体_GB2312"/>
          <w:sz w:val="32"/>
          <w:szCs w:val="32"/>
          <w:highlight w:val="lightGray"/>
        </w:rPr>
      </w:pPr>
      <w:r>
        <w:rPr>
          <w:rFonts w:hint="eastAsia" w:ascii="楷体_GB2312" w:eastAsia="楷体_GB2312"/>
          <w:sz w:val="32"/>
          <w:szCs w:val="32"/>
        </w:rPr>
        <w:t>第二十六条</w:t>
      </w:r>
      <w:r>
        <w:rPr>
          <w:rFonts w:hint="eastAsia" w:ascii="仿宋_GB2312" w:eastAsia="仿宋_GB2312"/>
          <w:sz w:val="32"/>
          <w:szCs w:val="32"/>
        </w:rPr>
        <w:t xml:space="preserve">  采用信用承诺等方式进行信用信息修复的企业，</w:t>
      </w:r>
      <w:r>
        <w:rPr>
          <w:rFonts w:ascii="仿宋_GB2312" w:eastAsia="仿宋_GB2312"/>
          <w:sz w:val="32"/>
          <w:szCs w:val="32"/>
        </w:rPr>
        <w:t>在一个评价周期</w:t>
      </w:r>
      <w:r>
        <w:rPr>
          <w:rFonts w:hint="eastAsia" w:ascii="仿宋_GB2312" w:eastAsia="仿宋_GB2312"/>
          <w:sz w:val="32"/>
          <w:szCs w:val="32"/>
        </w:rPr>
        <w:t>内再次发生同类不良信用信息，本周期内不再予以信用修复。</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信用评价与应用</w:t>
      </w:r>
    </w:p>
    <w:p>
      <w:pPr>
        <w:ind w:firstLine="645"/>
        <w:rPr>
          <w:rFonts w:ascii="楷体_GB2312" w:eastAsia="楷体_GB2312"/>
          <w:sz w:val="32"/>
          <w:szCs w:val="32"/>
        </w:rPr>
      </w:pPr>
      <w:r>
        <w:rPr>
          <w:rFonts w:hint="eastAsia" w:ascii="楷体_GB2312" w:eastAsia="楷体_GB2312"/>
          <w:sz w:val="32"/>
          <w:szCs w:val="32"/>
        </w:rPr>
        <w:t>第二十七条</w:t>
      </w:r>
      <w:r>
        <w:rPr>
          <w:rFonts w:hint="eastAsia" w:ascii="仿宋_GB2312" w:eastAsia="仿宋_GB2312"/>
          <w:sz w:val="32"/>
          <w:szCs w:val="32"/>
        </w:rPr>
        <w:t xml:space="preserve">  外地进潍市政施工企业在本市承接工程项目后，30日内应当参加本市信用评价，不满一个信用周期的，按其在注册地依法依规获得的信用评价结果予以使用；下个周期纳入本市信用评价体系进行管理，按在本市市场形成的信用信息进行评价。</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第二十八条</w:t>
      </w:r>
      <w:r>
        <w:rPr>
          <w:rFonts w:hint="eastAsia" w:ascii="仿宋_GB2312" w:eastAsia="仿宋_GB2312"/>
          <w:sz w:val="32"/>
          <w:szCs w:val="32"/>
        </w:rPr>
        <w:t xml:space="preserve">  企业信用评价主要包括企业综合实力、工程业绩、招标投标、合同履约、工程质量控制、安全生产、文明施工、成果质量、社会责任、民工工资发放、扬尘治理等优良</w:t>
      </w:r>
      <w:r>
        <w:rPr>
          <w:rFonts w:hint="eastAsia" w:ascii="仿宋_GB2312" w:eastAsia="仿宋_GB2312"/>
          <w:sz w:val="32"/>
          <w:szCs w:val="32"/>
          <w:lang w:eastAsia="zh-CN"/>
        </w:rPr>
        <w:t>、</w:t>
      </w:r>
      <w:r>
        <w:rPr>
          <w:rFonts w:hint="eastAsia" w:ascii="仿宋_GB2312" w:eastAsia="仿宋_GB2312"/>
          <w:sz w:val="32"/>
          <w:szCs w:val="32"/>
        </w:rPr>
        <w:t>不良信用信息及“黑名单</w:t>
      </w:r>
      <w:r>
        <w:rPr>
          <w:rFonts w:hint="eastAsia" w:ascii="仿宋_GB2312" w:eastAsia="仿宋_GB2312"/>
          <w:sz w:val="32"/>
          <w:szCs w:val="32"/>
          <w:lang w:eastAsia="zh-CN"/>
        </w:rPr>
        <w:t>”</w:t>
      </w:r>
      <w:r>
        <w:rPr>
          <w:rFonts w:hint="eastAsia" w:ascii="仿宋_GB2312" w:eastAsia="仿宋_GB2312"/>
          <w:sz w:val="32"/>
          <w:szCs w:val="32"/>
          <w:lang w:val="en-US" w:eastAsia="zh-CN"/>
        </w:rPr>
        <w:t>等内容</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第二十九条 </w:t>
      </w:r>
      <w:r>
        <w:rPr>
          <w:rFonts w:hint="eastAsia" w:ascii="仿宋_GB2312" w:eastAsia="仿宋_GB2312"/>
          <w:sz w:val="32"/>
          <w:szCs w:val="32"/>
        </w:rPr>
        <w:t xml:space="preserve"> 信用评价实行信用信息有效期制度，有效期内的信用信息纳入评价管理。信用信息有效期一般为1年。表彰奖励类优良信用信息有效期的起始时间为文件公布之日，施工业绩信息有效期的起始时间为市平台审核通过之日，社会贡献类信息有效期的起始时间为实际发生之日，不良信用信息有效期的起始时间为市平台审核通过之日。</w:t>
      </w:r>
    </w:p>
    <w:p>
      <w:pPr>
        <w:ind w:firstLine="645"/>
        <w:rPr>
          <w:rFonts w:ascii="仿宋_GB2312" w:eastAsia="仿宋_GB2312"/>
          <w:sz w:val="32"/>
          <w:szCs w:val="32"/>
        </w:rPr>
      </w:pPr>
      <w:r>
        <w:rPr>
          <w:rFonts w:hint="eastAsia" w:ascii="楷体_GB2312" w:eastAsia="楷体_GB2312"/>
          <w:sz w:val="32"/>
          <w:szCs w:val="32"/>
        </w:rPr>
        <w:t>第三十条</w:t>
      </w:r>
      <w:r>
        <w:rPr>
          <w:rFonts w:hint="eastAsia" w:ascii="仿宋_GB2312" w:eastAsia="仿宋_GB2312"/>
          <w:sz w:val="32"/>
          <w:szCs w:val="32"/>
        </w:rPr>
        <w:t xml:space="preserve">  信用评价实行动态</w:t>
      </w:r>
      <w:r>
        <w:rPr>
          <w:rFonts w:hint="eastAsia" w:ascii="仿宋_GB2312" w:eastAsia="仿宋_GB2312"/>
          <w:sz w:val="32"/>
          <w:szCs w:val="32"/>
          <w:lang w:val="en-US" w:eastAsia="zh-CN"/>
        </w:rPr>
        <w:t>计</w:t>
      </w:r>
      <w:r>
        <w:rPr>
          <w:rFonts w:hint="eastAsia" w:ascii="仿宋_GB2312" w:eastAsia="仿宋_GB2312"/>
          <w:sz w:val="32"/>
          <w:szCs w:val="32"/>
        </w:rPr>
        <w:t>分、年度评价制度。根据被评价企业有效期内信用信息实时进行分数加减，动态评价管理。每年1月1日至12月31日为一个评价周期，次年第一季度公布上一年度评价结果，评价结果有效期自公布之日起至下一评价周期评价结果公布之日止。</w:t>
      </w:r>
    </w:p>
    <w:p>
      <w:pPr>
        <w:ind w:firstLine="645"/>
        <w:rPr>
          <w:rFonts w:ascii="楷体_GB2312" w:eastAsia="楷体_GB2312"/>
          <w:sz w:val="32"/>
          <w:szCs w:val="32"/>
        </w:rPr>
      </w:pPr>
      <w:r>
        <w:rPr>
          <w:rFonts w:hint="eastAsia" w:ascii="楷体_GB2312" w:eastAsia="楷体_GB2312"/>
          <w:sz w:val="32"/>
          <w:szCs w:val="32"/>
        </w:rPr>
        <w:t>第三十一条</w:t>
      </w:r>
      <w:r>
        <w:rPr>
          <w:rFonts w:hint="eastAsia" w:ascii="仿宋_GB2312" w:eastAsia="仿宋_GB2312"/>
          <w:sz w:val="32"/>
          <w:szCs w:val="32"/>
        </w:rPr>
        <w:t xml:space="preserve">  本市市政施工总承包企业和外地进潍市政施工总承包企业信用评价工作分别进行。</w:t>
      </w:r>
    </w:p>
    <w:p>
      <w:pPr>
        <w:ind w:firstLine="645"/>
        <w:rPr>
          <w:rFonts w:ascii="仿宋_GB2312" w:eastAsia="仿宋_GB2312"/>
          <w:sz w:val="32"/>
          <w:szCs w:val="32"/>
        </w:rPr>
      </w:pPr>
      <w:r>
        <w:rPr>
          <w:rFonts w:hint="eastAsia" w:ascii="楷体_GB2312" w:eastAsia="楷体_GB2312"/>
          <w:sz w:val="32"/>
          <w:szCs w:val="32"/>
        </w:rPr>
        <w:t>第三十二条</w:t>
      </w:r>
      <w:r>
        <w:rPr>
          <w:rFonts w:hint="eastAsia" w:ascii="仿宋_GB2312" w:eastAsia="仿宋_GB2312"/>
          <w:sz w:val="32"/>
          <w:szCs w:val="32"/>
        </w:rPr>
        <w:t xml:space="preserve">  企业信用评价以企业信用信息为依据，计算企业信用评价得分，信用评价得分=信用基础分+</w:t>
      </w:r>
      <w:r>
        <w:rPr>
          <w:rFonts w:hint="eastAsia" w:ascii="仿宋_GB2312" w:eastAsia="仿宋_GB2312"/>
          <w:sz w:val="32"/>
          <w:szCs w:val="32"/>
          <w:lang w:val="en-US" w:eastAsia="zh-CN"/>
        </w:rPr>
        <w:t>优良</w:t>
      </w:r>
      <w:r>
        <w:rPr>
          <w:rFonts w:hint="eastAsia" w:ascii="仿宋_GB2312" w:eastAsia="仿宋_GB2312"/>
          <w:sz w:val="32"/>
          <w:szCs w:val="32"/>
        </w:rPr>
        <w:t>信用信息得分+不良信用信息得分。信用基础分为70分。</w:t>
      </w:r>
    </w:p>
    <w:p>
      <w:pPr>
        <w:ind w:firstLine="645"/>
        <w:rPr>
          <w:rFonts w:ascii="仿宋_GB2312" w:eastAsia="仿宋_GB2312"/>
          <w:sz w:val="32"/>
          <w:szCs w:val="32"/>
        </w:rPr>
      </w:pPr>
      <w:r>
        <w:rPr>
          <w:rFonts w:hint="eastAsia" w:ascii="楷体_GB2312" w:eastAsia="楷体_GB2312"/>
          <w:sz w:val="32"/>
          <w:szCs w:val="32"/>
        </w:rPr>
        <w:t>第三十三条</w:t>
      </w:r>
      <w:r>
        <w:rPr>
          <w:rFonts w:hint="eastAsia" w:ascii="仿宋_GB2312" w:eastAsia="仿宋_GB2312"/>
          <w:sz w:val="32"/>
          <w:szCs w:val="32"/>
        </w:rPr>
        <w:t xml:space="preserve">  企业同一</w:t>
      </w:r>
      <w:r>
        <w:rPr>
          <w:rFonts w:hint="eastAsia" w:ascii="仿宋_GB2312" w:eastAsia="仿宋_GB2312"/>
          <w:sz w:val="32"/>
          <w:szCs w:val="32"/>
          <w:lang w:val="en-US" w:eastAsia="zh-CN"/>
        </w:rPr>
        <w:t>优良</w:t>
      </w:r>
      <w:r>
        <w:rPr>
          <w:rFonts w:hint="eastAsia" w:ascii="仿宋_GB2312" w:eastAsia="仿宋_GB2312"/>
          <w:sz w:val="32"/>
          <w:szCs w:val="32"/>
        </w:rPr>
        <w:t>信用信息、同一不良信用信息不重复记分，同</w:t>
      </w:r>
      <w:r>
        <w:rPr>
          <w:rFonts w:ascii="仿宋_GB2312" w:eastAsia="仿宋_GB2312"/>
          <w:sz w:val="32"/>
          <w:szCs w:val="32"/>
        </w:rPr>
        <w:t>单位</w:t>
      </w:r>
      <w:r>
        <w:rPr>
          <w:rFonts w:hint="eastAsia" w:ascii="仿宋_GB2312" w:eastAsia="仿宋_GB2312"/>
          <w:sz w:val="32"/>
          <w:szCs w:val="32"/>
        </w:rPr>
        <w:t>、同一</w:t>
      </w:r>
      <w:r>
        <w:rPr>
          <w:rFonts w:ascii="仿宋_GB2312" w:eastAsia="仿宋_GB2312"/>
          <w:sz w:val="32"/>
          <w:szCs w:val="32"/>
        </w:rPr>
        <w:t>工程获得</w:t>
      </w:r>
      <w:r>
        <w:rPr>
          <w:rFonts w:hint="eastAsia" w:ascii="仿宋_GB2312" w:eastAsia="仿宋_GB2312"/>
          <w:sz w:val="32"/>
          <w:szCs w:val="32"/>
        </w:rPr>
        <w:t>的</w:t>
      </w:r>
      <w:r>
        <w:rPr>
          <w:rFonts w:ascii="仿宋_GB2312" w:eastAsia="仿宋_GB2312"/>
          <w:sz w:val="32"/>
          <w:szCs w:val="32"/>
        </w:rPr>
        <w:t>同</w:t>
      </w:r>
      <w:r>
        <w:rPr>
          <w:rFonts w:hint="eastAsia" w:ascii="仿宋_GB2312" w:eastAsia="仿宋_GB2312"/>
          <w:sz w:val="32"/>
          <w:szCs w:val="32"/>
        </w:rPr>
        <w:t>一性质</w:t>
      </w:r>
      <w:r>
        <w:rPr>
          <w:rFonts w:ascii="仿宋_GB2312" w:eastAsia="仿宋_GB2312"/>
          <w:sz w:val="32"/>
          <w:szCs w:val="32"/>
        </w:rPr>
        <w:t>不同级别的荣誉，</w:t>
      </w:r>
      <w:r>
        <w:rPr>
          <w:rFonts w:hint="eastAsia" w:ascii="仿宋_GB2312" w:eastAsia="仿宋_GB2312"/>
          <w:sz w:val="32"/>
          <w:szCs w:val="32"/>
        </w:rPr>
        <w:t>按最高加分项计算加分，</w:t>
      </w:r>
      <w:r>
        <w:rPr>
          <w:rFonts w:ascii="仿宋_GB2312" w:eastAsia="仿宋_GB2312"/>
          <w:sz w:val="32"/>
          <w:szCs w:val="32"/>
        </w:rPr>
        <w:t>不重复</w:t>
      </w:r>
      <w:r>
        <w:rPr>
          <w:rFonts w:hint="eastAsia" w:ascii="仿宋_GB2312" w:eastAsia="仿宋_GB2312"/>
          <w:sz w:val="32"/>
          <w:szCs w:val="32"/>
          <w:lang w:val="en-US" w:eastAsia="zh-CN"/>
        </w:rPr>
        <w:t>记</w:t>
      </w:r>
      <w:r>
        <w:rPr>
          <w:rFonts w:ascii="仿宋_GB2312" w:eastAsia="仿宋_GB2312"/>
          <w:sz w:val="32"/>
          <w:szCs w:val="32"/>
        </w:rPr>
        <w:t>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第三十四条 </w:t>
      </w:r>
      <w:r>
        <w:rPr>
          <w:rFonts w:hint="eastAsia" w:ascii="仿宋_GB2312" w:eastAsia="仿宋_GB2312"/>
          <w:sz w:val="32"/>
          <w:szCs w:val="32"/>
        </w:rPr>
        <w:t xml:space="preserve"> 在市平台登记注册的企业，填写完成相关信息且信息准确有效的，得信用基础分。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第三十五条</w:t>
      </w:r>
      <w:r>
        <w:rPr>
          <w:rFonts w:hint="eastAsia" w:ascii="仿宋_GB2312" w:eastAsia="仿宋_GB2312"/>
          <w:sz w:val="32"/>
          <w:szCs w:val="32"/>
        </w:rPr>
        <w:t xml:space="preserve">  企业不良信用信息，依据《市政施工企业不良信用信息记分标准》直接生成减分。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 xml:space="preserve">第三十六条 </w:t>
      </w:r>
      <w:r>
        <w:rPr>
          <w:rFonts w:hint="eastAsia" w:ascii="仿宋_GB2312" w:eastAsia="仿宋_GB2312"/>
          <w:sz w:val="32"/>
          <w:szCs w:val="32"/>
        </w:rPr>
        <w:t xml:space="preserve"> 企业年度信用评级根据信用评分结果评定，分为AAA、AA、A、B、C五个等级。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信用评级划分标准为：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AAA级：年度信用评价得分在90分（及）以上的。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AA级：年度信用评价得分在80分（及）以上90分以下的。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A级：年度信用评价得分在70分（及）以上80分以下的。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B级：年度信用评价得分在60分（及）以上70分以下的。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C级：年度信用评价得分在60分以下的。</w:t>
      </w:r>
    </w:p>
    <w:p>
      <w:pPr>
        <w:ind w:firstLine="645"/>
        <w:rPr>
          <w:rFonts w:ascii="仿宋_GB2312" w:eastAsia="仿宋_GB2312"/>
          <w:sz w:val="32"/>
          <w:szCs w:val="32"/>
        </w:rPr>
      </w:pPr>
      <w:r>
        <w:rPr>
          <w:rFonts w:hint="eastAsia" w:ascii="楷体_GB2312" w:eastAsia="楷体_GB2312"/>
          <w:sz w:val="32"/>
          <w:szCs w:val="32"/>
        </w:rPr>
        <w:t>第三十七条</w:t>
      </w:r>
      <w:r>
        <w:rPr>
          <w:rFonts w:hint="eastAsia" w:eastAsia="仿宋_GB2312"/>
          <w:sz w:val="32"/>
          <w:szCs w:val="32"/>
        </w:rPr>
        <w:t xml:space="preserve">  </w:t>
      </w:r>
      <w:r>
        <w:rPr>
          <w:rFonts w:hint="eastAsia" w:ascii="仿宋_GB2312" w:eastAsia="仿宋_GB2312"/>
          <w:sz w:val="32"/>
          <w:szCs w:val="32"/>
        </w:rPr>
        <w:t>根据信用评价结果，将企业划分为诚信守法、轻微失信、一般失信、严重失信四类，实行差异化监管。诚信守法类企业包括AAA、AA、A级，</w:t>
      </w:r>
      <w:r>
        <w:rPr>
          <w:rFonts w:ascii="仿宋_GB2312" w:eastAsia="仿宋_GB2312"/>
          <w:sz w:val="32"/>
          <w:szCs w:val="32"/>
        </w:rPr>
        <w:t>B</w:t>
      </w:r>
      <w:r>
        <w:rPr>
          <w:rFonts w:hint="eastAsia" w:ascii="仿宋_GB2312" w:eastAsia="仿宋_GB2312"/>
          <w:sz w:val="32"/>
          <w:szCs w:val="32"/>
        </w:rPr>
        <w:t>级为轻微失信类企业，C级为一般失信类企业；被列入“黑名单”企业为严重失信类企业。</w:t>
      </w:r>
    </w:p>
    <w:p>
      <w:pPr>
        <w:ind w:firstLine="645"/>
        <w:rPr>
          <w:rFonts w:ascii="仿宋_GB2312" w:eastAsia="仿宋_GB2312"/>
          <w:sz w:val="32"/>
          <w:szCs w:val="32"/>
        </w:rPr>
      </w:pPr>
      <w:r>
        <w:rPr>
          <w:rFonts w:hint="eastAsia" w:ascii="楷体_GB2312" w:eastAsia="楷体_GB2312"/>
          <w:sz w:val="32"/>
          <w:szCs w:val="32"/>
        </w:rPr>
        <w:t>第三十</w:t>
      </w:r>
      <w:r>
        <w:rPr>
          <w:rFonts w:hint="eastAsia" w:ascii="楷体_GB2312" w:eastAsia="楷体_GB2312"/>
          <w:sz w:val="32"/>
          <w:szCs w:val="32"/>
          <w:lang w:val="en-US" w:eastAsia="zh-CN"/>
        </w:rPr>
        <w:t>八</w:t>
      </w:r>
      <w:r>
        <w:rPr>
          <w:rFonts w:hint="eastAsia" w:ascii="楷体_GB2312" w:eastAsia="楷体_GB2312"/>
          <w:sz w:val="32"/>
          <w:szCs w:val="32"/>
        </w:rPr>
        <w:t>条</w:t>
      </w:r>
      <w:r>
        <w:rPr>
          <w:rFonts w:hint="eastAsia" w:ascii="仿宋_GB2312" w:eastAsia="仿宋_GB2312"/>
          <w:sz w:val="32"/>
          <w:szCs w:val="32"/>
        </w:rPr>
        <w:t xml:space="preserve">  年度信用评价为AA</w:t>
      </w:r>
      <w:r>
        <w:rPr>
          <w:rFonts w:ascii="仿宋_GB2312" w:eastAsia="仿宋_GB2312"/>
          <w:sz w:val="32"/>
          <w:szCs w:val="32"/>
        </w:rPr>
        <w:t>A</w:t>
      </w:r>
      <w:r>
        <w:rPr>
          <w:rFonts w:hint="eastAsia" w:ascii="仿宋_GB2312" w:eastAsia="仿宋_GB2312"/>
          <w:sz w:val="32"/>
          <w:szCs w:val="32"/>
        </w:rPr>
        <w:t>级的企业</w:t>
      </w:r>
      <w:r>
        <w:rPr>
          <w:rFonts w:ascii="仿宋_GB2312" w:eastAsia="仿宋_GB2312"/>
          <w:sz w:val="32"/>
          <w:szCs w:val="32"/>
        </w:rPr>
        <w:t>，实</w:t>
      </w:r>
      <w:r>
        <w:rPr>
          <w:rFonts w:hint="eastAsia" w:ascii="仿宋_GB2312" w:eastAsia="仿宋_GB2312"/>
          <w:sz w:val="32"/>
          <w:szCs w:val="32"/>
        </w:rPr>
        <w:t>行激励</w:t>
      </w:r>
      <w:r>
        <w:rPr>
          <w:rFonts w:ascii="仿宋_GB2312" w:eastAsia="仿宋_GB2312"/>
          <w:sz w:val="32"/>
          <w:szCs w:val="32"/>
        </w:rPr>
        <w:t>机制</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（一）建立绿色通道，减少检查频次。</w:t>
      </w:r>
      <w:r>
        <w:rPr>
          <w:rFonts w:ascii="仿宋_GB2312" w:eastAsia="仿宋_GB2312"/>
          <w:sz w:val="32"/>
          <w:szCs w:val="32"/>
        </w:rPr>
        <w:t xml:space="preserve"> </w:t>
      </w:r>
    </w:p>
    <w:p>
      <w:pPr>
        <w:ind w:firstLine="645"/>
        <w:rPr>
          <w:rFonts w:ascii="仿宋_GB2312" w:eastAsia="仿宋_GB2312"/>
          <w:sz w:val="32"/>
          <w:szCs w:val="32"/>
          <w:highlight w:val="yellow"/>
        </w:rPr>
      </w:pPr>
      <w:r>
        <w:rPr>
          <w:rFonts w:hint="eastAsia" w:ascii="仿宋_GB2312" w:eastAsia="仿宋_GB2312"/>
          <w:sz w:val="32"/>
          <w:szCs w:val="32"/>
        </w:rPr>
        <w:t>（二）优先推荐企业申报创优工程项目，优先推荐企业参加各级各类先进企业的评选。</w:t>
      </w:r>
    </w:p>
    <w:p>
      <w:pPr>
        <w:ind w:firstLine="645"/>
        <w:rPr>
          <w:rFonts w:ascii="仿宋_GB2312" w:eastAsia="仿宋_GB2312"/>
          <w:sz w:val="32"/>
          <w:szCs w:val="32"/>
        </w:rPr>
      </w:pPr>
      <w:r>
        <w:rPr>
          <w:rFonts w:hint="eastAsia" w:ascii="仿宋_GB2312" w:eastAsia="仿宋_GB2312"/>
          <w:sz w:val="32"/>
          <w:szCs w:val="32"/>
        </w:rPr>
        <w:t>（三）扶持企业资质升级、增项。</w:t>
      </w:r>
    </w:p>
    <w:p>
      <w:pPr>
        <w:ind w:firstLine="645"/>
        <w:rPr>
          <w:rFonts w:ascii="仿宋_GB2312" w:eastAsia="仿宋_GB2312"/>
          <w:sz w:val="32"/>
          <w:szCs w:val="32"/>
        </w:rPr>
      </w:pPr>
      <w:r>
        <w:rPr>
          <w:rFonts w:hint="eastAsia" w:ascii="仿宋_GB2312" w:eastAsia="仿宋_GB2312"/>
          <w:sz w:val="32"/>
          <w:szCs w:val="32"/>
        </w:rPr>
        <w:t>（四）其他符合法律法规规定的促进企业发展的措施和办法。</w:t>
      </w:r>
    </w:p>
    <w:p>
      <w:pPr>
        <w:ind w:firstLine="645"/>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val="en-US" w:eastAsia="zh-CN"/>
        </w:rPr>
        <w:t>三</w:t>
      </w:r>
      <w:r>
        <w:rPr>
          <w:rFonts w:hint="eastAsia" w:ascii="楷体_GB2312" w:eastAsia="楷体_GB2312"/>
          <w:sz w:val="32"/>
          <w:szCs w:val="32"/>
        </w:rPr>
        <w:t>十</w:t>
      </w:r>
      <w:r>
        <w:rPr>
          <w:rFonts w:hint="eastAsia" w:ascii="楷体_GB2312" w:eastAsia="楷体_GB2312"/>
          <w:sz w:val="32"/>
          <w:szCs w:val="32"/>
          <w:lang w:val="en-US" w:eastAsia="zh-CN"/>
        </w:rPr>
        <w:t>九</w:t>
      </w:r>
      <w:r>
        <w:rPr>
          <w:rFonts w:hint="eastAsia" w:ascii="楷体_GB2312" w:eastAsia="楷体_GB2312"/>
          <w:sz w:val="32"/>
          <w:szCs w:val="32"/>
        </w:rPr>
        <w:t>条</w:t>
      </w:r>
      <w:r>
        <w:rPr>
          <w:rFonts w:hint="eastAsia" w:ascii="仿宋_GB2312" w:eastAsia="仿宋_GB2312"/>
          <w:sz w:val="32"/>
          <w:szCs w:val="32"/>
        </w:rPr>
        <w:t xml:space="preserve">  年度信用评价</w:t>
      </w:r>
      <w:r>
        <w:rPr>
          <w:rFonts w:ascii="仿宋_GB2312" w:eastAsia="仿宋_GB2312"/>
          <w:sz w:val="32"/>
          <w:szCs w:val="32"/>
        </w:rPr>
        <w:t>为AA</w:t>
      </w:r>
      <w:r>
        <w:rPr>
          <w:rFonts w:hint="eastAsia" w:ascii="仿宋_GB2312" w:eastAsia="仿宋_GB2312"/>
          <w:sz w:val="32"/>
          <w:szCs w:val="32"/>
        </w:rPr>
        <w:t>级的企业</w:t>
      </w:r>
      <w:r>
        <w:rPr>
          <w:rFonts w:ascii="仿宋_GB2312" w:eastAsia="仿宋_GB2312"/>
          <w:sz w:val="32"/>
          <w:szCs w:val="32"/>
        </w:rPr>
        <w:t>，</w:t>
      </w:r>
      <w:r>
        <w:rPr>
          <w:rFonts w:hint="eastAsia" w:ascii="仿宋_GB2312" w:eastAsia="仿宋_GB2312"/>
          <w:sz w:val="32"/>
          <w:szCs w:val="32"/>
        </w:rPr>
        <w:t>实行</w:t>
      </w:r>
      <w:r>
        <w:rPr>
          <w:rFonts w:ascii="仿宋_GB2312" w:eastAsia="仿宋_GB2312"/>
          <w:sz w:val="32"/>
          <w:szCs w:val="32"/>
        </w:rPr>
        <w:t>扶持机制</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（一）优先推荐企业申报创优工程项目，</w:t>
      </w:r>
      <w:r>
        <w:rPr>
          <w:rFonts w:ascii="仿宋_GB2312" w:eastAsia="仿宋_GB2312"/>
          <w:sz w:val="32"/>
          <w:szCs w:val="32"/>
        </w:rPr>
        <w:t>优先</w:t>
      </w:r>
      <w:r>
        <w:rPr>
          <w:rFonts w:hint="eastAsia" w:ascii="仿宋_GB2312" w:eastAsia="仿宋_GB2312"/>
          <w:sz w:val="32"/>
          <w:szCs w:val="32"/>
        </w:rPr>
        <w:t>推荐企业参加各级各类先进企业的评选。</w:t>
      </w:r>
    </w:p>
    <w:p>
      <w:pPr>
        <w:ind w:firstLine="645"/>
        <w:rPr>
          <w:rFonts w:ascii="仿宋_GB2312" w:eastAsia="仿宋_GB2312"/>
          <w:sz w:val="32"/>
          <w:szCs w:val="32"/>
        </w:rPr>
      </w:pPr>
      <w:r>
        <w:rPr>
          <w:rFonts w:hint="eastAsia" w:ascii="仿宋_GB2312" w:eastAsia="仿宋_GB2312"/>
          <w:sz w:val="32"/>
          <w:szCs w:val="32"/>
        </w:rPr>
        <w:t>（二）扶持企业资质升级、增项。</w:t>
      </w:r>
    </w:p>
    <w:p>
      <w:pPr>
        <w:ind w:firstLine="645"/>
        <w:rPr>
          <w:rFonts w:ascii="仿宋_GB2312" w:eastAsia="仿宋_GB2312"/>
          <w:sz w:val="32"/>
          <w:szCs w:val="32"/>
        </w:rPr>
      </w:pPr>
      <w:r>
        <w:rPr>
          <w:rFonts w:hint="eastAsia" w:ascii="仿宋_GB2312" w:eastAsia="仿宋_GB2312"/>
          <w:sz w:val="32"/>
          <w:szCs w:val="32"/>
        </w:rPr>
        <w:t>（三）其他符合法律法规规定的促进企业发展的措施和办法。</w:t>
      </w:r>
    </w:p>
    <w:p>
      <w:pPr>
        <w:ind w:firstLine="645"/>
        <w:rPr>
          <w:rFonts w:ascii="仿宋_GB2312" w:eastAsia="仿宋_GB2312"/>
          <w:sz w:val="32"/>
          <w:szCs w:val="32"/>
        </w:rPr>
      </w:pPr>
      <w:r>
        <w:rPr>
          <w:rFonts w:hint="eastAsia" w:ascii="楷体_GB2312" w:eastAsia="楷体_GB2312"/>
          <w:sz w:val="32"/>
          <w:szCs w:val="32"/>
        </w:rPr>
        <w:t>第四十条</w:t>
      </w:r>
      <w:r>
        <w:rPr>
          <w:rFonts w:hint="eastAsia" w:ascii="仿宋_GB2312" w:eastAsia="仿宋_GB2312"/>
          <w:sz w:val="32"/>
          <w:szCs w:val="32"/>
        </w:rPr>
        <w:t xml:space="preserve">  年度信用评价为A级的企业,进行常规监管，</w:t>
      </w:r>
      <w:r>
        <w:rPr>
          <w:rFonts w:hint="eastAsia" w:ascii="仿宋_GB2312" w:hAnsi="Times New Roman" w:eastAsia="仿宋_GB2312" w:cs="Times New Roman"/>
          <w:sz w:val="32"/>
          <w:szCs w:val="32"/>
        </w:rPr>
        <w:t>实行</w:t>
      </w:r>
      <w:r>
        <w:rPr>
          <w:rFonts w:hint="eastAsia" w:ascii="仿宋_GB2312" w:eastAsia="仿宋_GB2312"/>
          <w:sz w:val="32"/>
          <w:szCs w:val="32"/>
        </w:rPr>
        <w:t>符合法律法规规定的促进企业发展的措施和办法。</w:t>
      </w:r>
    </w:p>
    <w:p>
      <w:pPr>
        <w:ind w:firstLine="645"/>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val="en-US" w:eastAsia="zh-CN"/>
        </w:rPr>
        <w:t>一</w:t>
      </w:r>
      <w:r>
        <w:rPr>
          <w:rFonts w:hint="eastAsia" w:ascii="楷体_GB2312" w:eastAsia="楷体_GB2312"/>
          <w:sz w:val="32"/>
          <w:szCs w:val="32"/>
        </w:rPr>
        <w:t>条</w:t>
      </w:r>
      <w:r>
        <w:rPr>
          <w:rFonts w:hint="eastAsia" w:ascii="仿宋_GB2312" w:eastAsia="仿宋_GB2312"/>
          <w:sz w:val="32"/>
          <w:szCs w:val="32"/>
        </w:rPr>
        <w:t xml:space="preserve">  年度信用评价</w:t>
      </w:r>
      <w:r>
        <w:rPr>
          <w:rFonts w:ascii="仿宋_GB2312" w:eastAsia="仿宋_GB2312"/>
          <w:sz w:val="32"/>
          <w:szCs w:val="32"/>
        </w:rPr>
        <w:t>为</w:t>
      </w:r>
      <w:r>
        <w:rPr>
          <w:rFonts w:hint="eastAsia" w:ascii="仿宋_GB2312" w:eastAsia="仿宋_GB2312"/>
          <w:sz w:val="32"/>
          <w:szCs w:val="32"/>
        </w:rPr>
        <w:t>B级的</w:t>
      </w:r>
      <w:r>
        <w:rPr>
          <w:rFonts w:ascii="仿宋_GB2312" w:eastAsia="仿宋_GB2312"/>
          <w:sz w:val="32"/>
          <w:szCs w:val="32"/>
        </w:rPr>
        <w:t>企业，</w:t>
      </w:r>
      <w:r>
        <w:rPr>
          <w:rFonts w:hint="eastAsia" w:ascii="仿宋_GB2312" w:eastAsia="仿宋_GB2312"/>
          <w:sz w:val="32"/>
          <w:szCs w:val="32"/>
        </w:rPr>
        <w:t>进行严格</w:t>
      </w:r>
      <w:r>
        <w:rPr>
          <w:rFonts w:ascii="仿宋_GB2312" w:eastAsia="仿宋_GB2312"/>
          <w:sz w:val="32"/>
          <w:szCs w:val="32"/>
        </w:rPr>
        <w:t>监管</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（一）列入“双随机，一公开”重点监督对象，加强事中事后监管，增加日常检查的频率，列为市、县</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w:t>
      </w:r>
      <w:r>
        <w:rPr>
          <w:rFonts w:hint="eastAsia" w:ascii="仿宋_GB2312" w:eastAsia="仿宋_GB2312"/>
          <w:sz w:val="32"/>
          <w:szCs w:val="32"/>
        </w:rPr>
        <w:t>执法检查的必查对象。</w:t>
      </w:r>
    </w:p>
    <w:p>
      <w:pPr>
        <w:ind w:firstLine="645"/>
      </w:pPr>
      <w:r>
        <w:rPr>
          <w:rFonts w:hint="eastAsia" w:ascii="仿宋_GB2312" w:eastAsia="仿宋_GB2312"/>
          <w:sz w:val="32"/>
          <w:szCs w:val="32"/>
        </w:rPr>
        <w:t>（二）列为安全生产许可证年度考核重点核查对象。</w:t>
      </w:r>
    </w:p>
    <w:p>
      <w:pPr>
        <w:ind w:firstLine="645"/>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val="en-US" w:eastAsia="zh-CN"/>
        </w:rPr>
        <w:t>二</w:t>
      </w:r>
      <w:r>
        <w:rPr>
          <w:rFonts w:hint="eastAsia" w:ascii="楷体_GB2312" w:eastAsia="楷体_GB2312"/>
          <w:sz w:val="32"/>
          <w:szCs w:val="32"/>
        </w:rPr>
        <w:t>条</w:t>
      </w:r>
      <w:r>
        <w:rPr>
          <w:rFonts w:hint="eastAsia" w:ascii="仿宋_GB2312" w:eastAsia="仿宋_GB2312"/>
          <w:sz w:val="32"/>
          <w:szCs w:val="32"/>
        </w:rPr>
        <w:t xml:space="preserve">  年度信用评价为</w:t>
      </w:r>
      <w:r>
        <w:rPr>
          <w:rFonts w:ascii="仿宋_GB2312" w:eastAsia="仿宋_GB2312"/>
          <w:sz w:val="32"/>
          <w:szCs w:val="32"/>
        </w:rPr>
        <w:t>C</w:t>
      </w:r>
      <w:r>
        <w:rPr>
          <w:rFonts w:hint="eastAsia" w:ascii="仿宋_GB2312" w:eastAsia="仿宋_GB2312"/>
          <w:sz w:val="32"/>
          <w:szCs w:val="32"/>
        </w:rPr>
        <w:t>级的企业，实行惩戒机制：</w:t>
      </w:r>
    </w:p>
    <w:p>
      <w:pPr>
        <w:ind w:firstLine="645"/>
        <w:rPr>
          <w:rFonts w:ascii="仿宋_GB2312" w:eastAsia="仿宋_GB2312"/>
          <w:sz w:val="32"/>
          <w:szCs w:val="32"/>
        </w:rPr>
      </w:pPr>
      <w:r>
        <w:rPr>
          <w:rFonts w:hint="eastAsia" w:ascii="仿宋_GB2312" w:eastAsia="仿宋_GB2312"/>
          <w:sz w:val="32"/>
          <w:szCs w:val="32"/>
        </w:rPr>
        <w:t>（一）全市通报，列入“双随机</w:t>
      </w:r>
      <w:r>
        <w:rPr>
          <w:rFonts w:ascii="仿宋_GB2312" w:eastAsia="仿宋_GB2312"/>
          <w:sz w:val="32"/>
          <w:szCs w:val="32"/>
        </w:rPr>
        <w:t>，一公开</w:t>
      </w:r>
      <w:r>
        <w:rPr>
          <w:rFonts w:hint="eastAsia" w:ascii="仿宋_GB2312" w:eastAsia="仿宋_GB2312"/>
          <w:sz w:val="32"/>
          <w:szCs w:val="32"/>
        </w:rPr>
        <w:t>”重点</w:t>
      </w:r>
      <w:r>
        <w:rPr>
          <w:rFonts w:ascii="仿宋_GB2312" w:eastAsia="仿宋_GB2312"/>
          <w:sz w:val="32"/>
          <w:szCs w:val="32"/>
        </w:rPr>
        <w:t>监督对象，</w:t>
      </w:r>
      <w:r>
        <w:rPr>
          <w:rFonts w:hint="eastAsia" w:ascii="仿宋_GB2312" w:eastAsia="仿宋_GB2312"/>
          <w:sz w:val="32"/>
          <w:szCs w:val="32"/>
        </w:rPr>
        <w:t>加强事中</w:t>
      </w:r>
      <w:r>
        <w:rPr>
          <w:rFonts w:ascii="仿宋_GB2312" w:eastAsia="仿宋_GB2312"/>
          <w:sz w:val="32"/>
          <w:szCs w:val="32"/>
        </w:rPr>
        <w:t>事后监管</w:t>
      </w:r>
      <w:r>
        <w:rPr>
          <w:rFonts w:hint="eastAsia" w:ascii="仿宋_GB2312" w:eastAsia="仿宋_GB2312"/>
          <w:sz w:val="32"/>
          <w:szCs w:val="32"/>
        </w:rPr>
        <w:t>，增加日常检查的频率，列为</w:t>
      </w:r>
      <w:r>
        <w:rPr>
          <w:rFonts w:ascii="仿宋_GB2312" w:eastAsia="仿宋_GB2312"/>
          <w:sz w:val="32"/>
          <w:szCs w:val="32"/>
        </w:rPr>
        <w:t>市</w:t>
      </w:r>
      <w:r>
        <w:rPr>
          <w:rFonts w:hint="eastAsia" w:ascii="仿宋_GB2312" w:eastAsia="仿宋_GB2312"/>
          <w:sz w:val="32"/>
          <w:szCs w:val="32"/>
        </w:rPr>
        <w:t>、</w:t>
      </w:r>
      <w:r>
        <w:rPr>
          <w:rFonts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w:t>
      </w:r>
      <w:r>
        <w:rPr>
          <w:rFonts w:hint="eastAsia" w:ascii="仿宋_GB2312" w:eastAsia="仿宋_GB2312"/>
          <w:sz w:val="32"/>
          <w:szCs w:val="32"/>
        </w:rPr>
        <w:t>执法</w:t>
      </w:r>
      <w:r>
        <w:rPr>
          <w:rFonts w:ascii="仿宋_GB2312" w:eastAsia="仿宋_GB2312"/>
          <w:sz w:val="32"/>
          <w:szCs w:val="32"/>
        </w:rPr>
        <w:t>检查的必查对象</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（二）依法立即重新审查其资质和安全生产许可证，对不符合条件的，按照规定给予限期整改、建议</w:t>
      </w:r>
      <w:r>
        <w:rPr>
          <w:rFonts w:ascii="仿宋_GB2312" w:eastAsia="仿宋_GB2312"/>
          <w:sz w:val="32"/>
          <w:szCs w:val="32"/>
        </w:rPr>
        <w:t>资质审批</w:t>
      </w:r>
      <w:r>
        <w:rPr>
          <w:rFonts w:hint="eastAsia" w:ascii="仿宋_GB2312" w:eastAsia="仿宋_GB2312"/>
          <w:sz w:val="32"/>
          <w:szCs w:val="32"/>
        </w:rPr>
        <w:t>部门降低资质等级或撤回资质证书等处罚。</w:t>
      </w:r>
    </w:p>
    <w:p>
      <w:pPr>
        <w:ind w:firstLine="645"/>
        <w:rPr>
          <w:rFonts w:ascii="仿宋_GB2312" w:eastAsia="仿宋_GB2312"/>
          <w:sz w:val="32"/>
          <w:szCs w:val="32"/>
        </w:rPr>
      </w:pPr>
      <w:r>
        <w:rPr>
          <w:rFonts w:hint="eastAsia" w:ascii="仿宋_GB2312" w:eastAsia="仿宋_GB2312"/>
          <w:sz w:val="32"/>
          <w:szCs w:val="32"/>
        </w:rPr>
        <w:t>（三）取消企业评优表彰、政策</w:t>
      </w:r>
      <w:r>
        <w:rPr>
          <w:rFonts w:ascii="仿宋_GB2312" w:eastAsia="仿宋_GB2312"/>
          <w:sz w:val="32"/>
          <w:szCs w:val="32"/>
        </w:rPr>
        <w:t>试点、项目</w:t>
      </w:r>
      <w:r>
        <w:rPr>
          <w:rFonts w:hint="eastAsia" w:ascii="仿宋_GB2312" w:eastAsia="仿宋_GB2312"/>
          <w:sz w:val="32"/>
          <w:szCs w:val="32"/>
        </w:rPr>
        <w:t>扶持</w:t>
      </w:r>
      <w:r>
        <w:rPr>
          <w:rFonts w:ascii="仿宋_GB2312" w:eastAsia="仿宋_GB2312"/>
          <w:sz w:val="32"/>
          <w:szCs w:val="32"/>
        </w:rPr>
        <w:t>资格</w:t>
      </w:r>
      <w:r>
        <w:rPr>
          <w:rFonts w:hint="eastAsia" w:ascii="仿宋_GB2312" w:eastAsia="仿宋_GB2312"/>
          <w:sz w:val="32"/>
          <w:szCs w:val="32"/>
        </w:rPr>
        <w:t>，</w:t>
      </w:r>
      <w:r>
        <w:rPr>
          <w:rFonts w:ascii="仿宋_GB2312" w:eastAsia="仿宋_GB2312"/>
          <w:sz w:val="32"/>
          <w:szCs w:val="32"/>
        </w:rPr>
        <w:t>取消</w:t>
      </w:r>
      <w:r>
        <w:rPr>
          <w:rFonts w:hint="eastAsia" w:ascii="仿宋_GB2312" w:eastAsia="仿宋_GB2312"/>
          <w:sz w:val="32"/>
          <w:szCs w:val="32"/>
        </w:rPr>
        <w:t>其</w:t>
      </w:r>
      <w:r>
        <w:rPr>
          <w:rFonts w:ascii="仿宋_GB2312" w:eastAsia="仿宋_GB2312"/>
          <w:sz w:val="32"/>
          <w:szCs w:val="32"/>
        </w:rPr>
        <w:t>法人、主要负责人和技术负责人参加本年度各类评优评先的资格。</w:t>
      </w:r>
    </w:p>
    <w:p>
      <w:pPr>
        <w:ind w:firstLine="645"/>
        <w:rPr>
          <w:rFonts w:ascii="仿宋_GB2312" w:eastAsia="仿宋_GB2312"/>
          <w:sz w:val="32"/>
          <w:szCs w:val="32"/>
        </w:rPr>
      </w:pPr>
      <w:r>
        <w:rPr>
          <w:rFonts w:hint="eastAsia" w:ascii="仿宋_GB2312" w:eastAsia="仿宋_GB2312"/>
          <w:sz w:val="32"/>
          <w:szCs w:val="32"/>
        </w:rPr>
        <w:t>（四）对企业负责人进行约谈、法规培训等。</w:t>
      </w:r>
    </w:p>
    <w:p>
      <w:pPr>
        <w:ind w:firstLine="645"/>
        <w:rPr>
          <w:rFonts w:hint="eastAsia" w:ascii="仿宋_GB2312" w:eastAsia="仿宋_GB2312"/>
          <w:color w:val="FF0000"/>
          <w:sz w:val="32"/>
          <w:szCs w:val="32"/>
          <w:highlight w:val="yellow"/>
          <w:lang w:eastAsia="zh-CN"/>
        </w:rPr>
      </w:pPr>
      <w:r>
        <w:rPr>
          <w:rFonts w:hint="eastAsia" w:ascii="仿宋_GB2312" w:eastAsia="仿宋_GB2312"/>
          <w:sz w:val="32"/>
          <w:szCs w:val="32"/>
        </w:rPr>
        <w:t>（五）外地进潍企业通报给企业注册地住房城乡建设主管部门或上报给省住房城乡建设主管部门</w:t>
      </w:r>
      <w:r>
        <w:rPr>
          <w:rFonts w:hint="eastAsia" w:ascii="仿宋_GB2312" w:eastAsia="仿宋_GB2312"/>
          <w:sz w:val="32"/>
          <w:szCs w:val="32"/>
          <w:lang w:eastAsia="zh-CN"/>
        </w:rPr>
        <w:t>。</w:t>
      </w:r>
    </w:p>
    <w:p>
      <w:pPr>
        <w:ind w:firstLine="645"/>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val="en-US" w:eastAsia="zh-CN"/>
        </w:rPr>
        <w:t>三</w:t>
      </w:r>
      <w:r>
        <w:rPr>
          <w:rFonts w:hint="eastAsia" w:ascii="楷体_GB2312" w:eastAsia="楷体_GB2312"/>
          <w:sz w:val="32"/>
          <w:szCs w:val="32"/>
        </w:rPr>
        <w:t>条</w:t>
      </w:r>
      <w:r>
        <w:rPr>
          <w:rFonts w:hint="eastAsia" w:ascii="仿宋_GB2312" w:eastAsia="仿宋_GB2312"/>
          <w:sz w:val="32"/>
          <w:szCs w:val="32"/>
        </w:rPr>
        <w:t xml:space="preserve">  列入“黑名单”及连续</w:t>
      </w:r>
      <w:r>
        <w:rPr>
          <w:rFonts w:ascii="仿宋_GB2312" w:eastAsia="仿宋_GB2312"/>
          <w:sz w:val="32"/>
          <w:szCs w:val="32"/>
        </w:rPr>
        <w:t>两年信用评价结果为C</w:t>
      </w:r>
      <w:r>
        <w:rPr>
          <w:rFonts w:hint="eastAsia" w:ascii="仿宋_GB2312" w:eastAsia="仿宋_GB2312"/>
          <w:sz w:val="32"/>
          <w:szCs w:val="32"/>
        </w:rPr>
        <w:t>级的</w:t>
      </w:r>
      <w:r>
        <w:rPr>
          <w:rFonts w:ascii="仿宋_GB2312" w:eastAsia="仿宋_GB2312"/>
          <w:sz w:val="32"/>
          <w:szCs w:val="32"/>
        </w:rPr>
        <w:t>企业</w:t>
      </w:r>
      <w:r>
        <w:rPr>
          <w:rFonts w:hint="eastAsia" w:ascii="仿宋_GB2312" w:eastAsia="仿宋_GB2312"/>
          <w:sz w:val="32"/>
          <w:szCs w:val="32"/>
        </w:rPr>
        <w:t>，实行联合惩戒机制：</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（一）全市通报，列入“双随机，一公开”重点监督对象，加强事中事后监管，增加日常检查的频率，列为市、县</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lang w:eastAsia="zh-CN"/>
        </w:rPr>
        <w:t>）</w:t>
      </w:r>
      <w:r>
        <w:rPr>
          <w:rFonts w:hint="eastAsia" w:ascii="仿宋_GB2312" w:eastAsia="仿宋_GB2312"/>
          <w:sz w:val="32"/>
          <w:szCs w:val="32"/>
        </w:rPr>
        <w:t>执法检查的必查对象。</w:t>
      </w:r>
    </w:p>
    <w:p>
      <w:pPr>
        <w:ind w:firstLine="645"/>
        <w:rPr>
          <w:rFonts w:ascii="仿宋_GB2312" w:eastAsia="仿宋_GB2312"/>
          <w:sz w:val="32"/>
          <w:szCs w:val="32"/>
        </w:rPr>
      </w:pPr>
      <w:r>
        <w:rPr>
          <w:rFonts w:hint="eastAsia" w:ascii="仿宋_GB2312" w:eastAsia="仿宋_GB2312"/>
          <w:sz w:val="32"/>
          <w:szCs w:val="32"/>
        </w:rPr>
        <w:t>（二）依法立即重新审查其资质和安全生产许可证，对不符合条件的，按照规定给予限期整改、建议资质审批部门降低资质等级或撤回资质证书等处罚。</w:t>
      </w:r>
    </w:p>
    <w:p>
      <w:pPr>
        <w:ind w:firstLine="645"/>
        <w:rPr>
          <w:rFonts w:ascii="仿宋_GB2312" w:eastAsia="仿宋_GB2312"/>
          <w:sz w:val="32"/>
          <w:szCs w:val="32"/>
        </w:rPr>
      </w:pPr>
      <w:r>
        <w:rPr>
          <w:rFonts w:hint="eastAsia" w:ascii="仿宋_GB2312" w:eastAsia="仿宋_GB2312"/>
          <w:sz w:val="32"/>
          <w:szCs w:val="32"/>
        </w:rPr>
        <w:t>（三）取消企业评优表彰、政策试点、项目扶持资格，取消其法人、主要负责人和技术负责人参加本年度各类评优评先的资格。</w:t>
      </w:r>
    </w:p>
    <w:p>
      <w:pPr>
        <w:ind w:firstLine="645"/>
        <w:rPr>
          <w:rFonts w:ascii="仿宋_GB2312" w:eastAsia="仿宋_GB2312"/>
          <w:sz w:val="32"/>
          <w:szCs w:val="32"/>
        </w:rPr>
      </w:pPr>
      <w:r>
        <w:rPr>
          <w:rFonts w:hint="eastAsia" w:ascii="仿宋_GB2312" w:eastAsia="仿宋_GB2312"/>
          <w:sz w:val="32"/>
          <w:szCs w:val="32"/>
        </w:rPr>
        <w:t>（四）对企业负责人进行约谈、法规培训等。</w:t>
      </w:r>
    </w:p>
    <w:p>
      <w:pPr>
        <w:ind w:firstLine="645"/>
        <w:rPr>
          <w:rFonts w:ascii="仿宋_GB2312" w:eastAsia="仿宋_GB2312"/>
          <w:sz w:val="32"/>
          <w:szCs w:val="32"/>
        </w:rPr>
      </w:pPr>
      <w:r>
        <w:rPr>
          <w:rFonts w:hint="eastAsia" w:ascii="仿宋_GB2312" w:eastAsia="仿宋_GB2312"/>
          <w:sz w:val="32"/>
          <w:szCs w:val="32"/>
        </w:rPr>
        <w:t>（五）依法依规在市场准入、资质资格等方面采取约束和惩戒措施。</w:t>
      </w:r>
    </w:p>
    <w:p>
      <w:pPr>
        <w:ind w:firstLine="645"/>
        <w:rPr>
          <w:rFonts w:ascii="仿宋_GB2312" w:eastAsia="仿宋_GB2312"/>
          <w:sz w:val="32"/>
          <w:szCs w:val="32"/>
        </w:rPr>
      </w:pPr>
      <w:r>
        <w:rPr>
          <w:rFonts w:hint="eastAsia" w:ascii="仿宋_GB2312" w:eastAsia="仿宋_GB2312"/>
          <w:sz w:val="32"/>
          <w:szCs w:val="32"/>
        </w:rPr>
        <w:t>（六）通报有关部门，实施联合惩戒。</w:t>
      </w:r>
    </w:p>
    <w:p>
      <w:pPr>
        <w:ind w:firstLine="645"/>
        <w:rPr>
          <w:rFonts w:ascii="楷体_GB2312" w:eastAsia="楷体_GB2312"/>
          <w:sz w:val="32"/>
          <w:szCs w:val="32"/>
          <w:highlight w:val="none"/>
        </w:rPr>
      </w:pPr>
      <w:r>
        <w:rPr>
          <w:rFonts w:hint="eastAsia" w:ascii="楷体_GB2312" w:eastAsia="楷体_GB2312"/>
          <w:sz w:val="32"/>
          <w:szCs w:val="32"/>
        </w:rPr>
        <w:t>第四十</w:t>
      </w:r>
      <w:r>
        <w:rPr>
          <w:rFonts w:hint="eastAsia" w:ascii="楷体_GB2312" w:eastAsia="楷体_GB2312"/>
          <w:sz w:val="32"/>
          <w:szCs w:val="32"/>
          <w:lang w:val="en-US" w:eastAsia="zh-CN"/>
        </w:rPr>
        <w:t>四</w:t>
      </w:r>
      <w:r>
        <w:rPr>
          <w:rFonts w:hint="eastAsia" w:ascii="楷体_GB2312" w:eastAsia="楷体_GB2312"/>
          <w:sz w:val="32"/>
          <w:szCs w:val="32"/>
        </w:rPr>
        <w:t xml:space="preserve">条 </w:t>
      </w:r>
      <w:r>
        <w:rPr>
          <w:rFonts w:hint="eastAsia" w:ascii="仿宋_GB2312" w:eastAsia="仿宋_GB2312"/>
          <w:sz w:val="32"/>
          <w:szCs w:val="32"/>
        </w:rPr>
        <w:t xml:space="preserve"> 诚信守法类企业（包括AAA、AA、A级）若产生不良信用信息造成严重社会影响或出现直接评定为“黑名单”情形的，</w:t>
      </w:r>
      <w:r>
        <w:rPr>
          <w:rFonts w:hint="eastAsia" w:ascii="仿宋_GB2312" w:eastAsia="仿宋_GB2312"/>
          <w:sz w:val="32"/>
          <w:szCs w:val="32"/>
          <w:highlight w:val="none"/>
          <w:lang w:val="en-US" w:eastAsia="zh-CN"/>
        </w:rPr>
        <w:t>年度</w:t>
      </w:r>
      <w:r>
        <w:rPr>
          <w:rFonts w:hint="eastAsia" w:ascii="仿宋_GB2312" w:eastAsia="仿宋_GB2312"/>
          <w:sz w:val="32"/>
          <w:szCs w:val="32"/>
          <w:highlight w:val="none"/>
        </w:rPr>
        <w:t>所享受的</w:t>
      </w:r>
      <w:r>
        <w:rPr>
          <w:rFonts w:hint="eastAsia" w:ascii="仿宋_GB2312" w:hAnsi="仿宋_GB2312" w:eastAsia="仿宋_GB2312" w:cs="仿宋_GB2312"/>
          <w:sz w:val="32"/>
          <w:szCs w:val="32"/>
          <w:highlight w:val="none"/>
        </w:rPr>
        <w:t>第三十九条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第四十条、第四十一条的</w:t>
      </w:r>
      <w:r>
        <w:rPr>
          <w:rFonts w:hint="eastAsia" w:ascii="仿宋_GB2312" w:eastAsia="仿宋_GB2312"/>
          <w:sz w:val="32"/>
          <w:szCs w:val="32"/>
          <w:highlight w:val="none"/>
        </w:rPr>
        <w:t>激励、扶持政策</w:t>
      </w:r>
      <w:r>
        <w:rPr>
          <w:rFonts w:hint="eastAsia" w:ascii="仿宋_GB2312" w:eastAsia="仿宋_GB2312"/>
          <w:sz w:val="32"/>
          <w:szCs w:val="32"/>
          <w:highlight w:val="none"/>
          <w:lang w:val="en-US" w:eastAsia="zh-CN"/>
        </w:rPr>
        <w:t>立即取消</w:t>
      </w:r>
      <w:r>
        <w:rPr>
          <w:rFonts w:hint="eastAsia" w:ascii="仿宋_GB2312" w:eastAsia="仿宋_GB2312"/>
          <w:sz w:val="32"/>
          <w:szCs w:val="32"/>
          <w:highlight w:val="none"/>
        </w:rPr>
        <w:t>。</w:t>
      </w:r>
    </w:p>
    <w:p>
      <w:pPr>
        <w:ind w:firstLine="645"/>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val="en-US" w:eastAsia="zh-CN"/>
        </w:rPr>
        <w:t>五</w:t>
      </w:r>
      <w:r>
        <w:rPr>
          <w:rFonts w:hint="eastAsia" w:ascii="楷体_GB2312" w:eastAsia="楷体_GB2312"/>
          <w:sz w:val="32"/>
          <w:szCs w:val="32"/>
        </w:rPr>
        <w:t>条</w:t>
      </w:r>
      <w:r>
        <w:rPr>
          <w:rFonts w:hint="eastAsia" w:ascii="仿宋_GB2312" w:eastAsia="仿宋_GB2312"/>
          <w:sz w:val="32"/>
          <w:szCs w:val="32"/>
        </w:rPr>
        <w:t xml:space="preserve">  有关单位或个人应当依法使用信用信息，不得使用超过公开期限的不良信用信息、“黑名单”对企业进行失信惩戒，法律、法规另有规定的，以法律法规规定为准。</w:t>
      </w:r>
    </w:p>
    <w:p>
      <w:pPr>
        <w:spacing w:beforeLines="50" w:afterLines="50"/>
        <w:jc w:val="center"/>
        <w:rPr>
          <w:rFonts w:ascii="黑体" w:hAnsi="黑体" w:eastAsia="黑体"/>
          <w:sz w:val="32"/>
          <w:szCs w:val="32"/>
        </w:rPr>
      </w:pPr>
      <w:r>
        <w:rPr>
          <w:rFonts w:hint="eastAsia" w:ascii="黑体" w:hAnsi="黑体" w:eastAsia="黑体"/>
          <w:sz w:val="32"/>
          <w:szCs w:val="32"/>
        </w:rPr>
        <w:t>第六章  监督管理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val="en-US" w:eastAsia="zh-CN"/>
        </w:rPr>
        <w:t>六</w:t>
      </w:r>
      <w:r>
        <w:rPr>
          <w:rFonts w:hint="eastAsia" w:ascii="楷体_GB2312" w:eastAsia="楷体_GB2312"/>
          <w:sz w:val="32"/>
          <w:szCs w:val="32"/>
        </w:rPr>
        <w:t xml:space="preserve">条  </w:t>
      </w:r>
      <w:r>
        <w:rPr>
          <w:rFonts w:hint="eastAsia" w:ascii="仿宋_GB2312" w:eastAsia="仿宋_GB2312"/>
          <w:sz w:val="32"/>
          <w:szCs w:val="32"/>
        </w:rPr>
        <w:t>各级住房城乡建设主管部门应指定专人负责企业的信用信息归集、录入、公开和推送工作。</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第四十</w:t>
      </w:r>
      <w:r>
        <w:rPr>
          <w:rFonts w:hint="eastAsia" w:ascii="楷体_GB2312" w:eastAsia="楷体_GB2312"/>
          <w:sz w:val="32"/>
          <w:szCs w:val="32"/>
          <w:lang w:val="en-US" w:eastAsia="zh-CN"/>
        </w:rPr>
        <w:t>七</w:t>
      </w:r>
      <w:r>
        <w:rPr>
          <w:rFonts w:hint="eastAsia" w:ascii="楷体_GB2312" w:eastAsia="楷体_GB2312"/>
          <w:sz w:val="32"/>
          <w:szCs w:val="32"/>
        </w:rPr>
        <w:t>条</w:t>
      </w:r>
      <w:r>
        <w:rPr>
          <w:rFonts w:hint="eastAsia" w:eastAsia="仿宋_GB2312"/>
          <w:sz w:val="32"/>
          <w:szCs w:val="32"/>
        </w:rPr>
        <w:t xml:space="preserve">  各级</w:t>
      </w:r>
      <w:r>
        <w:rPr>
          <w:rFonts w:hint="eastAsia" w:ascii="仿宋_GB2312" w:eastAsia="仿宋_GB2312"/>
          <w:sz w:val="32"/>
          <w:szCs w:val="32"/>
        </w:rPr>
        <w:t>住房城乡建设主管部门应当加强信用信息安全管理，建立市平台安全监测预警和应急处理机制，保障信用信息安全。</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val="en-US" w:eastAsia="zh-CN"/>
        </w:rPr>
        <w:t>四</w:t>
      </w:r>
      <w:r>
        <w:rPr>
          <w:rFonts w:hint="eastAsia" w:ascii="楷体_GB2312" w:eastAsia="楷体_GB2312"/>
          <w:sz w:val="32"/>
          <w:szCs w:val="32"/>
        </w:rPr>
        <w:t>十</w:t>
      </w:r>
      <w:r>
        <w:rPr>
          <w:rFonts w:hint="eastAsia" w:ascii="楷体_GB2312" w:eastAsia="楷体_GB2312"/>
          <w:sz w:val="32"/>
          <w:szCs w:val="32"/>
          <w:lang w:val="en-US" w:eastAsia="zh-CN"/>
        </w:rPr>
        <w:t>八</w:t>
      </w:r>
      <w:r>
        <w:rPr>
          <w:rFonts w:hint="eastAsia" w:ascii="楷体_GB2312" w:eastAsia="楷体_GB2312"/>
          <w:sz w:val="32"/>
          <w:szCs w:val="32"/>
        </w:rPr>
        <w:t>条</w:t>
      </w:r>
      <w:r>
        <w:rPr>
          <w:rFonts w:hint="eastAsia" w:eastAsia="仿宋_GB2312"/>
          <w:sz w:val="32"/>
          <w:szCs w:val="32"/>
        </w:rPr>
        <w:t xml:space="preserve">  各级</w:t>
      </w:r>
      <w:r>
        <w:rPr>
          <w:rFonts w:hint="eastAsia" w:ascii="仿宋_GB2312" w:eastAsia="仿宋_GB2312"/>
          <w:sz w:val="32"/>
          <w:szCs w:val="32"/>
        </w:rPr>
        <w:t>住房城乡建设主管部门工作人员在信用信息管理工作中应当依法履职，对录入、推送、公开虚假信用信息，故意瞒报信用信息，篡改信用评价结果的，应当依法追究主管部门及相关责任人的责任。</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val="en-US" w:eastAsia="zh-CN"/>
        </w:rPr>
        <w:t>四</w:t>
      </w:r>
      <w:r>
        <w:rPr>
          <w:rFonts w:hint="eastAsia" w:ascii="楷体_GB2312" w:eastAsia="楷体_GB2312"/>
          <w:sz w:val="32"/>
          <w:szCs w:val="32"/>
        </w:rPr>
        <w:t>十</w:t>
      </w:r>
      <w:r>
        <w:rPr>
          <w:rFonts w:hint="eastAsia" w:ascii="楷体_GB2312" w:eastAsia="楷体_GB2312"/>
          <w:sz w:val="32"/>
          <w:szCs w:val="32"/>
          <w:lang w:val="en-US" w:eastAsia="zh-CN"/>
        </w:rPr>
        <w:t>九</w:t>
      </w:r>
      <w:r>
        <w:rPr>
          <w:rFonts w:hint="eastAsia" w:ascii="楷体_GB2312" w:eastAsia="楷体_GB2312"/>
          <w:sz w:val="32"/>
          <w:szCs w:val="32"/>
        </w:rPr>
        <w:t>条</w:t>
      </w:r>
      <w:r>
        <w:rPr>
          <w:rFonts w:hint="eastAsia" w:eastAsia="仿宋_GB2312"/>
          <w:sz w:val="32"/>
          <w:szCs w:val="32"/>
        </w:rPr>
        <w:t xml:space="preserve">   </w:t>
      </w:r>
      <w:r>
        <w:rPr>
          <w:rFonts w:hint="eastAsia" w:ascii="仿宋_GB2312" w:eastAsia="仿宋_GB2312"/>
          <w:sz w:val="32"/>
          <w:szCs w:val="32"/>
        </w:rPr>
        <w:t>企业对信用信息存在异议的，可以向认定该信用信息的住房城乡建设主管部门提出异议申请，并提交相关证明材料。</w:t>
      </w:r>
      <w:r>
        <w:rPr>
          <w:rFonts w:hint="eastAsia" w:ascii="仿宋_GB2312" w:eastAsia="仿宋_GB2312"/>
          <w:sz w:val="32"/>
          <w:szCs w:val="32"/>
          <w:lang w:val="en-US" w:eastAsia="zh-CN"/>
        </w:rPr>
        <w:t>各级</w:t>
      </w:r>
      <w:r>
        <w:rPr>
          <w:rFonts w:hint="eastAsia" w:ascii="仿宋_GB2312" w:eastAsia="仿宋_GB2312"/>
          <w:sz w:val="32"/>
          <w:szCs w:val="32"/>
        </w:rPr>
        <w:t>住房城乡建设主管部门应当进行核实，并及时作出处理。</w:t>
      </w:r>
    </w:p>
    <w:p>
      <w:pPr>
        <w:ind w:firstLine="645"/>
        <w:rPr>
          <w:rFonts w:ascii="仿宋_GB2312" w:eastAsia="仿宋_GB2312"/>
          <w:sz w:val="32"/>
          <w:szCs w:val="32"/>
        </w:rPr>
      </w:pPr>
      <w:r>
        <w:rPr>
          <w:rFonts w:hint="eastAsia" w:ascii="楷体_GB2312" w:eastAsia="楷体_GB2312"/>
          <w:sz w:val="32"/>
          <w:szCs w:val="32"/>
        </w:rPr>
        <w:t>第五十条</w:t>
      </w:r>
      <w:r>
        <w:rPr>
          <w:rFonts w:hint="eastAsia" w:eastAsia="仿宋_GB2312"/>
          <w:sz w:val="32"/>
          <w:szCs w:val="32"/>
        </w:rPr>
        <w:t xml:space="preserve">  </w:t>
      </w:r>
      <w:r>
        <w:rPr>
          <w:rFonts w:hint="eastAsia" w:ascii="仿宋_GB2312" w:eastAsia="仿宋_GB2312"/>
          <w:sz w:val="32"/>
          <w:szCs w:val="32"/>
        </w:rPr>
        <w:t>信用管理工作接受社会监督，任何单位和个人均可以对信用管理工作中违反法律、法规、规章及本办法的行为，向住房城乡建设主管部门举报或投诉。</w:t>
      </w:r>
    </w:p>
    <w:p>
      <w:pPr>
        <w:spacing w:beforeLines="50" w:afterLines="50"/>
        <w:jc w:val="center"/>
        <w:rPr>
          <w:rFonts w:ascii="黑体" w:hAnsi="黑体" w:eastAsia="黑体"/>
          <w:sz w:val="32"/>
          <w:szCs w:val="32"/>
        </w:rPr>
      </w:pPr>
      <w:r>
        <w:rPr>
          <w:rFonts w:hint="eastAsia" w:ascii="黑体" w:hAnsi="黑体" w:eastAsia="黑体"/>
          <w:sz w:val="32"/>
          <w:szCs w:val="32"/>
        </w:rPr>
        <w:t>第七章  附  则</w:t>
      </w:r>
    </w:p>
    <w:p>
      <w:pPr>
        <w:ind w:firstLine="645"/>
        <w:rPr>
          <w:rFonts w:ascii="仿宋_GB2312" w:eastAsia="仿宋_GB2312"/>
          <w:sz w:val="32"/>
          <w:szCs w:val="32"/>
        </w:rPr>
      </w:pPr>
      <w:r>
        <w:rPr>
          <w:rFonts w:hint="eastAsia" w:ascii="楷体_GB2312" w:eastAsia="楷体_GB2312"/>
          <w:sz w:val="32"/>
          <w:szCs w:val="32"/>
        </w:rPr>
        <w:t>第五十</w:t>
      </w:r>
      <w:r>
        <w:rPr>
          <w:rFonts w:hint="eastAsia" w:ascii="楷体_GB2312" w:eastAsia="楷体_GB2312"/>
          <w:sz w:val="32"/>
          <w:szCs w:val="32"/>
          <w:lang w:val="en-US" w:eastAsia="zh-CN"/>
        </w:rPr>
        <w:t>一</w:t>
      </w:r>
      <w:r>
        <w:rPr>
          <w:rFonts w:hint="eastAsia" w:ascii="楷体_GB2312" w:eastAsia="楷体_GB2312"/>
          <w:sz w:val="32"/>
          <w:szCs w:val="32"/>
        </w:rPr>
        <w:t>条</w:t>
      </w:r>
      <w:r>
        <w:rPr>
          <w:rFonts w:hint="eastAsia" w:eastAsia="仿宋_GB2312"/>
          <w:sz w:val="32"/>
          <w:szCs w:val="32"/>
        </w:rPr>
        <w:t xml:space="preserve">  </w:t>
      </w:r>
      <w:r>
        <w:rPr>
          <w:rFonts w:hint="eastAsia" w:ascii="仿宋_GB2312" w:eastAsia="仿宋_GB2312"/>
          <w:sz w:val="32"/>
          <w:szCs w:val="32"/>
        </w:rPr>
        <w:t>住房城乡建设主管部门可依据国家、省、市新颁布的有关法律、法规、规章等要求，结合实际情况对信用考核标准等内容进行动态调整。</w:t>
      </w:r>
    </w:p>
    <w:p>
      <w:pPr>
        <w:ind w:firstLine="645"/>
      </w:pPr>
      <w:r>
        <w:rPr>
          <w:rFonts w:hint="eastAsia" w:ascii="楷体_GB2312" w:eastAsia="楷体_GB2312"/>
          <w:sz w:val="32"/>
          <w:szCs w:val="32"/>
        </w:rPr>
        <w:t>第五十</w:t>
      </w:r>
      <w:r>
        <w:rPr>
          <w:rFonts w:hint="eastAsia" w:ascii="楷体_GB2312" w:eastAsia="楷体_GB2312"/>
          <w:sz w:val="32"/>
          <w:szCs w:val="32"/>
          <w:lang w:val="en-US" w:eastAsia="zh-CN"/>
        </w:rPr>
        <w:t>二</w:t>
      </w:r>
      <w:r>
        <w:rPr>
          <w:rFonts w:hint="eastAsia" w:ascii="楷体_GB2312" w:eastAsia="楷体_GB2312"/>
          <w:sz w:val="32"/>
          <w:szCs w:val="32"/>
        </w:rPr>
        <w:t>条</w:t>
      </w:r>
      <w:r>
        <w:rPr>
          <w:rFonts w:hint="eastAsia" w:ascii="仿宋_GB2312" w:eastAsia="仿宋_GB2312"/>
          <w:sz w:val="32"/>
          <w:szCs w:val="32"/>
        </w:rPr>
        <w:t xml:space="preserve">  本办法自</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日起施行，有效期至20</w:t>
      </w:r>
      <w:r>
        <w:rPr>
          <w:rFonts w:ascii="仿宋_GB2312" w:eastAsia="仿宋_GB2312"/>
          <w:sz w:val="32"/>
          <w:szCs w:val="32"/>
        </w:rPr>
        <w:t>2</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r>
        <w:rPr>
          <w:rFonts w:ascii="仿宋_GB2312" w:eastAsia="仿宋_GB2312"/>
          <w:sz w:val="32"/>
          <w:szCs w:val="32"/>
        </w:rPr>
        <w:t>。</w:t>
      </w:r>
    </w:p>
    <w:p>
      <w:pPr>
        <w:ind w:firstLine="645"/>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附件：1.市政</w:t>
      </w:r>
      <w:r>
        <w:rPr>
          <w:rFonts w:ascii="仿宋_GB2312" w:eastAsia="仿宋_GB2312"/>
          <w:sz w:val="32"/>
          <w:szCs w:val="32"/>
        </w:rPr>
        <w:t>施工</w:t>
      </w:r>
      <w:r>
        <w:rPr>
          <w:rFonts w:hint="eastAsia" w:ascii="仿宋_GB2312" w:eastAsia="仿宋_GB2312"/>
          <w:sz w:val="32"/>
          <w:szCs w:val="32"/>
        </w:rPr>
        <w:t>企业优良信用信息记分标准</w:t>
      </w:r>
    </w:p>
    <w:p>
      <w:pPr>
        <w:ind w:firstLine="645"/>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w:t>
      </w:r>
      <w:r>
        <w:rPr>
          <w:rFonts w:hint="eastAsia" w:ascii="仿宋_GB2312" w:eastAsia="仿宋_GB2312"/>
          <w:sz w:val="32"/>
          <w:szCs w:val="32"/>
        </w:rPr>
        <w:t>.市政</w:t>
      </w:r>
      <w:r>
        <w:rPr>
          <w:rFonts w:ascii="仿宋_GB2312" w:eastAsia="仿宋_GB2312"/>
          <w:sz w:val="32"/>
          <w:szCs w:val="32"/>
        </w:rPr>
        <w:t>施工</w:t>
      </w:r>
      <w:r>
        <w:rPr>
          <w:rFonts w:hint="eastAsia" w:ascii="仿宋_GB2312" w:eastAsia="仿宋_GB2312"/>
          <w:sz w:val="32"/>
          <w:szCs w:val="32"/>
        </w:rPr>
        <w:t>企业不良信用信息记分标准</w:t>
      </w:r>
    </w:p>
    <w:p>
      <w:pPr>
        <w:pStyle w:val="2"/>
        <w:sectPr>
          <w:footerReference r:id="rId5" w:type="default"/>
          <w:pgSz w:w="11906" w:h="16838"/>
          <w:pgMar w:top="1418" w:right="1418" w:bottom="1418" w:left="1418" w:header="851" w:footer="765" w:gutter="0"/>
          <w:pgNumType w:fmt="numberInDash" w:start="1"/>
          <w:cols w:space="425" w:num="1"/>
          <w:docGrid w:type="lines" w:linePitch="312" w:charSpace="0"/>
        </w:sectPr>
      </w:pPr>
    </w:p>
    <w:p>
      <w:pPr>
        <w:spacing w:line="400" w:lineRule="exact"/>
        <w:jc w:val="left"/>
        <w:rPr>
          <w:rFonts w:ascii="黑体" w:hAnsi="黑体" w:eastAsia="黑体" w:cs="方正小标宋简体"/>
          <w:kern w:val="0"/>
          <w:sz w:val="32"/>
          <w:szCs w:val="32"/>
        </w:rPr>
      </w:pPr>
      <w:r>
        <w:rPr>
          <w:rFonts w:hint="eastAsia" w:ascii="黑体" w:hAnsi="黑体" w:eastAsia="黑体" w:cs="方正小标宋简体"/>
          <w:kern w:val="0"/>
          <w:sz w:val="32"/>
          <w:szCs w:val="32"/>
        </w:rPr>
        <w:t>附件</w:t>
      </w:r>
      <w:r>
        <w:rPr>
          <w:rFonts w:ascii="黑体" w:hAnsi="黑体" w:eastAsia="黑体" w:cs="方正小标宋简体"/>
          <w:kern w:val="0"/>
          <w:sz w:val="32"/>
          <w:szCs w:val="32"/>
        </w:rPr>
        <w:t>1</w:t>
      </w:r>
    </w:p>
    <w:p>
      <w:pPr>
        <w:spacing w:beforeLines="50" w:afterLines="50"/>
        <w:jc w:val="center"/>
        <w:rPr>
          <w:rFonts w:ascii="文星标宋" w:hAnsi="文星标宋" w:eastAsia="文星标宋" w:cs="方正小标宋简体"/>
          <w:kern w:val="0"/>
          <w:sz w:val="40"/>
          <w:szCs w:val="40"/>
        </w:rPr>
      </w:pPr>
      <w:r>
        <w:rPr>
          <w:rFonts w:hint="eastAsia" w:ascii="文星标宋" w:hAnsi="文星标宋" w:eastAsia="文星标宋" w:cs="方正小标宋简体"/>
          <w:kern w:val="0"/>
          <w:sz w:val="40"/>
          <w:szCs w:val="40"/>
        </w:rPr>
        <w:t>市政施工企业</w:t>
      </w:r>
      <w:r>
        <w:rPr>
          <w:rFonts w:hint="eastAsia" w:ascii="文星标宋" w:hAnsi="文星标宋" w:eastAsia="文星标宋" w:cs="方正小标宋简体"/>
          <w:kern w:val="0"/>
          <w:sz w:val="40"/>
          <w:szCs w:val="40"/>
          <w:lang w:val="en-US" w:eastAsia="zh-CN"/>
        </w:rPr>
        <w:t>优良</w:t>
      </w:r>
      <w:r>
        <w:rPr>
          <w:rFonts w:hint="eastAsia" w:ascii="文星标宋" w:hAnsi="文星标宋" w:eastAsia="文星标宋" w:cs="方正小标宋简体"/>
          <w:kern w:val="0"/>
          <w:sz w:val="40"/>
          <w:szCs w:val="40"/>
        </w:rPr>
        <w:t>信用信息记分标准</w:t>
      </w:r>
    </w:p>
    <w:tbl>
      <w:tblPr>
        <w:tblStyle w:val="1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36"/>
        <w:gridCol w:w="5408"/>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37" w:type="dxa"/>
            <w:vAlign w:val="center"/>
          </w:tcPr>
          <w:p>
            <w:pPr>
              <w:tabs>
                <w:tab w:val="left" w:pos="1620"/>
              </w:tabs>
              <w:spacing w:line="320" w:lineRule="exact"/>
              <w:jc w:val="center"/>
              <w:rPr>
                <w:rFonts w:ascii="仿宋_GB2312" w:hAnsi="宋体" w:eastAsia="仿宋_GB2312" w:cs="Times New Roman"/>
                <w:b/>
                <w:color w:val="000000" w:themeColor="text1"/>
                <w:spacing w:val="-8"/>
                <w:sz w:val="24"/>
                <w:szCs w:val="24"/>
              </w:rPr>
            </w:pPr>
            <w:r>
              <w:rPr>
                <w:rFonts w:hint="eastAsia" w:ascii="仿宋_GB2312" w:hAnsi="宋体" w:eastAsia="仿宋_GB2312" w:cs="黑体"/>
                <w:b/>
                <w:color w:val="000000" w:themeColor="text1"/>
                <w:spacing w:val="-8"/>
                <w:sz w:val="24"/>
                <w:szCs w:val="24"/>
              </w:rPr>
              <w:t>类   别</w:t>
            </w:r>
          </w:p>
        </w:tc>
        <w:tc>
          <w:tcPr>
            <w:tcW w:w="1236" w:type="dxa"/>
            <w:vAlign w:val="center"/>
          </w:tcPr>
          <w:p>
            <w:pPr>
              <w:widowControl/>
              <w:tabs>
                <w:tab w:val="left" w:pos="1620"/>
                <w:tab w:val="left" w:pos="9837"/>
              </w:tabs>
              <w:spacing w:line="320" w:lineRule="exact"/>
              <w:jc w:val="center"/>
              <w:rPr>
                <w:rFonts w:ascii="仿宋_GB2312" w:hAnsi="宋体" w:eastAsia="仿宋_GB2312" w:cs="黑体"/>
                <w:b/>
                <w:color w:val="000000" w:themeColor="text1"/>
                <w:sz w:val="24"/>
                <w:szCs w:val="24"/>
              </w:rPr>
            </w:pPr>
            <w:r>
              <w:rPr>
                <w:rFonts w:hint="eastAsia" w:ascii="仿宋_GB2312" w:hAnsi="宋体" w:eastAsia="仿宋_GB2312" w:cs="黑体"/>
                <w:b/>
                <w:color w:val="000000" w:themeColor="text1"/>
                <w:sz w:val="24"/>
                <w:szCs w:val="24"/>
              </w:rPr>
              <w:t>信用</w:t>
            </w:r>
          </w:p>
          <w:p>
            <w:pPr>
              <w:widowControl/>
              <w:tabs>
                <w:tab w:val="left" w:pos="1620"/>
                <w:tab w:val="left" w:pos="9837"/>
              </w:tabs>
              <w:spacing w:line="320" w:lineRule="exact"/>
              <w:jc w:val="center"/>
              <w:rPr>
                <w:rFonts w:ascii="仿宋_GB2312" w:hAnsi="宋体" w:eastAsia="仿宋_GB2312" w:cs="Times New Roman"/>
                <w:b/>
                <w:color w:val="000000" w:themeColor="text1"/>
                <w:sz w:val="24"/>
                <w:szCs w:val="24"/>
              </w:rPr>
            </w:pPr>
            <w:r>
              <w:rPr>
                <w:rFonts w:hint="eastAsia" w:ascii="仿宋_GB2312" w:hAnsi="宋体" w:eastAsia="仿宋_GB2312" w:cs="黑体"/>
                <w:b/>
                <w:color w:val="000000" w:themeColor="text1"/>
                <w:sz w:val="24"/>
                <w:szCs w:val="24"/>
              </w:rPr>
              <w:t>代码</w:t>
            </w:r>
          </w:p>
        </w:tc>
        <w:tc>
          <w:tcPr>
            <w:tcW w:w="5408" w:type="dxa"/>
            <w:vAlign w:val="center"/>
          </w:tcPr>
          <w:p>
            <w:pPr>
              <w:tabs>
                <w:tab w:val="left" w:pos="1620"/>
                <w:tab w:val="left" w:pos="9837"/>
              </w:tabs>
              <w:spacing w:line="320" w:lineRule="exact"/>
              <w:jc w:val="center"/>
              <w:rPr>
                <w:rFonts w:ascii="仿宋_GB2312" w:hAnsi="宋体" w:eastAsia="仿宋_GB2312" w:cs="Times New Roman"/>
                <w:b/>
                <w:color w:val="000000" w:themeColor="text1"/>
                <w:sz w:val="24"/>
                <w:szCs w:val="24"/>
              </w:rPr>
            </w:pPr>
            <w:r>
              <w:rPr>
                <w:rFonts w:hint="eastAsia" w:ascii="仿宋_GB2312" w:hAnsi="宋体" w:eastAsia="仿宋_GB2312" w:cs="黑体"/>
                <w:b/>
                <w:color w:val="000000" w:themeColor="text1"/>
                <w:sz w:val="24"/>
                <w:szCs w:val="24"/>
                <w:lang w:val="en-US" w:eastAsia="zh-CN"/>
              </w:rPr>
              <w:t>优良</w:t>
            </w:r>
            <w:r>
              <w:rPr>
                <w:rFonts w:hint="eastAsia" w:ascii="仿宋_GB2312" w:hAnsi="宋体" w:eastAsia="仿宋_GB2312" w:cs="黑体"/>
                <w:b/>
                <w:color w:val="000000" w:themeColor="text1"/>
                <w:sz w:val="24"/>
                <w:szCs w:val="24"/>
              </w:rPr>
              <w:t>信息内容</w:t>
            </w:r>
          </w:p>
        </w:tc>
        <w:tc>
          <w:tcPr>
            <w:tcW w:w="1471" w:type="dxa"/>
            <w:vAlign w:val="center"/>
          </w:tcPr>
          <w:p>
            <w:pPr>
              <w:tabs>
                <w:tab w:val="left" w:pos="1620"/>
                <w:tab w:val="left" w:pos="9837"/>
              </w:tabs>
              <w:spacing w:line="320" w:lineRule="exact"/>
              <w:jc w:val="center"/>
              <w:rPr>
                <w:rFonts w:ascii="仿宋_GB2312" w:hAnsi="宋体" w:eastAsia="仿宋_GB2312" w:cs="Times New Roman"/>
                <w:b/>
                <w:color w:val="000000" w:themeColor="text1"/>
                <w:sz w:val="24"/>
                <w:szCs w:val="24"/>
              </w:rPr>
            </w:pPr>
            <w:r>
              <w:rPr>
                <w:rFonts w:hint="eastAsia" w:ascii="仿宋_GB2312" w:hAnsi="宋体" w:eastAsia="仿宋_GB2312" w:cs="黑体"/>
                <w:b/>
                <w:color w:val="000000" w:themeColor="text1"/>
                <w:sz w:val="24"/>
                <w:szCs w:val="24"/>
              </w:rPr>
              <w:t>记分</w:t>
            </w:r>
          </w:p>
          <w:p>
            <w:pPr>
              <w:tabs>
                <w:tab w:val="left" w:pos="1620"/>
                <w:tab w:val="left" w:pos="9837"/>
              </w:tabs>
              <w:spacing w:line="320" w:lineRule="exact"/>
              <w:jc w:val="center"/>
              <w:rPr>
                <w:rFonts w:ascii="仿宋_GB2312" w:hAnsi="宋体" w:eastAsia="仿宋_GB2312" w:cs="Times New Roman"/>
                <w:b/>
                <w:color w:val="000000" w:themeColor="text1"/>
                <w:kern w:val="0"/>
                <w:sz w:val="24"/>
                <w:szCs w:val="24"/>
              </w:rPr>
            </w:pPr>
            <w:r>
              <w:rPr>
                <w:rFonts w:hint="eastAsia" w:ascii="仿宋_GB2312" w:hAnsi="宋体" w:eastAsia="仿宋_GB2312" w:cs="黑体"/>
                <w:b/>
                <w:color w:val="000000" w:themeColor="text1"/>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37" w:type="dxa"/>
            <w:vMerge w:val="restart"/>
            <w:vAlign w:val="center"/>
          </w:tcPr>
          <w:p>
            <w:pPr>
              <w:widowControl/>
              <w:spacing w:line="320" w:lineRule="exact"/>
              <w:jc w:val="center"/>
              <w:rPr>
                <w:rFonts w:ascii="仿宋_GB2312" w:eastAsia="仿宋_GB2312" w:cs="宋体"/>
                <w:color w:val="000000" w:themeColor="text1"/>
                <w:spacing w:val="-8"/>
                <w:sz w:val="24"/>
                <w:szCs w:val="24"/>
              </w:rPr>
            </w:pPr>
            <w:r>
              <w:rPr>
                <w:rFonts w:hint="eastAsia" w:ascii="仿宋_GB2312" w:hAnsi="宋体" w:eastAsia="仿宋_GB2312" w:cs="宋体"/>
                <w:color w:val="000000" w:themeColor="text1"/>
                <w:spacing w:val="-8"/>
                <w:sz w:val="24"/>
                <w:szCs w:val="24"/>
              </w:rPr>
              <w:t>企业表彰</w:t>
            </w:r>
          </w:p>
        </w:tc>
        <w:tc>
          <w:tcPr>
            <w:tcW w:w="1236" w:type="dxa"/>
            <w:vAlign w:val="center"/>
          </w:tcPr>
          <w:p>
            <w:pPr>
              <w:tabs>
                <w:tab w:val="left" w:pos="1620"/>
                <w:tab w:val="left" w:pos="9837"/>
              </w:tabs>
              <w:spacing w:line="320" w:lineRule="exact"/>
              <w:jc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lh-1</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住房和城乡建设部或同级</w:t>
            </w:r>
            <w:r>
              <w:rPr>
                <w:rFonts w:ascii="仿宋_GB2312" w:hAnsi="宋体" w:eastAsia="仿宋_GB2312" w:cs="宋体"/>
                <w:color w:val="000000" w:themeColor="text1"/>
                <w:sz w:val="24"/>
                <w:szCs w:val="24"/>
              </w:rPr>
              <w:t>部门</w:t>
            </w:r>
            <w:r>
              <w:rPr>
                <w:rFonts w:hint="eastAsia" w:ascii="仿宋_GB2312" w:hAnsi="宋体" w:eastAsia="仿宋_GB2312" w:cs="宋体"/>
                <w:color w:val="000000" w:themeColor="text1"/>
                <w:sz w:val="24"/>
                <w:szCs w:val="24"/>
              </w:rPr>
              <w:t>（机构）、省级人民政府表彰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+10分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37" w:type="dxa"/>
            <w:vMerge w:val="continue"/>
            <w:vAlign w:val="center"/>
          </w:tcPr>
          <w:p>
            <w:pPr>
              <w:widowControl/>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lh-2</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省住房城乡建设主管部门或同级</w:t>
            </w:r>
            <w:r>
              <w:rPr>
                <w:rFonts w:ascii="仿宋_GB2312" w:hAnsi="宋体" w:eastAsia="仿宋_GB2312" w:cs="宋体"/>
                <w:color w:val="000000" w:themeColor="text1"/>
                <w:sz w:val="24"/>
                <w:szCs w:val="24"/>
              </w:rPr>
              <w:t>部门</w:t>
            </w:r>
            <w:r>
              <w:rPr>
                <w:rFonts w:hint="eastAsia" w:ascii="仿宋_GB2312" w:hAnsi="宋体" w:eastAsia="仿宋_GB2312" w:cs="宋体"/>
                <w:color w:val="000000" w:themeColor="text1"/>
                <w:sz w:val="24"/>
                <w:szCs w:val="24"/>
              </w:rPr>
              <w:t>（机构）、地市级人民政府表彰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37" w:type="dxa"/>
            <w:vMerge w:val="continue"/>
            <w:vAlign w:val="center"/>
          </w:tcPr>
          <w:p>
            <w:pPr>
              <w:widowControl/>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lh-3</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市级住房城乡建设主管部门或同级</w:t>
            </w:r>
            <w:r>
              <w:rPr>
                <w:rFonts w:ascii="仿宋_GB2312" w:hAnsi="宋体" w:eastAsia="仿宋_GB2312" w:cs="宋体"/>
                <w:color w:val="000000" w:themeColor="text1"/>
                <w:sz w:val="24"/>
                <w:szCs w:val="24"/>
              </w:rPr>
              <w:t>部门</w:t>
            </w:r>
            <w:r>
              <w:rPr>
                <w:rFonts w:hint="eastAsia" w:ascii="仿宋_GB2312" w:hAnsi="宋体" w:eastAsia="仿宋_GB2312" w:cs="宋体"/>
                <w:color w:val="000000" w:themeColor="text1"/>
                <w:sz w:val="24"/>
                <w:szCs w:val="24"/>
              </w:rPr>
              <w:t>（机构）、县市区人民政府、市属开发区</w:t>
            </w:r>
            <w:r>
              <w:rPr>
                <w:rFonts w:ascii="仿宋_GB2312" w:hAnsi="宋体" w:eastAsia="仿宋_GB2312" w:cs="宋体"/>
                <w:color w:val="000000" w:themeColor="text1"/>
                <w:sz w:val="24"/>
                <w:szCs w:val="24"/>
              </w:rPr>
              <w:t>管委会</w:t>
            </w:r>
            <w:r>
              <w:rPr>
                <w:rFonts w:hint="eastAsia" w:ascii="仿宋_GB2312" w:hAnsi="宋体" w:eastAsia="仿宋_GB2312" w:cs="宋体"/>
                <w:color w:val="000000" w:themeColor="text1"/>
                <w:sz w:val="24"/>
                <w:szCs w:val="24"/>
              </w:rPr>
              <w:t>表彰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lh-4</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县市区、市属开发区住房城乡建设主管部门表彰</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color w:val="000000" w:themeColor="text1"/>
                <w:spacing w:val="-8"/>
                <w:sz w:val="24"/>
                <w:szCs w:val="24"/>
              </w:rPr>
            </w:pPr>
          </w:p>
        </w:tc>
        <w:tc>
          <w:tcPr>
            <w:tcW w:w="1236" w:type="dxa"/>
            <w:vAlign w:val="center"/>
          </w:tcPr>
          <w:p>
            <w:pPr>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5</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推荐为全省经验介绍推广的或工程观摩活动的</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color w:val="000000" w:themeColor="text1"/>
                <w:spacing w:val="-8"/>
                <w:sz w:val="24"/>
                <w:szCs w:val="24"/>
              </w:rPr>
            </w:pPr>
          </w:p>
        </w:tc>
        <w:tc>
          <w:tcPr>
            <w:tcW w:w="1236" w:type="dxa"/>
            <w:vAlign w:val="center"/>
          </w:tcPr>
          <w:p>
            <w:pPr>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6</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推荐为全市经验介绍推广的或工程观摩活动的</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37" w:type="dxa"/>
            <w:vMerge w:val="continue"/>
            <w:vAlign w:val="center"/>
          </w:tcPr>
          <w:p>
            <w:pPr>
              <w:widowControl/>
              <w:spacing w:line="320" w:lineRule="exact"/>
              <w:jc w:val="center"/>
              <w:rPr>
                <w:rFonts w:ascii="仿宋_GB2312" w:eastAsia="仿宋_GB2312" w:cs="宋体"/>
                <w:color w:val="000000" w:themeColor="text1"/>
                <w:spacing w:val="-8"/>
                <w:sz w:val="24"/>
                <w:szCs w:val="24"/>
              </w:rPr>
            </w:pPr>
          </w:p>
        </w:tc>
        <w:tc>
          <w:tcPr>
            <w:tcW w:w="1236" w:type="dxa"/>
            <w:vAlign w:val="center"/>
          </w:tcPr>
          <w:p>
            <w:pPr>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7</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推荐为县市区、</w:t>
            </w:r>
            <w:r>
              <w:rPr>
                <w:rFonts w:ascii="仿宋_GB2312" w:hAnsi="宋体" w:eastAsia="仿宋_GB2312" w:cs="宋体"/>
                <w:color w:val="000000" w:themeColor="text1"/>
                <w:sz w:val="24"/>
                <w:szCs w:val="24"/>
              </w:rPr>
              <w:t>市属开发区</w:t>
            </w:r>
            <w:r>
              <w:rPr>
                <w:rFonts w:hint="eastAsia" w:ascii="仿宋_GB2312" w:hAnsi="宋体" w:eastAsia="仿宋_GB2312" w:cs="宋体"/>
                <w:color w:val="000000" w:themeColor="text1"/>
                <w:sz w:val="24"/>
                <w:szCs w:val="24"/>
              </w:rPr>
              <w:t>经验介绍推广的或工程观摩活动的</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restart"/>
            <w:vAlign w:val="center"/>
          </w:tcPr>
          <w:p>
            <w:pPr>
              <w:tabs>
                <w:tab w:val="left" w:pos="1620"/>
              </w:tabs>
              <w:spacing w:line="320" w:lineRule="exact"/>
              <w:jc w:val="center"/>
              <w:rPr>
                <w:rFonts w:ascii="仿宋_GB2312" w:eastAsia="仿宋_GB2312" w:cs="宋体"/>
                <w:bCs/>
                <w:color w:val="000000" w:themeColor="text1"/>
                <w:kern w:val="0"/>
                <w:sz w:val="24"/>
                <w:szCs w:val="24"/>
              </w:rPr>
            </w:pPr>
            <w:r>
              <w:rPr>
                <w:rFonts w:hint="eastAsia" w:ascii="仿宋_GB2312" w:hAnsi="宋体" w:eastAsia="仿宋_GB2312" w:cs="宋体"/>
                <w:color w:val="000000" w:themeColor="text1"/>
                <w:spacing w:val="-8"/>
                <w:sz w:val="24"/>
                <w:szCs w:val="24"/>
              </w:rPr>
              <w:t>质量安全</w:t>
            </w: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8</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获得一项鲁班奖、詹天佑</w:t>
            </w:r>
            <w:r>
              <w:rPr>
                <w:rFonts w:ascii="仿宋_GB2312" w:hAnsi="宋体" w:eastAsia="仿宋_GB2312" w:cs="宋体"/>
                <w:color w:val="000000" w:themeColor="text1"/>
                <w:sz w:val="24"/>
                <w:szCs w:val="24"/>
              </w:rPr>
              <w:t>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9</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获得一项国家优质工程奖金奖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lh-1</w:t>
            </w:r>
            <w:r>
              <w:rPr>
                <w:rFonts w:hint="eastAsia" w:ascii="仿宋_GB2312" w:hAnsi="宋体" w:eastAsia="仿宋_GB2312" w:cs="宋体"/>
                <w:color w:val="000000" w:themeColor="text1"/>
                <w:sz w:val="24"/>
                <w:szCs w:val="24"/>
                <w:lang w:val="en-US" w:eastAsia="zh-CN"/>
              </w:rPr>
              <w:t>0</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获得一项国家优质工程奖银奖、</w:t>
            </w:r>
            <w:r>
              <w:rPr>
                <w:rFonts w:ascii="仿宋_GB2312" w:hAnsi="宋体" w:eastAsia="仿宋_GB2312" w:cs="宋体"/>
                <w:color w:val="000000" w:themeColor="text1"/>
                <w:sz w:val="24"/>
                <w:szCs w:val="24"/>
              </w:rPr>
              <w:t>华东地区优质工程奖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lh-1</w:t>
            </w:r>
            <w:r>
              <w:rPr>
                <w:rFonts w:hint="eastAsia" w:ascii="仿宋_GB2312" w:hAnsi="宋体" w:eastAsia="仿宋_GB2312" w:cs="宋体"/>
                <w:color w:val="000000" w:themeColor="text1"/>
                <w:sz w:val="24"/>
                <w:szCs w:val="24"/>
                <w:lang w:val="en-US" w:eastAsia="zh-CN"/>
              </w:rPr>
              <w:t>1</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获得一项省长质量奖</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lh-1</w:t>
            </w:r>
            <w:r>
              <w:rPr>
                <w:rFonts w:hint="eastAsia" w:ascii="仿宋_GB2312" w:hAnsi="宋体" w:eastAsia="仿宋_GB2312" w:cs="宋体"/>
                <w:color w:val="000000" w:themeColor="text1"/>
                <w:sz w:val="24"/>
                <w:szCs w:val="24"/>
                <w:lang w:val="en-US" w:eastAsia="zh-CN"/>
              </w:rPr>
              <w:t>2</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获得一项山东省工程建设泰山杯一、二、三等奖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lang w:eastAsia="zh-CN"/>
              </w:rPr>
              <w:t>、</w:t>
            </w:r>
            <w:r>
              <w:rPr>
                <w:rFonts w:hint="eastAsia" w:ascii="仿宋_GB2312" w:hAnsi="宋体" w:eastAsia="仿宋_GB2312" w:cs="宋体"/>
                <w:color w:val="000000" w:themeColor="text1"/>
                <w:kern w:val="0"/>
                <w:sz w:val="24"/>
                <w:szCs w:val="24"/>
                <w:lang w:val="en-US" w:eastAsia="zh-CN"/>
              </w:rPr>
              <w:t>4、3</w:t>
            </w:r>
            <w:r>
              <w:rPr>
                <w:rFonts w:hint="eastAsia" w:ascii="仿宋_GB2312" w:hAnsi="宋体" w:eastAsia="仿宋_GB2312" w:cs="宋体"/>
                <w:color w:val="000000" w:themeColor="text1"/>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lh-1</w:t>
            </w:r>
            <w:r>
              <w:rPr>
                <w:rFonts w:hint="eastAsia" w:ascii="仿宋_GB2312" w:hAnsi="宋体" w:eastAsia="仿宋_GB2312" w:cs="宋体"/>
                <w:color w:val="000000" w:themeColor="text1"/>
                <w:sz w:val="24"/>
                <w:szCs w:val="24"/>
                <w:lang w:val="en-US" w:eastAsia="zh-CN"/>
              </w:rPr>
              <w:t>3</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获得一项全国市政金杯示范工程</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lh-1</w:t>
            </w:r>
            <w:r>
              <w:rPr>
                <w:rFonts w:hint="eastAsia" w:ascii="仿宋_GB2312" w:hAnsi="宋体" w:eastAsia="仿宋_GB2312" w:cs="宋体"/>
                <w:color w:val="000000" w:themeColor="text1"/>
                <w:sz w:val="24"/>
                <w:szCs w:val="24"/>
                <w:lang w:val="en-US" w:eastAsia="zh-CN"/>
              </w:rPr>
              <w:t>4</w:t>
            </w:r>
          </w:p>
        </w:tc>
        <w:tc>
          <w:tcPr>
            <w:tcW w:w="5408" w:type="dxa"/>
            <w:vAlign w:val="center"/>
          </w:tcPr>
          <w:p>
            <w:pPr>
              <w:widowControl/>
              <w:tabs>
                <w:tab w:val="left" w:pos="1620"/>
                <w:tab w:val="left" w:pos="9837"/>
              </w:tabs>
              <w:spacing w:line="320" w:lineRule="exact"/>
              <w:rPr>
                <w:rFonts w:hint="eastAsia" w:ascii="仿宋_GB2312" w:eastAsia="仿宋_GB2312" w:cs="宋体"/>
                <w:color w:val="000000" w:themeColor="text1"/>
                <w:sz w:val="24"/>
                <w:szCs w:val="24"/>
                <w:lang w:eastAsia="zh-CN"/>
              </w:rPr>
            </w:pPr>
            <w:r>
              <w:rPr>
                <w:rFonts w:hint="eastAsia" w:ascii="仿宋_GB2312" w:eastAsia="仿宋_GB2312" w:cs="宋体"/>
                <w:color w:val="000000" w:themeColor="text1"/>
                <w:sz w:val="24"/>
                <w:szCs w:val="24"/>
              </w:rPr>
              <w:t>获得一项省级市政金杯示范工程</w:t>
            </w:r>
            <w:r>
              <w:rPr>
                <w:rFonts w:hint="eastAsia" w:ascii="仿宋_GB2312" w:eastAsia="仿宋_GB2312" w:cs="宋体"/>
                <w:color w:val="000000" w:themeColor="text1"/>
                <w:sz w:val="24"/>
                <w:szCs w:val="24"/>
                <w:lang w:eastAsia="zh-CN"/>
              </w:rPr>
              <w:t>、山东省建筑工程优质结构奖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rPr>
              <w:t>1</w:t>
            </w:r>
            <w:r>
              <w:rPr>
                <w:rFonts w:hint="eastAsia" w:ascii="仿宋_GB2312" w:hAnsi="宋体" w:eastAsia="仿宋_GB2312" w:cs="宋体"/>
                <w:color w:val="000000" w:themeColor="text1"/>
                <w:sz w:val="24"/>
                <w:szCs w:val="24"/>
                <w:highlight w:val="none"/>
                <w:lang w:val="en-US" w:eastAsia="zh-CN"/>
              </w:rPr>
              <w:t>5</w:t>
            </w:r>
          </w:p>
        </w:tc>
        <w:tc>
          <w:tcPr>
            <w:tcW w:w="5408" w:type="dxa"/>
            <w:vAlign w:val="center"/>
          </w:tcPr>
          <w:p>
            <w:pPr>
              <w:widowControl/>
              <w:tabs>
                <w:tab w:val="left" w:pos="1620"/>
                <w:tab w:val="left" w:pos="9837"/>
              </w:tabs>
              <w:spacing w:line="320" w:lineRule="exact"/>
              <w:rPr>
                <w:rFonts w:hint="eastAsia"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获得一项国家级AAA级安全文明标准化工地</w:t>
            </w:r>
          </w:p>
        </w:tc>
        <w:tc>
          <w:tcPr>
            <w:tcW w:w="1471" w:type="dxa"/>
            <w:vAlign w:val="center"/>
          </w:tcPr>
          <w:p>
            <w:pPr>
              <w:widowControl/>
              <w:tabs>
                <w:tab w:val="left" w:pos="1620"/>
              </w:tabs>
              <w:spacing w:line="320" w:lineRule="exact"/>
              <w:jc w:val="center"/>
              <w:rPr>
                <w:rFonts w:hint="default" w:ascii="仿宋_GB2312" w:hAnsi="宋体" w:eastAsia="仿宋_GB2312" w:cs="宋体"/>
                <w:color w:val="000000" w:themeColor="text1"/>
                <w:kern w:val="0"/>
                <w:sz w:val="24"/>
                <w:szCs w:val="24"/>
                <w:lang w:val="en-US" w:eastAsia="zh-CN"/>
              </w:rPr>
            </w:pPr>
            <w:r>
              <w:rPr>
                <w:rFonts w:hint="eastAsia" w:ascii="仿宋_GB2312" w:hAnsi="宋体" w:eastAsia="仿宋_GB2312" w:cs="宋体"/>
                <w:color w:val="000000" w:themeColor="text1"/>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rPr>
              <w:t>1</w:t>
            </w:r>
            <w:r>
              <w:rPr>
                <w:rFonts w:hint="eastAsia" w:ascii="仿宋_GB2312" w:hAnsi="宋体" w:eastAsia="仿宋_GB2312" w:cs="宋体"/>
                <w:color w:val="000000" w:themeColor="text1"/>
                <w:sz w:val="24"/>
                <w:szCs w:val="24"/>
                <w:highlight w:val="none"/>
                <w:lang w:val="en-US" w:eastAsia="zh-CN"/>
              </w:rPr>
              <w:t>6</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获得一项省级市政工程安全文明标准化工地</w:t>
            </w:r>
          </w:p>
        </w:tc>
        <w:tc>
          <w:tcPr>
            <w:tcW w:w="1471" w:type="dxa"/>
            <w:tcBorders>
              <w:top w:val="single" w:color="auto" w:sz="4" w:space="0"/>
            </w:tcBorders>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lang w:val="en-US" w:eastAsia="zh-CN"/>
              </w:rPr>
              <w:t>17</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国家建设工程项目施工安全生产标准化工地</w:t>
            </w:r>
          </w:p>
        </w:tc>
        <w:tc>
          <w:tcPr>
            <w:tcW w:w="1471" w:type="dxa"/>
            <w:tcBorders>
              <w:top w:val="single" w:color="auto" w:sz="4" w:space="0"/>
            </w:tcBorders>
            <w:vAlign w:val="center"/>
          </w:tcPr>
          <w:p>
            <w:pPr>
              <w:jc w:val="center"/>
              <w:rPr>
                <w:rFonts w:ascii="仿宋_GB2312" w:eastAsia="仿宋_GB2312" w:cs="宋体"/>
                <w:color w:val="000000" w:themeColor="text1"/>
                <w:kern w:val="0"/>
                <w:sz w:val="24"/>
                <w:szCs w:val="24"/>
              </w:rPr>
            </w:pPr>
            <w:r>
              <w:rPr>
                <w:rFonts w:hint="eastAsia" w:ascii="仿宋_GB2312" w:hAnsi="仿宋_GB2312" w:eastAsia="仿宋_GB2312" w:cs="仿宋_GB2312"/>
                <w:color w:val="000000" w:themeColor="text1"/>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default"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lang w:val="en-US" w:eastAsia="zh-CN"/>
              </w:rPr>
              <w:t>18</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获得一项国家级科技示范</w:t>
            </w:r>
            <w:r>
              <w:rPr>
                <w:rFonts w:ascii="仿宋_GB2312" w:hAnsi="宋体" w:eastAsia="仿宋_GB2312" w:cs="宋体"/>
                <w:color w:val="000000" w:themeColor="text1"/>
                <w:sz w:val="24"/>
                <w:szCs w:val="24"/>
              </w:rPr>
              <w:t>工程、</w:t>
            </w:r>
            <w:r>
              <w:rPr>
                <w:rFonts w:hint="eastAsia" w:ascii="仿宋_GB2312" w:hAnsi="宋体" w:eastAsia="仿宋_GB2312" w:cs="宋体"/>
                <w:color w:val="000000" w:themeColor="text1"/>
                <w:sz w:val="24"/>
                <w:szCs w:val="24"/>
              </w:rPr>
              <w:t>国家级绿色施工示范工程</w:t>
            </w:r>
          </w:p>
        </w:tc>
        <w:tc>
          <w:tcPr>
            <w:tcW w:w="1471" w:type="dxa"/>
            <w:tcBorders>
              <w:top w:val="single" w:color="auto" w:sz="4" w:space="0"/>
            </w:tcBorders>
            <w:vAlign w:val="center"/>
          </w:tcPr>
          <w:p>
            <w:pPr>
              <w:widowControl/>
              <w:tabs>
                <w:tab w:val="left" w:pos="1620"/>
              </w:tabs>
              <w:spacing w:line="320" w:lineRule="exact"/>
              <w:jc w:val="center"/>
              <w:rPr>
                <w:rFonts w:ascii="仿宋_GB2312" w:hAnsi="仿宋_GB2312" w:eastAsia="仿宋_GB2312" w:cs="仿宋_GB2312"/>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default"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lang w:val="en-US" w:eastAsia="zh-CN"/>
              </w:rPr>
              <w:t>19</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获得一项省级绿色施工科技示范工程</w:t>
            </w:r>
          </w:p>
        </w:tc>
        <w:tc>
          <w:tcPr>
            <w:tcW w:w="1471" w:type="dxa"/>
            <w:tcBorders>
              <w:top w:val="single" w:color="auto" w:sz="4" w:space="0"/>
            </w:tcBorders>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rPr>
              <w:t>2</w:t>
            </w:r>
            <w:r>
              <w:rPr>
                <w:rFonts w:hint="eastAsia" w:ascii="仿宋_GB2312" w:hAnsi="宋体" w:eastAsia="仿宋_GB2312" w:cs="宋体"/>
                <w:color w:val="000000" w:themeColor="text1"/>
                <w:sz w:val="24"/>
                <w:szCs w:val="24"/>
                <w:highlight w:val="none"/>
                <w:lang w:val="en-US" w:eastAsia="zh-CN"/>
              </w:rPr>
              <w:t>0</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eastAsia="仿宋_GB2312" w:cs="宋体"/>
                <w:color w:val="000000" w:themeColor="text1"/>
                <w:sz w:val="24"/>
                <w:szCs w:val="24"/>
              </w:rPr>
              <w:t>省智慧工地建设AAA级</w:t>
            </w:r>
          </w:p>
        </w:tc>
        <w:tc>
          <w:tcPr>
            <w:tcW w:w="1471" w:type="dxa"/>
            <w:tcBorders>
              <w:top w:val="single" w:color="auto" w:sz="4" w:space="0"/>
            </w:tcBorders>
            <w:vAlign w:val="center"/>
          </w:tcPr>
          <w:p>
            <w:pPr>
              <w:jc w:val="center"/>
              <w:rPr>
                <w:rFonts w:ascii="仿宋_GB2312" w:hAnsi="宋体" w:eastAsia="仿宋_GB2312" w:cs="宋体"/>
                <w:color w:val="000000" w:themeColor="text1"/>
                <w:kern w:val="0"/>
                <w:sz w:val="24"/>
                <w:szCs w:val="24"/>
              </w:rPr>
            </w:pPr>
            <w:r>
              <w:rPr>
                <w:rFonts w:hint="eastAsia" w:ascii="仿宋_GB2312" w:hAnsi="仿宋_GB2312" w:eastAsia="仿宋_GB2312" w:cs="仿宋_GB2312"/>
                <w:color w:val="000000" w:themeColor="text1"/>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rPr>
              <w:t>2</w:t>
            </w:r>
            <w:r>
              <w:rPr>
                <w:rFonts w:hint="eastAsia" w:ascii="仿宋_GB2312" w:hAnsi="宋体" w:eastAsia="仿宋_GB2312" w:cs="宋体"/>
                <w:color w:val="000000" w:themeColor="text1"/>
                <w:sz w:val="24"/>
                <w:szCs w:val="24"/>
                <w:highlight w:val="none"/>
                <w:lang w:val="en-US" w:eastAsia="zh-CN"/>
              </w:rPr>
              <w:t>1</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省智慧工地建设AA级</w:t>
            </w:r>
          </w:p>
        </w:tc>
        <w:tc>
          <w:tcPr>
            <w:tcW w:w="1471" w:type="dxa"/>
            <w:tcBorders>
              <w:top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lh-2</w:t>
            </w:r>
            <w:r>
              <w:rPr>
                <w:rFonts w:hint="eastAsia" w:ascii="仿宋_GB2312" w:hAnsi="宋体" w:eastAsia="仿宋_GB2312" w:cs="宋体"/>
                <w:color w:val="000000" w:themeColor="text1"/>
                <w:sz w:val="24"/>
                <w:szCs w:val="24"/>
                <w:highlight w:val="none"/>
                <w:lang w:val="en-US" w:eastAsia="zh-CN"/>
              </w:rPr>
              <w:t>2</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省智慧工地建设A级</w:t>
            </w:r>
          </w:p>
        </w:tc>
        <w:tc>
          <w:tcPr>
            <w:tcW w:w="1471" w:type="dxa"/>
            <w:tcBorders>
              <w:top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restart"/>
            <w:vAlign w:val="center"/>
          </w:tcPr>
          <w:p>
            <w:pPr>
              <w:widowControl/>
              <w:spacing w:line="320" w:lineRule="exact"/>
              <w:jc w:val="center"/>
              <w:rPr>
                <w:rFonts w:ascii="仿宋_GB2312" w:eastAsia="仿宋_GB2312" w:cs="宋体"/>
                <w:bCs/>
                <w:color w:val="000000" w:themeColor="text1"/>
                <w:kern w:val="0"/>
                <w:sz w:val="24"/>
                <w:szCs w:val="24"/>
              </w:rPr>
            </w:pPr>
            <w:r>
              <w:rPr>
                <w:rFonts w:hint="eastAsia" w:ascii="仿宋_GB2312" w:hAnsi="宋体" w:eastAsia="仿宋_GB2312" w:cs="宋体"/>
                <w:color w:val="000000" w:themeColor="text1"/>
                <w:spacing w:val="-8"/>
                <w:sz w:val="24"/>
                <w:szCs w:val="24"/>
              </w:rPr>
              <w:t>质量安全</w:t>
            </w: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rPr>
              <w:t>2</w:t>
            </w:r>
            <w:r>
              <w:rPr>
                <w:rFonts w:hint="eastAsia" w:ascii="仿宋_GB2312" w:hAnsi="宋体" w:eastAsia="仿宋_GB2312" w:cs="宋体"/>
                <w:color w:val="000000" w:themeColor="text1"/>
                <w:sz w:val="24"/>
                <w:szCs w:val="24"/>
                <w:highlight w:val="none"/>
                <w:lang w:val="en-US" w:eastAsia="zh-CN"/>
              </w:rPr>
              <w:t>3</w:t>
            </w:r>
          </w:p>
        </w:tc>
        <w:tc>
          <w:tcPr>
            <w:tcW w:w="5408" w:type="dxa"/>
            <w:vAlign w:val="center"/>
          </w:tcPr>
          <w:p>
            <w:pPr>
              <w:widowControl/>
              <w:tabs>
                <w:tab w:val="left" w:pos="1620"/>
                <w:tab w:val="left" w:pos="9837"/>
              </w:tabs>
              <w:spacing w:line="320" w:lineRule="exact"/>
              <w:rPr>
                <w:rFonts w:hint="eastAsia" w:ascii="仿宋_GB2312" w:eastAsia="仿宋_GB2312" w:cs="宋体"/>
                <w:color w:val="000000" w:themeColor="text1"/>
                <w:sz w:val="24"/>
                <w:szCs w:val="24"/>
                <w:lang w:val="en-US" w:eastAsia="zh-CN"/>
              </w:rPr>
            </w:pPr>
            <w:r>
              <w:rPr>
                <w:rFonts w:hint="eastAsia" w:ascii="仿宋_GB2312" w:eastAsia="仿宋_GB2312" w:cs="宋体"/>
                <w:color w:val="000000" w:themeColor="text1"/>
                <w:sz w:val="24"/>
                <w:szCs w:val="24"/>
                <w:lang w:val="en-US" w:eastAsia="zh-CN"/>
              </w:rPr>
              <w:t>获得一项潍坊市市长质量奖</w:t>
            </w:r>
          </w:p>
        </w:tc>
        <w:tc>
          <w:tcPr>
            <w:tcW w:w="1471" w:type="dxa"/>
            <w:tcBorders>
              <w:top w:val="single" w:color="auto" w:sz="4" w:space="0"/>
            </w:tcBorders>
            <w:vAlign w:val="center"/>
          </w:tcPr>
          <w:p>
            <w:pPr>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w:t>
            </w:r>
            <w:r>
              <w:rPr>
                <w:rFonts w:hint="eastAsia" w:ascii="仿宋_GB2312" w:hAnsi="宋体" w:eastAsia="仿宋_GB2312" w:cs="宋体"/>
                <w:color w:val="000000" w:themeColor="text1"/>
                <w:sz w:val="24"/>
                <w:szCs w:val="24"/>
                <w:highlight w:val="none"/>
              </w:rPr>
              <w:t>2</w:t>
            </w:r>
            <w:r>
              <w:rPr>
                <w:rFonts w:hint="eastAsia" w:ascii="仿宋_GB2312" w:hAnsi="宋体" w:eastAsia="仿宋_GB2312" w:cs="宋体"/>
                <w:color w:val="000000" w:themeColor="text1"/>
                <w:sz w:val="24"/>
                <w:szCs w:val="24"/>
                <w:highlight w:val="none"/>
                <w:lang w:val="en-US" w:eastAsia="zh-CN"/>
              </w:rPr>
              <w:t>4</w:t>
            </w:r>
          </w:p>
        </w:tc>
        <w:tc>
          <w:tcPr>
            <w:tcW w:w="5408" w:type="dxa"/>
            <w:vAlign w:val="center"/>
          </w:tcPr>
          <w:p>
            <w:pPr>
              <w:widowControl/>
              <w:tabs>
                <w:tab w:val="left" w:pos="1620"/>
                <w:tab w:val="left" w:pos="9837"/>
              </w:tabs>
              <w:spacing w:line="320" w:lineRule="exact"/>
              <w:rPr>
                <w:rFonts w:hint="eastAsia" w:ascii="仿宋_GB2312" w:eastAsia="仿宋_GB2312" w:cs="宋体"/>
                <w:color w:val="000000" w:themeColor="text1"/>
                <w:sz w:val="24"/>
                <w:szCs w:val="24"/>
              </w:rPr>
            </w:pPr>
            <w:r>
              <w:rPr>
                <w:rFonts w:hint="eastAsia" w:ascii="仿宋_GB2312" w:eastAsia="仿宋_GB2312" w:cs="宋体"/>
                <w:color w:val="000000" w:themeColor="text1"/>
                <w:sz w:val="24"/>
                <w:szCs w:val="24"/>
                <w:lang w:val="en-US" w:eastAsia="zh-CN"/>
              </w:rPr>
              <w:t>获得一项国家级</w:t>
            </w:r>
            <w:r>
              <w:rPr>
                <w:rFonts w:hint="eastAsia" w:ascii="仿宋_GB2312" w:eastAsia="仿宋_GB2312" w:cs="宋体"/>
                <w:color w:val="000000" w:themeColor="text1"/>
                <w:sz w:val="24"/>
                <w:szCs w:val="24"/>
              </w:rPr>
              <w:t>质量信得过班组奖</w:t>
            </w:r>
          </w:p>
        </w:tc>
        <w:tc>
          <w:tcPr>
            <w:tcW w:w="1471" w:type="dxa"/>
            <w:tcBorders>
              <w:top w:val="single" w:color="auto"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highlight w:val="none"/>
              </w:rPr>
              <w:t>SZ</w:t>
            </w:r>
            <w:r>
              <w:rPr>
                <w:rFonts w:ascii="仿宋_GB2312" w:hAnsi="宋体" w:eastAsia="仿宋_GB2312" w:cs="宋体"/>
                <w:color w:val="000000" w:themeColor="text1"/>
                <w:sz w:val="24"/>
                <w:szCs w:val="24"/>
                <w:highlight w:val="none"/>
              </w:rPr>
              <w:t>lh-2</w:t>
            </w:r>
            <w:r>
              <w:rPr>
                <w:rFonts w:hint="eastAsia" w:ascii="仿宋_GB2312" w:hAnsi="宋体" w:eastAsia="仿宋_GB2312" w:cs="宋体"/>
                <w:color w:val="000000" w:themeColor="text1"/>
                <w:sz w:val="24"/>
                <w:szCs w:val="24"/>
                <w:highlight w:val="none"/>
                <w:lang w:val="en-US" w:eastAsia="zh-CN"/>
              </w:rPr>
              <w:t>5</w:t>
            </w:r>
          </w:p>
        </w:tc>
        <w:tc>
          <w:tcPr>
            <w:tcW w:w="5408" w:type="dxa"/>
            <w:vAlign w:val="center"/>
          </w:tcPr>
          <w:p>
            <w:pPr>
              <w:widowControl/>
              <w:tabs>
                <w:tab w:val="left" w:pos="1620"/>
                <w:tab w:val="left" w:pos="9837"/>
              </w:tabs>
              <w:spacing w:line="320" w:lineRule="exact"/>
              <w:rPr>
                <w:rFonts w:hint="eastAsia" w:ascii="仿宋_GB2312" w:eastAsia="仿宋_GB2312" w:cs="宋体"/>
                <w:color w:val="000000" w:themeColor="text1"/>
                <w:sz w:val="24"/>
                <w:szCs w:val="24"/>
              </w:rPr>
            </w:pPr>
            <w:r>
              <w:rPr>
                <w:rFonts w:hint="eastAsia" w:ascii="仿宋_GB2312" w:eastAsia="仿宋_GB2312" w:cs="宋体"/>
                <w:color w:val="000000" w:themeColor="text1"/>
                <w:sz w:val="24"/>
                <w:szCs w:val="24"/>
                <w:lang w:val="en-US" w:eastAsia="zh-CN"/>
              </w:rPr>
              <w:t>获得一项省级</w:t>
            </w:r>
            <w:r>
              <w:rPr>
                <w:rFonts w:hint="eastAsia" w:ascii="仿宋_GB2312" w:eastAsia="仿宋_GB2312" w:cs="宋体"/>
                <w:color w:val="000000" w:themeColor="text1"/>
                <w:sz w:val="24"/>
                <w:szCs w:val="24"/>
              </w:rPr>
              <w:t>质量信得过班组奖</w:t>
            </w:r>
          </w:p>
        </w:tc>
        <w:tc>
          <w:tcPr>
            <w:tcW w:w="1471" w:type="dxa"/>
            <w:tcBorders>
              <w:top w:val="single" w:color="auto"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vAlign w:val="center"/>
          </w:tcPr>
          <w:p>
            <w:pPr>
              <w:widowControl/>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highlight w:val="none"/>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lh-2</w:t>
            </w:r>
            <w:r>
              <w:rPr>
                <w:rFonts w:hint="eastAsia" w:ascii="仿宋_GB2312" w:hAnsi="宋体" w:eastAsia="仿宋_GB2312" w:cs="宋体"/>
                <w:color w:val="000000" w:themeColor="text1"/>
                <w:sz w:val="24"/>
                <w:szCs w:val="24"/>
                <w:lang w:val="en-US" w:eastAsia="zh-CN"/>
              </w:rPr>
              <w:t>6</w:t>
            </w:r>
          </w:p>
        </w:tc>
        <w:tc>
          <w:tcPr>
            <w:tcW w:w="5408" w:type="dxa"/>
            <w:vAlign w:val="center"/>
          </w:tcPr>
          <w:p>
            <w:pPr>
              <w:widowControl/>
              <w:tabs>
                <w:tab w:val="left" w:pos="1620"/>
                <w:tab w:val="left" w:pos="9837"/>
              </w:tabs>
              <w:spacing w:line="320" w:lineRule="exact"/>
              <w:rPr>
                <w:rFonts w:hint="eastAsia" w:ascii="仿宋_GB2312" w:eastAsia="仿宋_GB2312" w:cs="宋体"/>
                <w:color w:val="000000" w:themeColor="text1"/>
                <w:sz w:val="24"/>
                <w:szCs w:val="24"/>
              </w:rPr>
            </w:pPr>
            <w:r>
              <w:rPr>
                <w:rFonts w:hint="eastAsia" w:ascii="仿宋_GB2312" w:eastAsia="仿宋_GB2312" w:cs="宋体"/>
                <w:color w:val="000000" w:themeColor="text1"/>
                <w:sz w:val="24"/>
                <w:szCs w:val="24"/>
                <w:lang w:val="en-US" w:eastAsia="zh-CN"/>
              </w:rPr>
              <w:t>获得一项市级</w:t>
            </w:r>
            <w:r>
              <w:rPr>
                <w:rFonts w:hint="eastAsia" w:ascii="仿宋_GB2312" w:eastAsia="仿宋_GB2312" w:cs="宋体"/>
                <w:color w:val="000000" w:themeColor="text1"/>
                <w:sz w:val="24"/>
                <w:szCs w:val="24"/>
              </w:rPr>
              <w:t>质量信得过班组奖</w:t>
            </w:r>
          </w:p>
        </w:tc>
        <w:tc>
          <w:tcPr>
            <w:tcW w:w="1471" w:type="dxa"/>
            <w:tcBorders>
              <w:top w:val="single" w:color="auto" w:sz="4" w:space="0"/>
            </w:tcBorders>
            <w:vAlign w:val="center"/>
          </w:tcPr>
          <w:p>
            <w:pPr>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37" w:type="dxa"/>
            <w:vMerge w:val="restart"/>
            <w:vAlign w:val="center"/>
          </w:tcPr>
          <w:p>
            <w:pPr>
              <w:tabs>
                <w:tab w:val="left" w:pos="1620"/>
              </w:tabs>
              <w:spacing w:line="320" w:lineRule="exact"/>
              <w:jc w:val="center"/>
              <w:rPr>
                <w:rFonts w:ascii="仿宋_GB2312" w:eastAsia="仿宋_GB2312" w:cs="宋体"/>
                <w:color w:val="000000" w:themeColor="text1"/>
                <w:spacing w:val="-8"/>
                <w:sz w:val="24"/>
                <w:szCs w:val="24"/>
              </w:rPr>
            </w:pPr>
            <w:r>
              <w:rPr>
                <w:rFonts w:hint="eastAsia" w:ascii="仿宋_GB2312" w:hAnsi="宋体" w:eastAsia="仿宋_GB2312" w:cs="宋体"/>
                <w:color w:val="000000" w:themeColor="text1"/>
                <w:spacing w:val="-8"/>
                <w:sz w:val="24"/>
                <w:szCs w:val="24"/>
              </w:rPr>
              <w:t>施工业绩</w:t>
            </w: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27</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本地</w:t>
            </w:r>
            <w:r>
              <w:rPr>
                <w:rFonts w:ascii="仿宋_GB2312" w:hAnsi="宋体" w:eastAsia="仿宋_GB2312" w:cs="宋体"/>
                <w:color w:val="000000" w:themeColor="text1"/>
                <w:sz w:val="24"/>
                <w:szCs w:val="24"/>
              </w:rPr>
              <w:t>施工企业</w:t>
            </w:r>
            <w:r>
              <w:rPr>
                <w:rFonts w:hint="eastAsia" w:ascii="仿宋_GB2312" w:hAnsi="宋体" w:eastAsia="仿宋_GB2312" w:cs="宋体"/>
                <w:color w:val="000000" w:themeColor="text1"/>
                <w:sz w:val="24"/>
                <w:szCs w:val="24"/>
              </w:rPr>
              <w:t>承揽市政工程（企业</w:t>
            </w:r>
            <w:r>
              <w:rPr>
                <w:rFonts w:ascii="仿宋_GB2312" w:hAnsi="宋体" w:eastAsia="仿宋_GB2312" w:cs="宋体"/>
                <w:color w:val="000000" w:themeColor="text1"/>
                <w:sz w:val="24"/>
                <w:szCs w:val="24"/>
              </w:rPr>
              <w:t>签订合同</w:t>
            </w:r>
            <w:r>
              <w:rPr>
                <w:rFonts w:hint="eastAsia" w:ascii="仿宋_GB2312" w:hAnsi="宋体" w:eastAsia="仿宋_GB2312" w:cs="宋体"/>
                <w:color w:val="000000" w:themeColor="text1"/>
                <w:sz w:val="24"/>
                <w:szCs w:val="24"/>
              </w:rPr>
              <w:t>15日后</w:t>
            </w:r>
            <w:r>
              <w:rPr>
                <w:rFonts w:ascii="仿宋_GB2312" w:hAnsi="宋体" w:eastAsia="仿宋_GB2312" w:cs="宋体"/>
                <w:color w:val="000000" w:themeColor="text1"/>
                <w:sz w:val="24"/>
                <w:szCs w:val="24"/>
              </w:rPr>
              <w:t>认定</w:t>
            </w:r>
            <w:r>
              <w:rPr>
                <w:rFonts w:hint="eastAsia" w:ascii="仿宋_GB2312" w:hAnsi="宋体" w:eastAsia="仿宋_GB2312" w:cs="宋体"/>
                <w:color w:val="000000" w:themeColor="text1"/>
                <w:sz w:val="24"/>
                <w:szCs w:val="24"/>
              </w:rPr>
              <w:t>）且无不良行为的，按照合同承揽</w:t>
            </w:r>
            <w:r>
              <w:rPr>
                <w:rFonts w:ascii="仿宋_GB2312" w:hAnsi="宋体" w:eastAsia="仿宋_GB2312" w:cs="宋体"/>
                <w:color w:val="000000" w:themeColor="text1"/>
                <w:sz w:val="24"/>
                <w:szCs w:val="24"/>
              </w:rPr>
              <w:t>工程额</w:t>
            </w:r>
            <w:r>
              <w:rPr>
                <w:rFonts w:hint="eastAsia" w:ascii="仿宋_GB2312" w:hAnsi="宋体" w:eastAsia="仿宋_GB2312" w:cs="宋体"/>
                <w:color w:val="000000" w:themeColor="text1"/>
                <w:sz w:val="24"/>
                <w:szCs w:val="24"/>
              </w:rPr>
              <w:t>，每满10万元加0.</w:t>
            </w:r>
            <w:r>
              <w:rPr>
                <w:rFonts w:ascii="仿宋_GB2312" w:hAnsi="宋体" w:eastAsia="仿宋_GB2312" w:cs="宋体"/>
                <w:color w:val="000000" w:themeColor="text1"/>
                <w:sz w:val="24"/>
                <w:szCs w:val="24"/>
              </w:rPr>
              <w:t>02</w:t>
            </w:r>
            <w:r>
              <w:rPr>
                <w:rFonts w:hint="eastAsia" w:ascii="仿宋_GB2312" w:hAnsi="宋体" w:eastAsia="仿宋_GB2312" w:cs="宋体"/>
                <w:color w:val="000000" w:themeColor="text1"/>
                <w:sz w:val="24"/>
                <w:szCs w:val="24"/>
              </w:rPr>
              <w:t>分（不足10万元的不计）。本项累计</w:t>
            </w:r>
            <w:r>
              <w:rPr>
                <w:rFonts w:ascii="仿宋_GB2312" w:hAnsi="宋体" w:eastAsia="仿宋_GB2312" w:cs="宋体"/>
                <w:color w:val="000000" w:themeColor="text1"/>
                <w:sz w:val="24"/>
                <w:szCs w:val="24"/>
              </w:rPr>
              <w:t>加分最高</w:t>
            </w:r>
            <w:r>
              <w:rPr>
                <w:rFonts w:hint="eastAsia" w:ascii="仿宋_GB2312" w:hAnsi="宋体" w:eastAsia="仿宋_GB2312" w:cs="宋体"/>
                <w:color w:val="000000" w:themeColor="text1"/>
                <w:sz w:val="24"/>
                <w:szCs w:val="24"/>
                <w:lang w:val="en-US" w:eastAsia="zh-CN"/>
              </w:rPr>
              <w:t>2</w:t>
            </w:r>
            <w:r>
              <w:rPr>
                <w:rFonts w:hint="eastAsia" w:ascii="仿宋_GB2312" w:hAnsi="宋体" w:eastAsia="仿宋_GB2312" w:cs="宋体"/>
                <w:color w:val="000000" w:themeColor="text1"/>
                <w:sz w:val="24"/>
                <w:szCs w:val="24"/>
              </w:rPr>
              <w:t>0分</w:t>
            </w:r>
            <w:r>
              <w:rPr>
                <w:rFonts w:ascii="仿宋_GB2312" w:hAnsi="宋体" w:eastAsia="仿宋_GB2312" w:cs="宋体"/>
                <w:color w:val="000000" w:themeColor="text1"/>
                <w:sz w:val="24"/>
                <w:szCs w:val="24"/>
              </w:rPr>
              <w:t>。</w:t>
            </w:r>
          </w:p>
        </w:tc>
        <w:tc>
          <w:tcPr>
            <w:tcW w:w="1471" w:type="dxa"/>
            <w:tcBorders>
              <w:bottom w:val="single" w:color="auto" w:sz="4" w:space="0"/>
            </w:tcBorders>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37" w:type="dxa"/>
            <w:vMerge w:val="continue"/>
            <w:vAlign w:val="center"/>
          </w:tcPr>
          <w:p>
            <w:pPr>
              <w:tabs>
                <w:tab w:val="left" w:pos="1620"/>
              </w:tabs>
              <w:spacing w:line="320" w:lineRule="exact"/>
              <w:jc w:val="center"/>
              <w:rPr>
                <w:rFonts w:ascii="仿宋_GB2312" w:hAnsi="宋体"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28</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外地</w:t>
            </w:r>
            <w:r>
              <w:rPr>
                <w:rFonts w:hint="eastAsia" w:ascii="仿宋_GB2312" w:hAnsi="宋体" w:eastAsia="仿宋_GB2312" w:cs="宋体"/>
                <w:color w:val="000000" w:themeColor="text1"/>
                <w:sz w:val="24"/>
                <w:szCs w:val="24"/>
                <w:lang w:val="en-US" w:eastAsia="zh-CN"/>
              </w:rPr>
              <w:t>进潍</w:t>
            </w:r>
            <w:r>
              <w:rPr>
                <w:rFonts w:ascii="仿宋_GB2312" w:hAnsi="宋体" w:eastAsia="仿宋_GB2312" w:cs="宋体"/>
                <w:color w:val="000000" w:themeColor="text1"/>
                <w:sz w:val="24"/>
                <w:szCs w:val="24"/>
              </w:rPr>
              <w:t>施工企业在本市</w:t>
            </w:r>
            <w:r>
              <w:rPr>
                <w:rFonts w:hint="eastAsia" w:ascii="仿宋_GB2312" w:hAnsi="宋体" w:eastAsia="仿宋_GB2312" w:cs="宋体"/>
                <w:color w:val="000000" w:themeColor="text1"/>
                <w:sz w:val="24"/>
                <w:szCs w:val="24"/>
              </w:rPr>
              <w:t>承揽市政工程（企业</w:t>
            </w:r>
            <w:r>
              <w:rPr>
                <w:rFonts w:ascii="仿宋_GB2312" w:hAnsi="宋体" w:eastAsia="仿宋_GB2312" w:cs="宋体"/>
                <w:color w:val="000000" w:themeColor="text1"/>
                <w:sz w:val="24"/>
                <w:szCs w:val="24"/>
              </w:rPr>
              <w:t>签订合同</w:t>
            </w:r>
            <w:r>
              <w:rPr>
                <w:rFonts w:hint="eastAsia" w:ascii="仿宋_GB2312" w:hAnsi="宋体" w:eastAsia="仿宋_GB2312" w:cs="宋体"/>
                <w:color w:val="000000" w:themeColor="text1"/>
                <w:sz w:val="24"/>
                <w:szCs w:val="24"/>
              </w:rPr>
              <w:t>15日后</w:t>
            </w:r>
            <w:r>
              <w:rPr>
                <w:rFonts w:ascii="仿宋_GB2312" w:hAnsi="宋体" w:eastAsia="仿宋_GB2312" w:cs="宋体"/>
                <w:color w:val="000000" w:themeColor="text1"/>
                <w:sz w:val="24"/>
                <w:szCs w:val="24"/>
              </w:rPr>
              <w:t>认定</w:t>
            </w:r>
            <w:r>
              <w:rPr>
                <w:rFonts w:hint="eastAsia" w:ascii="仿宋_GB2312" w:hAnsi="宋体" w:eastAsia="仿宋_GB2312" w:cs="宋体"/>
                <w:color w:val="000000" w:themeColor="text1"/>
                <w:sz w:val="24"/>
                <w:szCs w:val="24"/>
              </w:rPr>
              <w:t>）且无不良行为的，按照合同承揽</w:t>
            </w:r>
            <w:r>
              <w:rPr>
                <w:rFonts w:ascii="仿宋_GB2312" w:hAnsi="宋体" w:eastAsia="仿宋_GB2312" w:cs="宋体"/>
                <w:color w:val="000000" w:themeColor="text1"/>
                <w:sz w:val="24"/>
                <w:szCs w:val="24"/>
              </w:rPr>
              <w:t>工程额</w:t>
            </w:r>
            <w:r>
              <w:rPr>
                <w:rFonts w:hint="eastAsia" w:ascii="仿宋_GB2312" w:hAnsi="宋体" w:eastAsia="仿宋_GB2312" w:cs="宋体"/>
                <w:color w:val="000000" w:themeColor="text1"/>
                <w:sz w:val="24"/>
                <w:szCs w:val="24"/>
              </w:rPr>
              <w:t>，每满10万元加0.</w:t>
            </w:r>
            <w:r>
              <w:rPr>
                <w:rFonts w:ascii="仿宋_GB2312" w:hAnsi="宋体" w:eastAsia="仿宋_GB2312" w:cs="宋体"/>
                <w:color w:val="000000" w:themeColor="text1"/>
                <w:sz w:val="24"/>
                <w:szCs w:val="24"/>
              </w:rPr>
              <w:t>02</w:t>
            </w:r>
            <w:r>
              <w:rPr>
                <w:rFonts w:hint="eastAsia" w:ascii="仿宋_GB2312" w:hAnsi="宋体" w:eastAsia="仿宋_GB2312" w:cs="宋体"/>
                <w:color w:val="000000" w:themeColor="text1"/>
                <w:sz w:val="24"/>
                <w:szCs w:val="24"/>
              </w:rPr>
              <w:t>分（不足10万元的不计）。本项累计</w:t>
            </w:r>
            <w:r>
              <w:rPr>
                <w:rFonts w:ascii="仿宋_GB2312" w:hAnsi="宋体" w:eastAsia="仿宋_GB2312" w:cs="宋体"/>
                <w:color w:val="000000" w:themeColor="text1"/>
                <w:sz w:val="24"/>
                <w:szCs w:val="24"/>
              </w:rPr>
              <w:t>加分最高</w:t>
            </w:r>
            <w:r>
              <w:rPr>
                <w:rFonts w:hint="eastAsia" w:ascii="仿宋_GB2312" w:hAnsi="宋体" w:eastAsia="仿宋_GB2312" w:cs="宋体"/>
                <w:color w:val="000000" w:themeColor="text1"/>
                <w:sz w:val="24"/>
                <w:szCs w:val="24"/>
                <w:lang w:val="en-US" w:eastAsia="zh-CN"/>
              </w:rPr>
              <w:t>2</w:t>
            </w:r>
            <w:r>
              <w:rPr>
                <w:rFonts w:hint="eastAsia" w:ascii="仿宋_GB2312" w:hAnsi="宋体" w:eastAsia="仿宋_GB2312" w:cs="宋体"/>
                <w:color w:val="000000" w:themeColor="text1"/>
                <w:sz w:val="24"/>
                <w:szCs w:val="24"/>
              </w:rPr>
              <w:t>0分</w:t>
            </w:r>
            <w:r>
              <w:rPr>
                <w:rFonts w:ascii="仿宋_GB2312" w:hAnsi="宋体" w:eastAsia="仿宋_GB2312" w:cs="宋体"/>
                <w:color w:val="000000" w:themeColor="text1"/>
                <w:sz w:val="24"/>
                <w:szCs w:val="24"/>
              </w:rPr>
              <w:t>。</w:t>
            </w:r>
          </w:p>
        </w:tc>
        <w:tc>
          <w:tcPr>
            <w:tcW w:w="1471" w:type="dxa"/>
            <w:tcBorders>
              <w:bottom w:val="single" w:color="auto" w:sz="4" w:space="0"/>
            </w:tcBorders>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restart"/>
            <w:vAlign w:val="center"/>
          </w:tcPr>
          <w:p>
            <w:pPr>
              <w:tabs>
                <w:tab w:val="left" w:pos="1620"/>
              </w:tabs>
              <w:spacing w:line="320" w:lineRule="exact"/>
              <w:jc w:val="center"/>
              <w:rPr>
                <w:rFonts w:ascii="仿宋_GB2312" w:eastAsia="仿宋_GB2312" w:cs="宋体"/>
                <w:color w:val="000000" w:themeColor="text1"/>
                <w:spacing w:val="-8"/>
                <w:sz w:val="24"/>
                <w:szCs w:val="24"/>
              </w:rPr>
            </w:pPr>
            <w:r>
              <w:rPr>
                <w:rFonts w:hint="eastAsia" w:ascii="仿宋_GB2312" w:hAnsi="宋体" w:eastAsia="仿宋_GB2312" w:cs="宋体"/>
                <w:color w:val="000000" w:themeColor="text1"/>
                <w:spacing w:val="-8"/>
                <w:sz w:val="24"/>
                <w:szCs w:val="24"/>
              </w:rPr>
              <w:t>技术进步</w:t>
            </w:r>
          </w:p>
        </w:tc>
        <w:tc>
          <w:tcPr>
            <w:tcW w:w="1236" w:type="dxa"/>
            <w:vAlign w:val="center"/>
          </w:tcPr>
          <w:p>
            <w:pPr>
              <w:widowControl/>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29</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获得一项工程建设国家标准</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hAnsi="宋体"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30</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获得一项工程建设行业标准</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3</w:t>
            </w:r>
            <w:r>
              <w:rPr>
                <w:rFonts w:hint="eastAsia" w:ascii="仿宋_GB2312" w:hAnsi="宋体" w:eastAsia="仿宋_GB2312" w:cs="宋体"/>
                <w:color w:val="000000" w:themeColor="text1"/>
                <w:sz w:val="24"/>
                <w:szCs w:val="24"/>
                <w:lang w:val="en-US" w:eastAsia="zh-CN"/>
              </w:rPr>
              <w:t>1</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获得一项工程建设地方标准</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3</w:t>
            </w:r>
            <w:r>
              <w:rPr>
                <w:rFonts w:hint="eastAsia" w:ascii="仿宋_GB2312" w:hAnsi="宋体" w:eastAsia="仿宋_GB2312" w:cs="宋体"/>
                <w:color w:val="000000" w:themeColor="text1"/>
                <w:sz w:val="24"/>
                <w:szCs w:val="24"/>
                <w:lang w:val="en-US" w:eastAsia="zh-CN"/>
              </w:rPr>
              <w:t>2</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获得一项国家级工法</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3</w:t>
            </w:r>
            <w:r>
              <w:rPr>
                <w:rFonts w:hint="eastAsia" w:ascii="仿宋_GB2312" w:hAnsi="宋体" w:eastAsia="仿宋_GB2312" w:cs="宋体"/>
                <w:color w:val="000000" w:themeColor="text1"/>
                <w:sz w:val="24"/>
                <w:szCs w:val="24"/>
                <w:lang w:val="en-US" w:eastAsia="zh-CN"/>
              </w:rPr>
              <w:t>3</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获得一项省级工法</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hAnsi="宋体" w:eastAsia="仿宋_GB2312" w:cs="宋体"/>
                <w:color w:val="000000" w:themeColor="text1"/>
                <w:spacing w:val="-8"/>
                <w:sz w:val="24"/>
                <w:szCs w:val="24"/>
              </w:rPr>
            </w:pPr>
          </w:p>
        </w:tc>
        <w:tc>
          <w:tcPr>
            <w:tcW w:w="1236" w:type="dxa"/>
            <w:vAlign w:val="center"/>
          </w:tcPr>
          <w:p>
            <w:pPr>
              <w:widowControl/>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3</w:t>
            </w:r>
            <w:r>
              <w:rPr>
                <w:rFonts w:hint="eastAsia" w:ascii="仿宋_GB2312" w:hAnsi="宋体" w:eastAsia="仿宋_GB2312" w:cs="宋体"/>
                <w:color w:val="000000" w:themeColor="text1"/>
                <w:sz w:val="24"/>
                <w:szCs w:val="24"/>
                <w:lang w:val="en-US" w:eastAsia="zh-CN"/>
              </w:rPr>
              <w:t>4</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获得一项市级工程建设工法</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hAnsi="宋体" w:eastAsia="仿宋_GB2312" w:cs="宋体"/>
                <w:color w:val="000000" w:themeColor="text1"/>
                <w:spacing w:val="-8"/>
                <w:sz w:val="24"/>
                <w:szCs w:val="24"/>
              </w:rPr>
            </w:pPr>
          </w:p>
        </w:tc>
        <w:tc>
          <w:tcPr>
            <w:tcW w:w="1236" w:type="dxa"/>
            <w:vAlign w:val="center"/>
          </w:tcPr>
          <w:p>
            <w:pPr>
              <w:widowControl/>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3</w:t>
            </w:r>
            <w:r>
              <w:rPr>
                <w:rFonts w:hint="eastAsia" w:ascii="仿宋_GB2312" w:hAnsi="宋体" w:eastAsia="仿宋_GB2312" w:cs="宋体"/>
                <w:color w:val="000000" w:themeColor="text1"/>
                <w:sz w:val="24"/>
                <w:szCs w:val="24"/>
                <w:lang w:val="en-US" w:eastAsia="zh-CN"/>
              </w:rPr>
              <w:t>5</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高新技术企业、企业研发机构（技术中心）通过国家级城市认定的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hAnsi="宋体" w:eastAsia="仿宋_GB2312" w:cs="宋体"/>
                <w:color w:val="000000" w:themeColor="text1"/>
                <w:spacing w:val="-8"/>
                <w:sz w:val="24"/>
                <w:szCs w:val="24"/>
              </w:rPr>
            </w:pPr>
          </w:p>
        </w:tc>
        <w:tc>
          <w:tcPr>
            <w:tcW w:w="1236" w:type="dxa"/>
            <w:vAlign w:val="center"/>
          </w:tcPr>
          <w:p>
            <w:pPr>
              <w:widowControl/>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3</w:t>
            </w:r>
            <w:r>
              <w:rPr>
                <w:rFonts w:hint="eastAsia" w:ascii="仿宋_GB2312" w:hAnsi="宋体" w:eastAsia="仿宋_GB2312" w:cs="宋体"/>
                <w:color w:val="000000" w:themeColor="text1"/>
                <w:sz w:val="24"/>
                <w:szCs w:val="24"/>
                <w:lang w:val="en-US" w:eastAsia="zh-CN"/>
              </w:rPr>
              <w:t>6</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高新技术企业、企业研发机构（技术中心）通过省级城市认定的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hAnsi="宋体" w:eastAsia="仿宋_GB2312" w:cs="宋体"/>
                <w:color w:val="000000" w:themeColor="text1"/>
                <w:spacing w:val="-8"/>
                <w:sz w:val="24"/>
                <w:szCs w:val="24"/>
              </w:rPr>
            </w:pPr>
          </w:p>
        </w:tc>
        <w:tc>
          <w:tcPr>
            <w:tcW w:w="1236" w:type="dxa"/>
            <w:vAlign w:val="center"/>
          </w:tcPr>
          <w:p>
            <w:pPr>
              <w:widowControl/>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37</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高新技术企业、企业研发机构（技术中心）通过地市级城市认定的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38</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国家科技进步一等奖（技术创新）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39</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国家科技进步二等奖（技术创新）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4</w:t>
            </w:r>
            <w:r>
              <w:rPr>
                <w:rFonts w:hint="eastAsia" w:ascii="仿宋_GB2312" w:hAnsi="宋体" w:eastAsia="仿宋_GB2312" w:cs="宋体"/>
                <w:color w:val="000000" w:themeColor="text1"/>
                <w:sz w:val="24"/>
                <w:szCs w:val="24"/>
                <w:lang w:val="en-US" w:eastAsia="zh-CN"/>
              </w:rPr>
              <w:t>0</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国家科技进步三等奖（技术创新）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lh-4</w:t>
            </w:r>
            <w:r>
              <w:rPr>
                <w:rFonts w:hint="eastAsia" w:ascii="仿宋_GB2312" w:hAnsi="宋体" w:eastAsia="仿宋_GB2312" w:cs="宋体"/>
                <w:color w:val="000000" w:themeColor="text1"/>
                <w:sz w:val="24"/>
                <w:szCs w:val="24"/>
                <w:lang w:val="en-US" w:eastAsia="zh-CN"/>
              </w:rPr>
              <w:t>1</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省科技进步一等奖（技术创新）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4</w:t>
            </w:r>
            <w:r>
              <w:rPr>
                <w:rFonts w:hint="eastAsia" w:ascii="仿宋_GB2312" w:hAnsi="宋体" w:eastAsia="仿宋_GB2312" w:cs="宋体"/>
                <w:color w:val="000000" w:themeColor="text1"/>
                <w:sz w:val="24"/>
                <w:szCs w:val="24"/>
                <w:lang w:val="en-US" w:eastAsia="zh-CN"/>
              </w:rPr>
              <w:t>2</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省科技进步二等奖（技术创新）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4</w:t>
            </w:r>
            <w:r>
              <w:rPr>
                <w:rFonts w:hint="eastAsia" w:ascii="仿宋_GB2312" w:hAnsi="宋体" w:eastAsia="仿宋_GB2312" w:cs="宋体"/>
                <w:color w:val="000000" w:themeColor="text1"/>
                <w:sz w:val="24"/>
                <w:szCs w:val="24"/>
                <w:lang w:val="en-US" w:eastAsia="zh-CN"/>
              </w:rPr>
              <w:t>3</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eastAsia="仿宋_GB2312" w:cs="宋体"/>
                <w:color w:val="000000" w:themeColor="text1"/>
                <w:sz w:val="24"/>
                <w:szCs w:val="24"/>
              </w:rPr>
              <w:t>省科技进步三等奖（技术创新）</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4</w:t>
            </w:r>
            <w:r>
              <w:rPr>
                <w:rFonts w:hint="eastAsia" w:ascii="仿宋_GB2312" w:hAnsi="宋体" w:eastAsia="仿宋_GB2312" w:cs="宋体"/>
                <w:color w:val="000000" w:themeColor="text1"/>
                <w:sz w:val="24"/>
                <w:szCs w:val="24"/>
                <w:lang w:val="en-US" w:eastAsia="zh-CN"/>
              </w:rPr>
              <w:t>4</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获得一项工程建设科学技术奖</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4</w:t>
            </w:r>
            <w:r>
              <w:rPr>
                <w:rFonts w:hint="eastAsia" w:ascii="仿宋_GB2312" w:hAnsi="宋体" w:eastAsia="仿宋_GB2312" w:cs="宋体"/>
                <w:color w:val="000000" w:themeColor="text1"/>
                <w:sz w:val="24"/>
                <w:szCs w:val="24"/>
                <w:lang w:val="en-US" w:eastAsia="zh-CN"/>
              </w:rPr>
              <w:t>5</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获得一项省新技术应用示范工程</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4</w:t>
            </w:r>
            <w:r>
              <w:rPr>
                <w:rFonts w:hint="eastAsia" w:ascii="仿宋_GB2312" w:hAnsi="宋体" w:eastAsia="仿宋_GB2312" w:cs="宋体"/>
                <w:color w:val="000000" w:themeColor="text1"/>
                <w:sz w:val="24"/>
                <w:szCs w:val="24"/>
                <w:lang w:val="en-US" w:eastAsia="zh-CN"/>
              </w:rPr>
              <w:t>6</w:t>
            </w:r>
          </w:p>
        </w:tc>
        <w:tc>
          <w:tcPr>
            <w:tcW w:w="5408" w:type="dxa"/>
            <w:vAlign w:val="center"/>
          </w:tcPr>
          <w:p>
            <w:pPr>
              <w:widowControl/>
              <w:tabs>
                <w:tab w:val="left" w:pos="1620"/>
                <w:tab w:val="left" w:pos="9837"/>
              </w:tabs>
              <w:spacing w:line="320" w:lineRule="exact"/>
              <w:rPr>
                <w:rFonts w:ascii="仿宋_GB2312" w:eastAsia="仿宋_GB2312" w:cs="宋体"/>
                <w:bCs/>
                <w:color w:val="000000" w:themeColor="text1"/>
                <w:sz w:val="24"/>
                <w:szCs w:val="24"/>
              </w:rPr>
            </w:pPr>
            <w:r>
              <w:rPr>
                <w:rFonts w:hint="eastAsia" w:ascii="仿宋_GB2312" w:hAnsi="宋体" w:eastAsia="仿宋_GB2312" w:cs="宋体"/>
                <w:color w:val="000000" w:themeColor="text1"/>
                <w:sz w:val="24"/>
                <w:szCs w:val="24"/>
              </w:rPr>
              <w:t>获得一项市科学技术奖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47</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获得一项发明专利</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48</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获得一项实用新型专利</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default"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49</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获得部级表彰的市政工程建设优秀QC小组一等奖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50</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获得部级表彰的市政工程建设优秀QC小组二等奖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restart"/>
            <w:vAlign w:val="center"/>
          </w:tcPr>
          <w:p>
            <w:pPr>
              <w:tabs>
                <w:tab w:val="left" w:pos="1620"/>
              </w:tabs>
              <w:spacing w:line="320" w:lineRule="exact"/>
              <w:jc w:val="center"/>
              <w:rPr>
                <w:rFonts w:ascii="仿宋_GB2312" w:eastAsia="仿宋_GB2312" w:cs="宋体"/>
                <w:color w:val="000000" w:themeColor="text1"/>
                <w:spacing w:val="-8"/>
                <w:sz w:val="24"/>
                <w:szCs w:val="24"/>
              </w:rPr>
            </w:pPr>
            <w:r>
              <w:rPr>
                <w:rFonts w:hint="eastAsia" w:ascii="仿宋_GB2312" w:eastAsia="仿宋_GB2312" w:cs="宋体"/>
                <w:color w:val="000000" w:themeColor="text1"/>
                <w:spacing w:val="-8"/>
                <w:sz w:val="24"/>
                <w:szCs w:val="24"/>
              </w:rPr>
              <w:t>技术进步</w:t>
            </w: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5</w:t>
            </w:r>
            <w:r>
              <w:rPr>
                <w:rFonts w:hint="eastAsia" w:ascii="仿宋_GB2312" w:hAnsi="宋体" w:eastAsia="仿宋_GB2312" w:cs="宋体"/>
                <w:color w:val="000000" w:themeColor="text1"/>
                <w:sz w:val="24"/>
                <w:szCs w:val="24"/>
                <w:lang w:val="en-US" w:eastAsia="zh-CN"/>
              </w:rPr>
              <w:t>1</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获得部级表彰的市政工程建设优秀QC小组三等奖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5</w:t>
            </w:r>
            <w:r>
              <w:rPr>
                <w:rFonts w:hint="eastAsia" w:ascii="仿宋_GB2312" w:hAnsi="宋体" w:eastAsia="仿宋_GB2312" w:cs="宋体"/>
                <w:color w:val="000000" w:themeColor="text1"/>
                <w:sz w:val="24"/>
                <w:szCs w:val="24"/>
                <w:lang w:val="en-US" w:eastAsia="zh-CN"/>
              </w:rPr>
              <w:t>2</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获得部级表彰的市政工程建设优秀QC小组先进奖</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5</w:t>
            </w:r>
            <w:r>
              <w:rPr>
                <w:rFonts w:hint="eastAsia" w:ascii="仿宋_GB2312" w:hAnsi="宋体" w:eastAsia="仿宋_GB2312" w:cs="宋体"/>
                <w:color w:val="000000" w:themeColor="text1"/>
                <w:sz w:val="24"/>
                <w:szCs w:val="24"/>
                <w:lang w:val="en-US" w:eastAsia="zh-CN"/>
              </w:rPr>
              <w:t>3</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获得省级表彰的市政工程建设优秀QC小组一等奖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5</w:t>
            </w:r>
            <w:r>
              <w:rPr>
                <w:rFonts w:hint="eastAsia" w:ascii="仿宋_GB2312" w:hAnsi="宋体" w:eastAsia="仿宋_GB2312" w:cs="宋体"/>
                <w:color w:val="000000" w:themeColor="text1"/>
                <w:sz w:val="24"/>
                <w:szCs w:val="24"/>
                <w:lang w:val="en-US" w:eastAsia="zh-CN"/>
              </w:rPr>
              <w:t>4</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获得省级表彰的市政工程建设优秀QC小组二等奖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5</w:t>
            </w:r>
            <w:r>
              <w:rPr>
                <w:rFonts w:hint="eastAsia" w:ascii="仿宋_GB2312" w:hAnsi="宋体" w:eastAsia="仿宋_GB2312" w:cs="宋体"/>
                <w:color w:val="000000" w:themeColor="text1"/>
                <w:sz w:val="24"/>
                <w:szCs w:val="24"/>
                <w:lang w:val="en-US" w:eastAsia="zh-CN"/>
              </w:rPr>
              <w:t>5</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获得省级表彰的市政工程建设优秀QC小组三等奖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5</w:t>
            </w:r>
            <w:r>
              <w:rPr>
                <w:rFonts w:hint="eastAsia" w:ascii="仿宋_GB2312" w:hAnsi="宋体" w:eastAsia="仿宋_GB2312" w:cs="宋体"/>
                <w:color w:val="000000" w:themeColor="text1"/>
                <w:sz w:val="24"/>
                <w:szCs w:val="24"/>
                <w:lang w:val="en-US" w:eastAsia="zh-CN"/>
              </w:rPr>
              <w:t>6</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获得省级表彰的市政工程建设优秀QC小组先进奖</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57</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获得市级表彰的市政工程建设优秀QC小组一等奖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58</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获得市级表彰的市政工程建设优秀QC小组二等奖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default"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59</w:t>
            </w:r>
          </w:p>
        </w:tc>
        <w:tc>
          <w:tcPr>
            <w:tcW w:w="5408" w:type="dxa"/>
            <w:vAlign w:val="center"/>
          </w:tcPr>
          <w:p>
            <w:pPr>
              <w:widowControl/>
              <w:tabs>
                <w:tab w:val="left" w:pos="1620"/>
                <w:tab w:val="left" w:pos="9837"/>
              </w:tabs>
              <w:spacing w:line="320" w:lineRule="exact"/>
              <w:rPr>
                <w:rFonts w:ascii="仿宋_GB2312" w:eastAsia="仿宋_GB2312" w:cs="宋体"/>
                <w:color w:val="000000" w:themeColor="text1"/>
                <w:sz w:val="24"/>
                <w:szCs w:val="24"/>
              </w:rPr>
            </w:pPr>
            <w:r>
              <w:rPr>
                <w:rFonts w:hint="eastAsia" w:ascii="仿宋_GB2312" w:hAnsi="宋体" w:eastAsia="仿宋_GB2312" w:cs="宋体"/>
                <w:color w:val="000000" w:themeColor="text1"/>
                <w:sz w:val="24"/>
                <w:szCs w:val="24"/>
              </w:rPr>
              <w:t>获得市级表彰的市政工程建设优秀QC小组三等奖</w:t>
            </w:r>
          </w:p>
        </w:tc>
        <w:tc>
          <w:tcPr>
            <w:tcW w:w="1471" w:type="dxa"/>
            <w:vAlign w:val="center"/>
          </w:tcPr>
          <w:p>
            <w:pPr>
              <w:widowControl/>
              <w:tabs>
                <w:tab w:val="left" w:pos="1620"/>
              </w:tabs>
              <w:spacing w:line="320" w:lineRule="exact"/>
              <w:jc w:val="center"/>
              <w:rPr>
                <w:rFonts w:ascii="仿宋_GB2312"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0</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获得</w:t>
            </w:r>
            <w:r>
              <w:rPr>
                <w:rFonts w:ascii="仿宋_GB2312" w:hAnsi="宋体" w:eastAsia="仿宋_GB2312" w:cs="宋体"/>
                <w:color w:val="000000" w:themeColor="text1"/>
                <w:sz w:val="24"/>
                <w:szCs w:val="24"/>
              </w:rPr>
              <w:t>一项</w:t>
            </w:r>
            <w:r>
              <w:rPr>
                <w:rFonts w:hint="eastAsia" w:ascii="仿宋_GB2312" w:hAnsi="宋体" w:eastAsia="仿宋_GB2312" w:cs="宋体"/>
                <w:color w:val="000000" w:themeColor="text1"/>
                <w:sz w:val="24"/>
                <w:szCs w:val="24"/>
              </w:rPr>
              <w:t>全国BIM技术类奖项</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vAlign w:val="center"/>
          </w:tcPr>
          <w:p>
            <w:pPr>
              <w:tabs>
                <w:tab w:val="left" w:pos="1620"/>
              </w:tabs>
              <w:spacing w:line="320" w:lineRule="exact"/>
              <w:jc w:val="center"/>
              <w:rPr>
                <w:rFonts w:ascii="仿宋_GB2312" w:eastAsia="仿宋_GB2312" w:cs="宋体"/>
                <w:color w:val="000000" w:themeColor="text1"/>
                <w:spacing w:val="-8"/>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1</w:t>
            </w:r>
          </w:p>
        </w:tc>
        <w:tc>
          <w:tcPr>
            <w:tcW w:w="5408" w:type="dxa"/>
            <w:vAlign w:val="center"/>
          </w:tcPr>
          <w:p>
            <w:pPr>
              <w:widowControl/>
              <w:tabs>
                <w:tab w:val="left" w:pos="1620"/>
                <w:tab w:val="left" w:pos="9837"/>
              </w:tabs>
              <w:spacing w:line="320" w:lineRule="exact"/>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sz w:val="24"/>
                <w:szCs w:val="24"/>
              </w:rPr>
              <w:t>获得一项省级BIM技术类奖项</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restart"/>
            <w:tcBorders>
              <w:left w:val="single" w:color="auto" w:sz="4" w:space="0"/>
            </w:tcBorders>
            <w:vAlign w:val="center"/>
          </w:tcPr>
          <w:p>
            <w:pPr>
              <w:tabs>
                <w:tab w:val="left" w:pos="1620"/>
              </w:tabs>
              <w:spacing w:line="320" w:lineRule="exact"/>
              <w:jc w:val="center"/>
              <w:rPr>
                <w:rFonts w:ascii="仿宋_GB2312" w:eastAsia="仿宋_GB2312" w:cs="宋体"/>
                <w:bCs/>
                <w:color w:val="000000" w:themeColor="text1"/>
                <w:kern w:val="0"/>
                <w:sz w:val="24"/>
                <w:szCs w:val="24"/>
              </w:rPr>
            </w:pPr>
            <w:r>
              <w:rPr>
                <w:rFonts w:hint="eastAsia" w:ascii="仿宋_GB2312" w:eastAsia="仿宋_GB2312" w:cs="宋体"/>
                <w:bCs/>
                <w:color w:val="000000" w:themeColor="text1"/>
                <w:kern w:val="0"/>
                <w:sz w:val="24"/>
                <w:szCs w:val="24"/>
              </w:rPr>
              <w:t>履行</w:t>
            </w:r>
            <w:r>
              <w:rPr>
                <w:rFonts w:ascii="仿宋_GB2312" w:eastAsia="仿宋_GB2312" w:cs="宋体"/>
                <w:bCs/>
                <w:color w:val="000000" w:themeColor="text1"/>
                <w:kern w:val="0"/>
                <w:sz w:val="24"/>
                <w:szCs w:val="24"/>
              </w:rPr>
              <w:t>社会责任</w:t>
            </w:r>
            <w:r>
              <w:rPr>
                <w:rFonts w:hint="eastAsia" w:ascii="仿宋_GB2312" w:eastAsia="仿宋_GB2312" w:cs="宋体"/>
                <w:bCs/>
                <w:color w:val="000000" w:themeColor="text1"/>
                <w:kern w:val="0"/>
                <w:sz w:val="24"/>
                <w:szCs w:val="24"/>
              </w:rPr>
              <w:t>和</w:t>
            </w:r>
          </w:p>
          <w:p>
            <w:pPr>
              <w:tabs>
                <w:tab w:val="left" w:pos="1620"/>
              </w:tabs>
              <w:spacing w:line="320" w:lineRule="exact"/>
              <w:jc w:val="center"/>
              <w:rPr>
                <w:rFonts w:ascii="仿宋_GB2312" w:eastAsia="仿宋_GB2312" w:cs="宋体"/>
                <w:bCs/>
                <w:color w:val="000000" w:themeColor="text1"/>
                <w:kern w:val="0"/>
                <w:sz w:val="24"/>
                <w:szCs w:val="24"/>
              </w:rPr>
            </w:pPr>
            <w:r>
              <w:rPr>
                <w:rFonts w:hint="eastAsia" w:ascii="仿宋_GB2312" w:eastAsia="仿宋_GB2312" w:cs="宋体"/>
                <w:bCs/>
                <w:color w:val="000000" w:themeColor="text1"/>
                <w:kern w:val="0"/>
                <w:sz w:val="24"/>
                <w:szCs w:val="24"/>
              </w:rPr>
              <w:t>社会贡献</w:t>
            </w: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b/>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2</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圆满完成由省人民政府组织的援建、抢险救灾以及其他重大活动建设行为的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10</w:t>
            </w:r>
            <w:r>
              <w:rPr>
                <w:rFonts w:hint="eastAsia" w:ascii="仿宋_GB2312" w:hAnsi="宋体" w:eastAsia="仿宋_GB2312" w:cs="宋体"/>
                <w:color w:val="000000" w:themeColor="text1"/>
                <w:kern w:val="0"/>
                <w:sz w:val="24"/>
                <w:szCs w:val="24"/>
              </w:rPr>
              <w:t>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3</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圆满完成由市人民政府组织的援建、抢险救灾以及其他重大活动建设行为的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8</w:t>
            </w:r>
            <w:r>
              <w:rPr>
                <w:rFonts w:hint="eastAsia" w:ascii="仿宋_GB2312" w:hAnsi="宋体" w:eastAsia="仿宋_GB2312" w:cs="宋体"/>
                <w:color w:val="000000" w:themeColor="text1"/>
                <w:kern w:val="0"/>
                <w:sz w:val="24"/>
                <w:szCs w:val="24"/>
              </w:rPr>
              <w:t>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宋体" w:eastAsia="仿宋_GB2312" w:cs="宋体"/>
                <w:b/>
                <w:color w:val="000000" w:themeColor="text1"/>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4</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圆满完成由县市区人民政府、市属开发区管委会组织的援建、抢险救灾以及其他重大活动建设行为的</w:t>
            </w:r>
          </w:p>
        </w:tc>
        <w:tc>
          <w:tcPr>
            <w:tcW w:w="1471" w:type="dxa"/>
            <w:tcBorders>
              <w:top w:val="single" w:color="auto" w:sz="4" w:space="0"/>
            </w:tcBorders>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+6分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仿宋_GB2312" w:eastAsia="仿宋_GB2312" w:cs="宋体"/>
                <w:bCs/>
                <w:color w:val="000000" w:themeColor="text1"/>
                <w:kern w:val="0"/>
                <w:sz w:val="24"/>
                <w:szCs w:val="24"/>
              </w:rPr>
            </w:pPr>
          </w:p>
        </w:tc>
        <w:tc>
          <w:tcPr>
            <w:tcW w:w="1236" w:type="dxa"/>
            <w:vAlign w:val="center"/>
          </w:tcPr>
          <w:p>
            <w:pPr>
              <w:widowControl/>
              <w:tabs>
                <w:tab w:val="left" w:pos="1620"/>
                <w:tab w:val="left" w:pos="9837"/>
              </w:tabs>
              <w:spacing w:line="320" w:lineRule="exact"/>
              <w:jc w:val="center"/>
              <w:rPr>
                <w:rFonts w:hint="eastAsia" w:ascii="宋体" w:eastAsia="仿宋_GB2312" w:cs="宋体"/>
                <w:b/>
                <w:color w:val="000000" w:themeColor="text1"/>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5</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在抢险救灾以及其他重大活动中做出</w:t>
            </w:r>
            <w:r>
              <w:rPr>
                <w:rFonts w:ascii="仿宋_GB2312" w:hAnsi="宋体" w:eastAsia="仿宋_GB2312" w:cs="宋体"/>
                <w:color w:val="000000" w:themeColor="text1"/>
                <w:kern w:val="0"/>
                <w:sz w:val="24"/>
                <w:szCs w:val="24"/>
              </w:rPr>
              <w:t>贡献的</w:t>
            </w:r>
          </w:p>
        </w:tc>
        <w:tc>
          <w:tcPr>
            <w:tcW w:w="1471" w:type="dxa"/>
            <w:tcBorders>
              <w:top w:val="single" w:color="auto" w:sz="4" w:space="0"/>
            </w:tcBorders>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宋体" w:cs="宋体"/>
                <w:b/>
                <w:color w:val="000000" w:themeColor="text1"/>
                <w:spacing w:val="-8"/>
              </w:rPr>
            </w:pPr>
          </w:p>
        </w:tc>
        <w:tc>
          <w:tcPr>
            <w:tcW w:w="1236" w:type="dxa"/>
            <w:vAlign w:val="center"/>
          </w:tcPr>
          <w:p>
            <w:pPr>
              <w:widowControl/>
              <w:tabs>
                <w:tab w:val="left" w:pos="1620"/>
                <w:tab w:val="left" w:pos="9837"/>
              </w:tabs>
              <w:spacing w:line="320" w:lineRule="exact"/>
              <w:jc w:val="center"/>
              <w:rPr>
                <w:rFonts w:hint="eastAsia" w:ascii="宋体" w:eastAsia="仿宋_GB2312" w:cs="宋体"/>
                <w:b/>
                <w:color w:val="000000" w:themeColor="text1"/>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rPr>
              <w:t>6</w:t>
            </w:r>
            <w:r>
              <w:rPr>
                <w:rFonts w:hint="eastAsia" w:ascii="仿宋_GB2312" w:hAnsi="宋体" w:eastAsia="仿宋_GB2312" w:cs="宋体"/>
                <w:color w:val="000000" w:themeColor="text1"/>
                <w:sz w:val="24"/>
                <w:szCs w:val="24"/>
                <w:lang w:val="en-US" w:eastAsia="zh-CN"/>
              </w:rPr>
              <w:t>6</w:t>
            </w:r>
          </w:p>
        </w:tc>
        <w:tc>
          <w:tcPr>
            <w:tcW w:w="5408" w:type="dxa"/>
            <w:tcBorders>
              <w:bottom w:val="single" w:color="auto" w:sz="4" w:space="0"/>
            </w:tcBorders>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受国家</w:t>
            </w:r>
            <w:r>
              <w:rPr>
                <w:rFonts w:ascii="仿宋_GB2312" w:hAnsi="宋体" w:eastAsia="仿宋_GB2312" w:cs="宋体"/>
                <w:color w:val="000000" w:themeColor="text1"/>
                <w:kern w:val="0"/>
                <w:sz w:val="24"/>
                <w:szCs w:val="24"/>
              </w:rPr>
              <w:t>民政部门</w:t>
            </w:r>
            <w:r>
              <w:rPr>
                <w:rFonts w:hint="eastAsia" w:ascii="仿宋_GB2312" w:hAnsi="宋体" w:eastAsia="仿宋_GB2312" w:cs="宋体"/>
                <w:color w:val="000000" w:themeColor="text1"/>
                <w:kern w:val="0"/>
                <w:sz w:val="24"/>
                <w:szCs w:val="24"/>
              </w:rPr>
              <w:t>相关</w:t>
            </w:r>
            <w:r>
              <w:rPr>
                <w:rFonts w:ascii="仿宋_GB2312" w:hAnsi="宋体" w:eastAsia="仿宋_GB2312" w:cs="宋体"/>
                <w:color w:val="000000" w:themeColor="text1"/>
                <w:kern w:val="0"/>
                <w:sz w:val="24"/>
                <w:szCs w:val="24"/>
              </w:rPr>
              <w:t>表彰的</w:t>
            </w:r>
          </w:p>
        </w:tc>
        <w:tc>
          <w:tcPr>
            <w:tcW w:w="1471" w:type="dxa"/>
            <w:tcBorders>
              <w:bottom w:val="single" w:color="auto" w:sz="4" w:space="0"/>
            </w:tcBorders>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+10分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宋体" w:cs="宋体"/>
                <w:b/>
                <w:color w:val="000000" w:themeColor="text1"/>
                <w:spacing w:val="-8"/>
              </w:rPr>
            </w:pPr>
          </w:p>
        </w:tc>
        <w:tc>
          <w:tcPr>
            <w:tcW w:w="1236" w:type="dxa"/>
            <w:vAlign w:val="center"/>
          </w:tcPr>
          <w:p>
            <w:pPr>
              <w:widowControl/>
              <w:tabs>
                <w:tab w:val="left" w:pos="1620"/>
                <w:tab w:val="left" w:pos="9837"/>
              </w:tabs>
              <w:spacing w:line="320" w:lineRule="exact"/>
              <w:jc w:val="center"/>
              <w:rPr>
                <w:rFonts w:hint="default" w:ascii="宋体" w:eastAsia="仿宋_GB2312" w:cs="宋体"/>
                <w:b/>
                <w:color w:val="000000" w:themeColor="text1"/>
                <w:highlight w:val="yellow"/>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67</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受省</w:t>
            </w:r>
            <w:r>
              <w:rPr>
                <w:rFonts w:ascii="仿宋_GB2312" w:hAnsi="宋体" w:eastAsia="仿宋_GB2312" w:cs="宋体"/>
                <w:color w:val="000000" w:themeColor="text1"/>
                <w:kern w:val="0"/>
                <w:sz w:val="24"/>
                <w:szCs w:val="24"/>
              </w:rPr>
              <w:t>级民政部门</w:t>
            </w:r>
            <w:r>
              <w:rPr>
                <w:rFonts w:hint="eastAsia" w:ascii="仿宋_GB2312" w:hAnsi="宋体" w:eastAsia="仿宋_GB2312" w:cs="宋体"/>
                <w:color w:val="000000" w:themeColor="text1"/>
                <w:kern w:val="0"/>
                <w:sz w:val="24"/>
                <w:szCs w:val="24"/>
              </w:rPr>
              <w:t>相关</w:t>
            </w:r>
            <w:r>
              <w:rPr>
                <w:rFonts w:ascii="仿宋_GB2312" w:hAnsi="宋体" w:eastAsia="仿宋_GB2312" w:cs="宋体"/>
                <w:color w:val="000000" w:themeColor="text1"/>
                <w:kern w:val="0"/>
                <w:sz w:val="24"/>
                <w:szCs w:val="24"/>
              </w:rPr>
              <w:t>表彰的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7</w:t>
            </w:r>
            <w:r>
              <w:rPr>
                <w:rFonts w:hint="eastAsia" w:ascii="仿宋_GB2312" w:hAnsi="宋体" w:eastAsia="仿宋_GB2312" w:cs="宋体"/>
                <w:color w:val="000000" w:themeColor="text1"/>
                <w:kern w:val="0"/>
                <w:sz w:val="24"/>
                <w:szCs w:val="24"/>
              </w:rPr>
              <w:t>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宋体" w:cs="宋体"/>
                <w:b/>
                <w:color w:val="000000" w:themeColor="text1"/>
                <w:spacing w:val="-8"/>
              </w:rPr>
            </w:pPr>
          </w:p>
        </w:tc>
        <w:tc>
          <w:tcPr>
            <w:tcW w:w="1236" w:type="dxa"/>
            <w:vAlign w:val="center"/>
          </w:tcPr>
          <w:p>
            <w:pPr>
              <w:widowControl/>
              <w:tabs>
                <w:tab w:val="left" w:pos="1620"/>
                <w:tab w:val="left" w:pos="9837"/>
              </w:tabs>
              <w:spacing w:line="320" w:lineRule="exact"/>
              <w:jc w:val="center"/>
              <w:rPr>
                <w:rFonts w:hint="default"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68</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受市</w:t>
            </w:r>
            <w:r>
              <w:rPr>
                <w:rFonts w:ascii="仿宋_GB2312" w:hAnsi="宋体" w:eastAsia="仿宋_GB2312" w:cs="宋体"/>
                <w:color w:val="000000" w:themeColor="text1"/>
                <w:kern w:val="0"/>
                <w:sz w:val="24"/>
                <w:szCs w:val="24"/>
              </w:rPr>
              <w:t>级民政部门</w:t>
            </w:r>
            <w:r>
              <w:rPr>
                <w:rFonts w:hint="eastAsia" w:ascii="仿宋_GB2312" w:hAnsi="宋体" w:eastAsia="仿宋_GB2312" w:cs="宋体"/>
                <w:color w:val="000000" w:themeColor="text1"/>
                <w:kern w:val="0"/>
                <w:sz w:val="24"/>
                <w:szCs w:val="24"/>
              </w:rPr>
              <w:t>相关</w:t>
            </w:r>
            <w:r>
              <w:rPr>
                <w:rFonts w:ascii="仿宋_GB2312" w:hAnsi="宋体" w:eastAsia="仿宋_GB2312" w:cs="宋体"/>
                <w:color w:val="000000" w:themeColor="text1"/>
                <w:kern w:val="0"/>
                <w:sz w:val="24"/>
                <w:szCs w:val="24"/>
              </w:rPr>
              <w:t>表彰的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7" w:type="dxa"/>
            <w:vMerge w:val="continue"/>
            <w:tcBorders>
              <w:left w:val="single" w:color="auto" w:sz="4" w:space="0"/>
            </w:tcBorders>
            <w:vAlign w:val="center"/>
          </w:tcPr>
          <w:p>
            <w:pPr>
              <w:tabs>
                <w:tab w:val="left" w:pos="1620"/>
              </w:tabs>
              <w:spacing w:line="320" w:lineRule="exact"/>
              <w:jc w:val="center"/>
              <w:rPr>
                <w:rFonts w:ascii="宋体" w:cs="宋体"/>
                <w:b/>
                <w:color w:val="000000" w:themeColor="text1"/>
                <w:spacing w:val="-8"/>
                <w:highlight w:val="yellow"/>
              </w:rPr>
            </w:pPr>
          </w:p>
        </w:tc>
        <w:tc>
          <w:tcPr>
            <w:tcW w:w="1236" w:type="dxa"/>
            <w:vAlign w:val="center"/>
          </w:tcPr>
          <w:p>
            <w:pPr>
              <w:widowControl/>
              <w:tabs>
                <w:tab w:val="left" w:pos="1620"/>
                <w:tab w:val="left" w:pos="9837"/>
              </w:tabs>
              <w:spacing w:line="320" w:lineRule="exact"/>
              <w:jc w:val="center"/>
              <w:rPr>
                <w:rFonts w:hint="default" w:ascii="仿宋_GB2312" w:hAnsi="宋体" w:eastAsia="仿宋_GB2312" w:cs="宋体"/>
                <w:color w:val="000000" w:themeColor="text1"/>
                <w:sz w:val="24"/>
                <w:szCs w:val="24"/>
                <w:lang w:val="en-US" w:eastAsia="zh-CN"/>
              </w:rPr>
            </w:pPr>
            <w:r>
              <w:rPr>
                <w:rFonts w:hint="eastAsia" w:ascii="仿宋_GB2312" w:hAnsi="宋体" w:eastAsia="仿宋_GB2312" w:cs="宋体"/>
                <w:color w:val="000000" w:themeColor="text1"/>
                <w:sz w:val="24"/>
                <w:szCs w:val="24"/>
              </w:rPr>
              <w:t>SZ</w:t>
            </w:r>
            <w:r>
              <w:rPr>
                <w:rFonts w:ascii="仿宋_GB2312" w:hAnsi="宋体" w:eastAsia="仿宋_GB2312" w:cs="宋体"/>
                <w:color w:val="000000" w:themeColor="text1"/>
                <w:sz w:val="24"/>
                <w:szCs w:val="24"/>
              </w:rPr>
              <w:t>lh-</w:t>
            </w:r>
            <w:r>
              <w:rPr>
                <w:rFonts w:hint="eastAsia" w:ascii="仿宋_GB2312" w:hAnsi="宋体" w:eastAsia="仿宋_GB2312" w:cs="宋体"/>
                <w:color w:val="000000" w:themeColor="text1"/>
                <w:sz w:val="24"/>
                <w:szCs w:val="24"/>
                <w:lang w:val="en-US" w:eastAsia="zh-CN"/>
              </w:rPr>
              <w:t>69</w:t>
            </w:r>
          </w:p>
        </w:tc>
        <w:tc>
          <w:tcPr>
            <w:tcW w:w="5408" w:type="dxa"/>
            <w:vAlign w:val="center"/>
          </w:tcPr>
          <w:p>
            <w:pPr>
              <w:widowControl/>
              <w:tabs>
                <w:tab w:val="left" w:pos="1620"/>
              </w:tabs>
              <w:spacing w:line="320" w:lineRule="exact"/>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受</w:t>
            </w:r>
            <w:r>
              <w:rPr>
                <w:rFonts w:ascii="仿宋_GB2312" w:hAnsi="宋体" w:eastAsia="仿宋_GB2312" w:cs="宋体"/>
                <w:color w:val="000000" w:themeColor="text1"/>
                <w:kern w:val="0"/>
                <w:sz w:val="24"/>
                <w:szCs w:val="24"/>
              </w:rPr>
              <w:t>县级民政部门</w:t>
            </w:r>
            <w:r>
              <w:rPr>
                <w:rFonts w:hint="eastAsia" w:ascii="仿宋_GB2312" w:hAnsi="宋体" w:eastAsia="仿宋_GB2312" w:cs="宋体"/>
                <w:color w:val="000000" w:themeColor="text1"/>
                <w:kern w:val="0"/>
                <w:sz w:val="24"/>
                <w:szCs w:val="24"/>
              </w:rPr>
              <w:t>相关</w:t>
            </w:r>
            <w:r>
              <w:rPr>
                <w:rFonts w:ascii="仿宋_GB2312" w:hAnsi="宋体" w:eastAsia="仿宋_GB2312" w:cs="宋体"/>
                <w:color w:val="000000" w:themeColor="text1"/>
                <w:kern w:val="0"/>
                <w:sz w:val="24"/>
                <w:szCs w:val="24"/>
              </w:rPr>
              <w:t>表彰的</w:t>
            </w:r>
          </w:p>
        </w:tc>
        <w:tc>
          <w:tcPr>
            <w:tcW w:w="1471" w:type="dxa"/>
            <w:vAlign w:val="center"/>
          </w:tcPr>
          <w:p>
            <w:pPr>
              <w:widowControl/>
              <w:tabs>
                <w:tab w:val="left" w:pos="1620"/>
              </w:tabs>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分</w:t>
            </w:r>
            <w:r>
              <w:rPr>
                <w:rFonts w:hint="eastAsia" w:ascii="仿宋_GB2312" w:hAnsi="仿宋_GB2312"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次</w:t>
            </w:r>
          </w:p>
        </w:tc>
      </w:tr>
    </w:tbl>
    <w:p>
      <w:pPr>
        <w:widowControl/>
        <w:tabs>
          <w:tab w:val="left" w:pos="1620"/>
        </w:tabs>
        <w:spacing w:line="320" w:lineRule="exact"/>
        <w:jc w:val="left"/>
        <w:rPr>
          <w:rFonts w:ascii="仿宋_GB2312" w:hAnsi="宋体" w:eastAsia="仿宋_GB2312" w:cs="宋体"/>
          <w:kern w:val="0"/>
          <w:sz w:val="24"/>
          <w:szCs w:val="24"/>
        </w:rPr>
      </w:pPr>
    </w:p>
    <w:p>
      <w:pPr>
        <w:widowControl/>
        <w:tabs>
          <w:tab w:val="left" w:pos="1620"/>
        </w:tabs>
        <w:spacing w:line="320" w:lineRule="exact"/>
        <w:ind w:left="720" w:hanging="720" w:hangingChars="3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注：1.总产值相关数据应与上报市统计局《统计联网直报平台》及市住建局《潍坊市建筑市场监管与诚信一体化平台》数据基本一致，否则不予认定。</w:t>
      </w:r>
    </w:p>
    <w:p>
      <w:pPr>
        <w:widowControl/>
        <w:tabs>
          <w:tab w:val="left" w:pos="1620"/>
        </w:tabs>
        <w:spacing w:line="3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2.本市企业在市外承接工程获得地市级及以上奖项的纳入优良信用信息。</w:t>
      </w:r>
    </w:p>
    <w:p>
      <w:pPr>
        <w:widowControl/>
        <w:tabs>
          <w:tab w:val="left" w:pos="1620"/>
        </w:tabs>
        <w:spacing w:line="3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3.同一工程获得同一性质不同级别的奖项，只按最高级别奖项予以加分。</w:t>
      </w:r>
    </w:p>
    <w:p>
      <w:pPr>
        <w:widowControl/>
        <w:tabs>
          <w:tab w:val="left" w:pos="1620"/>
        </w:tabs>
        <w:spacing w:line="320" w:lineRule="exact"/>
        <w:ind w:left="719" w:leftChars="228" w:hanging="240" w:hanging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4.上述优良行为信息，自发生或文件发布起应在3个月内完成申报，并录入信用考核系统，逾期不予认定。</w:t>
      </w:r>
    </w:p>
    <w:p>
      <w:pPr>
        <w:widowControl/>
        <w:tabs>
          <w:tab w:val="left" w:pos="1620"/>
        </w:tabs>
        <w:spacing w:line="320" w:lineRule="exact"/>
        <w:ind w:left="719" w:leftChars="228" w:hanging="240" w:hangingChars="100"/>
        <w:jc w:val="left"/>
        <w:rPr>
          <w:rFonts w:ascii="仿宋_GB2312" w:hAnsi="宋体" w:eastAsia="仿宋_GB2312" w:cs="宋体"/>
          <w:kern w:val="0"/>
          <w:sz w:val="24"/>
          <w:szCs w:val="24"/>
        </w:rPr>
        <w:sectPr>
          <w:headerReference r:id="rId6" w:type="default"/>
          <w:footerReference r:id="rId7" w:type="default"/>
          <w:pgSz w:w="11906" w:h="16838"/>
          <w:pgMar w:top="1418" w:right="1418" w:bottom="1418" w:left="1418" w:header="851" w:footer="765" w:gutter="0"/>
          <w:pgNumType w:fmt="numberInDash"/>
          <w:cols w:space="425" w:num="1"/>
          <w:docGrid w:type="lines" w:linePitch="312" w:charSpace="0"/>
        </w:sectPr>
      </w:pPr>
      <w:r>
        <w:rPr>
          <w:rFonts w:hint="eastAsia" w:ascii="仿宋_GB2312" w:hAnsi="宋体" w:eastAsia="仿宋_GB2312" w:cs="宋体"/>
          <w:kern w:val="0"/>
          <w:sz w:val="24"/>
          <w:szCs w:val="24"/>
        </w:rPr>
        <w:t>5.本表未包括的优良信用信息，经市住房城乡建设行政主管部门认定的可参考本标准记分。</w:t>
      </w:r>
    </w:p>
    <w:p>
      <w:pPr>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2</w:t>
      </w:r>
    </w:p>
    <w:p>
      <w:pPr>
        <w:jc w:val="center"/>
        <w:rPr>
          <w:rFonts w:ascii="文星标宋" w:hAnsi="黑体" w:eastAsia="文星标宋"/>
          <w:sz w:val="40"/>
          <w:szCs w:val="40"/>
        </w:rPr>
      </w:pPr>
      <w:r>
        <w:rPr>
          <w:rFonts w:hint="eastAsia" w:ascii="文星标宋" w:hAnsi="宋体" w:eastAsia="文星标宋" w:cs="宋体"/>
          <w:kern w:val="0"/>
          <w:sz w:val="40"/>
          <w:szCs w:val="40"/>
        </w:rPr>
        <w:t>市政施工企业不良信用信息记分标准（D</w:t>
      </w:r>
      <w:r>
        <w:rPr>
          <w:rFonts w:ascii="文星标宋" w:hAnsi="宋体" w:eastAsia="文星标宋" w:cs="宋体"/>
          <w:kern w:val="0"/>
          <w:sz w:val="40"/>
          <w:szCs w:val="40"/>
        </w:rPr>
        <w:t>2</w:t>
      </w:r>
      <w:r>
        <w:rPr>
          <w:rFonts w:hint="eastAsia" w:ascii="文星标宋" w:hAnsi="宋体" w:eastAsia="文星标宋" w:cs="宋体"/>
          <w:kern w:val="0"/>
          <w:sz w:val="40"/>
          <w:szCs w:val="40"/>
        </w:rPr>
        <w:t>）</w:t>
      </w:r>
    </w:p>
    <w:tbl>
      <w:tblPr>
        <w:tblStyle w:val="17"/>
        <w:tblW w:w="15358" w:type="dxa"/>
        <w:jc w:val="center"/>
        <w:tblLayout w:type="fixed"/>
        <w:tblCellMar>
          <w:top w:w="0" w:type="dxa"/>
          <w:left w:w="108" w:type="dxa"/>
          <w:bottom w:w="0" w:type="dxa"/>
          <w:right w:w="108" w:type="dxa"/>
        </w:tblCellMar>
      </w:tblPr>
      <w:tblGrid>
        <w:gridCol w:w="1069"/>
        <w:gridCol w:w="1002"/>
        <w:gridCol w:w="3242"/>
        <w:gridCol w:w="3354"/>
        <w:gridCol w:w="3050"/>
        <w:gridCol w:w="1048"/>
        <w:gridCol w:w="1402"/>
        <w:gridCol w:w="1191"/>
      </w:tblGrid>
      <w:tr>
        <w:tblPrEx>
          <w:tblCellMar>
            <w:top w:w="0" w:type="dxa"/>
            <w:left w:w="108" w:type="dxa"/>
            <w:bottom w:w="0" w:type="dxa"/>
            <w:right w:w="108" w:type="dxa"/>
          </w:tblCellMar>
        </w:tblPrEx>
        <w:trPr>
          <w:trHeight w:val="867" w:hRule="atLeast"/>
          <w:jc w:val="center"/>
        </w:trPr>
        <w:tc>
          <w:tcPr>
            <w:tcW w:w="106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行为</w:t>
            </w:r>
          </w:p>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类别</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行为</w:t>
            </w:r>
          </w:p>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代码</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不良行为</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ind w:right="130" w:rightChars="62"/>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法律依据</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处罚依据</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违法</w:t>
            </w:r>
          </w:p>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程度</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违法情节</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记分</w:t>
            </w:r>
          </w:p>
          <w:p>
            <w:pPr>
              <w:widowControl/>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标准</w:t>
            </w:r>
          </w:p>
        </w:tc>
      </w:tr>
      <w:tr>
        <w:tblPrEx>
          <w:tblCellMar>
            <w:top w:w="0" w:type="dxa"/>
            <w:left w:w="108" w:type="dxa"/>
            <w:bottom w:w="0" w:type="dxa"/>
            <w:right w:w="108" w:type="dxa"/>
          </w:tblCellMar>
        </w:tblPrEx>
        <w:trPr>
          <w:trHeight w:val="958" w:hRule="atLeast"/>
          <w:jc w:val="center"/>
        </w:trPr>
        <w:tc>
          <w:tcPr>
            <w:tcW w:w="1069"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资质</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管理</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D2-1</w:t>
            </w: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w:t>
            </w:r>
            <w:r>
              <w:rPr>
                <w:rFonts w:ascii="仿宋_GB2312" w:hAnsi="宋体" w:eastAsia="仿宋_GB2312" w:cs="宋体"/>
                <w:kern w:val="0"/>
                <w:sz w:val="24"/>
                <w:szCs w:val="24"/>
              </w:rPr>
              <w:t>2</w:t>
            </w:r>
            <w:r>
              <w:rPr>
                <w:rFonts w:hint="eastAsia" w:ascii="仿宋_GB2312" w:hAnsi="宋体" w:eastAsia="仿宋_GB2312" w:cs="宋体"/>
                <w:kern w:val="0"/>
                <w:sz w:val="24"/>
                <w:szCs w:val="24"/>
              </w:rPr>
              <w:t>-1-01</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未在规定期限内办理资质变更手续的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《建筑业企业资质管理规定》（住房城乡建设部令第22号）第三十八条</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《建筑业企业资质管理规定》（住房城乡建设部令第22号）第三十八条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990" w:hRule="atLeast"/>
          <w:jc w:val="center"/>
        </w:trPr>
        <w:tc>
          <w:tcPr>
            <w:tcW w:w="1069"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责令改正且逾期未改的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491" w:hRule="atLeast"/>
          <w:jc w:val="center"/>
        </w:trPr>
        <w:tc>
          <w:tcPr>
            <w:tcW w:w="1069"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w:t>
            </w:r>
            <w:r>
              <w:rPr>
                <w:rFonts w:ascii="仿宋_GB2312" w:hAnsi="宋体" w:eastAsia="仿宋_GB2312" w:cs="宋体"/>
                <w:kern w:val="0"/>
                <w:sz w:val="24"/>
                <w:szCs w:val="24"/>
              </w:rPr>
              <w:t>2</w:t>
            </w:r>
            <w:r>
              <w:rPr>
                <w:rFonts w:hint="eastAsia" w:ascii="仿宋_GB2312" w:hAnsi="宋体" w:eastAsia="仿宋_GB2312" w:cs="宋体"/>
                <w:kern w:val="0"/>
                <w:sz w:val="24"/>
                <w:szCs w:val="24"/>
              </w:rPr>
              <w:t>-1-02</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企业在接受监督检查时，不如实提供有关材料，或者拒绝、阻碍监督检查的</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《建筑业企业资质管理规定》（住房城乡建设部令第22号）第三十九条</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《建筑业企业资质管理规定》（住房城乡建设部令第22号）第三十九条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423" w:hRule="atLeast"/>
          <w:jc w:val="center"/>
        </w:trPr>
        <w:tc>
          <w:tcPr>
            <w:tcW w:w="1069"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w:t>
            </w:r>
            <w:r>
              <w:rPr>
                <w:rFonts w:ascii="仿宋_GB2312" w:hAnsi="宋体" w:eastAsia="仿宋_GB2312" w:cs="宋体"/>
                <w:kern w:val="0"/>
                <w:sz w:val="24"/>
                <w:szCs w:val="24"/>
              </w:rPr>
              <w:t>2</w:t>
            </w:r>
            <w:r>
              <w:rPr>
                <w:rFonts w:hint="eastAsia" w:ascii="仿宋_GB2312" w:hAnsi="宋体" w:eastAsia="仿宋_GB2312" w:cs="宋体"/>
                <w:kern w:val="0"/>
                <w:sz w:val="24"/>
                <w:szCs w:val="24"/>
              </w:rPr>
              <w:t>-1-03</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企业不符合相应资质标准要求，整改期间承揽新工程的</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《建筑业企业资质管理规定》（住房城乡建设部令第22号）第二十八条</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《建筑业企业资质管理规定》（住房城乡建设部令第22号）第二十八条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690" w:hRule="atLeast"/>
          <w:jc w:val="center"/>
        </w:trPr>
        <w:tc>
          <w:tcPr>
            <w:tcW w:w="1069"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w:t>
            </w:r>
            <w:r>
              <w:rPr>
                <w:rFonts w:ascii="仿宋_GB2312" w:hAnsi="宋体" w:eastAsia="仿宋_GB2312" w:cs="宋体"/>
                <w:kern w:val="0"/>
                <w:sz w:val="24"/>
                <w:szCs w:val="24"/>
              </w:rPr>
              <w:t>2</w:t>
            </w:r>
            <w:r>
              <w:rPr>
                <w:rFonts w:hint="eastAsia" w:ascii="仿宋_GB2312" w:hAnsi="宋体" w:eastAsia="仿宋_GB2312" w:cs="宋体"/>
                <w:kern w:val="0"/>
                <w:sz w:val="24"/>
                <w:szCs w:val="24"/>
              </w:rPr>
              <w:t>-1-04</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拒绝提供统计资料或者经催报后仍未按时提供统计资料的</w:t>
            </w:r>
            <w:r>
              <w:rPr>
                <w:rFonts w:ascii="仿宋_GB2312" w:hAnsi="宋体" w:eastAsia="仿宋_GB2312" w:cs="宋体"/>
                <w:kern w:val="0"/>
                <w:sz w:val="24"/>
                <w:szCs w:val="24"/>
              </w:rPr>
              <w:t>；提供不真实或者不完整的统计资料的</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sz w:val="24"/>
                <w:szCs w:val="24"/>
              </w:rPr>
            </w:pPr>
            <w:r>
              <w:rPr>
                <w:rFonts w:hint="eastAsia" w:ascii="仿宋_GB2312" w:hAnsi="宋体" w:eastAsia="仿宋_GB2312" w:cs="宋体"/>
                <w:kern w:val="0"/>
                <w:sz w:val="24"/>
                <w:szCs w:val="24"/>
              </w:rPr>
              <w:t>《中华人民共和国统计法》(中华人民共和国主席令第15号)第七条</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《中华人民共和国统计法》(中华人民共和国主席令第15号)第四十一条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-0.5分/次</w:t>
            </w:r>
          </w:p>
        </w:tc>
      </w:tr>
      <w:tr>
        <w:tblPrEx>
          <w:tblCellMar>
            <w:top w:w="0" w:type="dxa"/>
            <w:left w:w="108" w:type="dxa"/>
            <w:bottom w:w="0" w:type="dxa"/>
            <w:right w:w="108" w:type="dxa"/>
          </w:tblCellMar>
        </w:tblPrEx>
        <w:trPr>
          <w:trHeight w:val="2920"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承揽</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业务</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D2-2-01</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未取得资质证书承揽工程的，或超越本单位资质等级承揽工程的</w:t>
            </w:r>
            <w:r>
              <w:rPr>
                <w:rFonts w:ascii="仿宋_GB2312" w:eastAsia="仿宋_GB2312" w:cs="宋体"/>
                <w:kern w:val="0"/>
                <w:sz w:val="24"/>
                <w:szCs w:val="24"/>
              </w:rPr>
              <w:t xml:space="preserve"> </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1.《中华人民共和国建筑法》(中华人民共和国主席令第46号)第十三条，第二十六条</w:t>
            </w:r>
          </w:p>
          <w:p>
            <w:pPr>
              <w:widowControl/>
              <w:spacing w:line="280" w:lineRule="exact"/>
              <w:jc w:val="left"/>
              <w:rPr>
                <w:rFonts w:ascii="仿宋_GB2312"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《建设工程质量管理条例》(中华人民共和国国务院令第279号)第二十五条</w:t>
            </w:r>
          </w:p>
          <w:p>
            <w:pPr>
              <w:widowControl/>
              <w:spacing w:line="280" w:lineRule="exact"/>
              <w:jc w:val="left"/>
              <w:rPr>
                <w:rFonts w:ascii="仿宋_GB2312"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《山东省建筑市场管理条例》第八条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《中华人民共和国建筑法》(中华人民共和国主席令第46号)第六十五条</w:t>
            </w:r>
          </w:p>
          <w:p>
            <w:pPr>
              <w:widowControl/>
              <w:spacing w:line="280" w:lineRule="exact"/>
              <w:jc w:val="left"/>
              <w:rPr>
                <w:rFonts w:ascii="仿宋_GB2312"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《建设工程质量管理条例》(中华人民共和国国务院令第279号)第六十条</w:t>
            </w:r>
          </w:p>
          <w:p>
            <w:pPr>
              <w:widowControl/>
              <w:spacing w:line="280" w:lineRule="exact"/>
              <w:jc w:val="left"/>
              <w:rPr>
                <w:rFonts w:ascii="仿宋_GB2312"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《山东省建筑市场管理条例》(山东省人民代表大会常务委员会公告第56号)第四十八条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-5分/次</w:t>
            </w:r>
          </w:p>
        </w:tc>
      </w:tr>
      <w:tr>
        <w:tblPrEx>
          <w:tblCellMar>
            <w:top w:w="0" w:type="dxa"/>
            <w:left w:w="108" w:type="dxa"/>
            <w:bottom w:w="0" w:type="dxa"/>
            <w:right w:w="108" w:type="dxa"/>
          </w:tblCellMar>
        </w:tblPrEx>
        <w:trPr>
          <w:trHeight w:val="1532"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D2-2-02</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将承包的工程违法分包的</w:t>
            </w:r>
          </w:p>
        </w:tc>
        <w:tc>
          <w:tcPr>
            <w:tcW w:w="3354" w:type="dxa"/>
            <w:vMerge w:val="restart"/>
            <w:tcBorders>
              <w:top w:val="nil"/>
              <w:left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1.《中华人民共和国建筑法》(中华人民共和国主席令第46号)第二十八条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2.《建设工程质量管理条例》(中华人民共和国国务院令第279号)第二十五条</w:t>
            </w:r>
          </w:p>
        </w:tc>
        <w:tc>
          <w:tcPr>
            <w:tcW w:w="3050" w:type="dxa"/>
            <w:vMerge w:val="restart"/>
            <w:tcBorders>
              <w:top w:val="nil"/>
              <w:left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1.《中华人民共和国建筑法》(中华人民共和国主席令第46号)第六十七条</w:t>
            </w:r>
          </w:p>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2.《建设工程质量管理条例》(中华人民共和国国务院令第279号)第六十二条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3.《山东省建筑市场管理条例》(山东省人民代表大会常务委员会公告第56号)第四十八条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616"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责令改正且逾期未改的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30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D2-2-03</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中标建造师同时在两个或者两个以上单位受聘或者执业；超出执业范围和聘用单位业务范围内从事执业活动的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 xml:space="preserve">《注册建造师管理规定》(建设部令第153号)第二十六条 </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《注册建造师管理规定》(建设部令第153号)第三十七条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1112"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D2-2-04</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中标建造师同时在两个及两个以上的建设工程项目上担任施工单位项目负责人</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《注册建造师管理规定》(建设部令第153号)第二十一条</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《注册建造师管理规定》(建设部令第153号)第三十七条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735"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承揽</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业务</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w:t>
            </w: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D2-2-05</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企业注册建造师未在有关工程施工管理文件签字并加盖执业印章的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《注册建造师管理规定》（建设部令第153号）第二十一条、第二十二条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《注册建造师管理规定》(建设部令第153号)第四十条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761"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24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责令改正且逾期未改的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17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D2-2-06</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施工现场主要管理人员未取得相应执业资格证书上岗的</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《中华人民共和国建筑法》(中华人民共和国主席令第46号)第十四条</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《建筑业企业资质管理规定》（住房城乡建设部令第22号）第二十三条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分/人</w:t>
            </w:r>
          </w:p>
        </w:tc>
      </w:tr>
      <w:tr>
        <w:tblPrEx>
          <w:tblCellMar>
            <w:top w:w="0" w:type="dxa"/>
            <w:left w:w="108" w:type="dxa"/>
            <w:bottom w:w="0" w:type="dxa"/>
            <w:right w:w="108" w:type="dxa"/>
          </w:tblCellMar>
        </w:tblPrEx>
        <w:trPr>
          <w:trHeight w:val="236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D2-2-</w:t>
            </w:r>
            <w:r>
              <w:rPr>
                <w:rFonts w:ascii="仿宋_GB2312" w:hAnsi="宋体" w:eastAsia="仿宋_GB2312" w:cs="宋体"/>
                <w:kern w:val="0"/>
                <w:sz w:val="24"/>
                <w:szCs w:val="24"/>
              </w:rPr>
              <w:t>0</w:t>
            </w:r>
            <w:r>
              <w:rPr>
                <w:rFonts w:hint="eastAsia" w:ascii="仿宋_GB2312" w:hAnsi="宋体" w:eastAsia="仿宋_GB2312" w:cs="宋体"/>
                <w:kern w:val="0"/>
                <w:sz w:val="24"/>
                <w:szCs w:val="24"/>
              </w:rPr>
              <w:t>7</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施工现场技术工种作业人员未取得证书上岗，情节严重的</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《建筑业企业资质管理规定》（住房城乡建设部令第22号）第二十三条</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1.《建筑业企业资质管理规定》（住房城乡建设部令第22号）第三十七条</w:t>
            </w:r>
          </w:p>
          <w:p>
            <w:pPr>
              <w:widowControl/>
              <w:spacing w:line="26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2.《住房城乡建设部关于进一步加强和完善建筑劳务管理工作的指导意见》（建市〔2014〕112号）</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-0.5分/次</w:t>
            </w:r>
          </w:p>
        </w:tc>
      </w:tr>
      <w:tr>
        <w:tblPrEx>
          <w:tblCellMar>
            <w:top w:w="0" w:type="dxa"/>
            <w:left w:w="108" w:type="dxa"/>
            <w:bottom w:w="0" w:type="dxa"/>
            <w:right w:w="108" w:type="dxa"/>
          </w:tblCellMar>
        </w:tblPrEx>
        <w:trPr>
          <w:trHeight w:val="3823"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D2-2-08</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施工总承包单位或专业承包单位未在施工现场设立项目管理机构或未派驻项目负责人、技术负责人、质量管理负责人、安全管理负责人等主要管理人员，不履行管理义务，未对该工程的施工活动进行组织管理的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eastAsia="仿宋_GB2312" w:cs="宋体"/>
                <w:kern w:val="0"/>
                <w:sz w:val="24"/>
                <w:szCs w:val="24"/>
              </w:rPr>
              <w:t>《建筑工程施工发包与承包违法行为认定查处管理办法》（建市〔2019〕1号）</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numPr>
                <w:ilvl w:val="0"/>
                <w:numId w:val="0"/>
              </w:numPr>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《中华人民共和国建筑法》(中华人民共和国主席令第46号)第六十七条</w:t>
            </w:r>
          </w:p>
          <w:p>
            <w:pPr>
              <w:widowControl/>
              <w:numPr>
                <w:ilvl w:val="0"/>
                <w:numId w:val="0"/>
              </w:numPr>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《建设工程质量管理条例》(中华人民共和国国务院令第279号)第六十二条</w:t>
            </w:r>
          </w:p>
          <w:p>
            <w:pPr>
              <w:widowControl/>
              <w:numPr>
                <w:ilvl w:val="0"/>
                <w:numId w:val="0"/>
              </w:numPr>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《房屋建筑和市政基础设施工程施工分包管理办法》(建设部令第124号)第十八条</w:t>
            </w:r>
          </w:p>
          <w:p>
            <w:pPr>
              <w:widowControl/>
              <w:spacing w:line="24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4.《山东省建筑市场管理条例》(山东省人民代表大会常务委员会公告第56号)第四十八条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-0.5分/次</w:t>
            </w:r>
          </w:p>
        </w:tc>
      </w:tr>
      <w:tr>
        <w:tblPrEx>
          <w:tblCellMar>
            <w:top w:w="0" w:type="dxa"/>
            <w:left w:w="108" w:type="dxa"/>
            <w:bottom w:w="0" w:type="dxa"/>
            <w:right w:w="108" w:type="dxa"/>
          </w:tblCellMar>
        </w:tblPrEx>
        <w:trPr>
          <w:trHeight w:val="2961"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承揽</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业务</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D2-2</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D2-2-09</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没有资质的单位或个人借用其他施工单位的资质承揽工程的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《建筑工程施工发包与承包违法行为认定查处管理办法》（建市〔2019〕1号）</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1.《中华人民共和国建筑法》(中华人民共和国主席令第46号)第六十五条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2.《建设工程质量管理条例》(中华人民共和国国务院令第279号)第六十条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3.《山东省建筑市场管理条例》(山东省人民代表大会常务委员会公告第56号)第四十八条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-3分/次</w:t>
            </w:r>
          </w:p>
        </w:tc>
      </w:tr>
      <w:tr>
        <w:tblPrEx>
          <w:tblCellMar>
            <w:top w:w="0" w:type="dxa"/>
            <w:left w:w="108" w:type="dxa"/>
            <w:bottom w:w="0" w:type="dxa"/>
            <w:right w:w="108" w:type="dxa"/>
          </w:tblCellMar>
        </w:tblPrEx>
        <w:trPr>
          <w:trHeight w:val="296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D2-2-10</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有资质的施工单位相互借用资质承揽工程的，包括资质等级低的借用资质等级高的，资质等级高的借用资质等级低的，相同资质等级相互借用的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《建筑工程施工发包与承包违法行为认定查处管理办法》（建市〔2019〕1号）</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1.《中华人民共和国建筑法》(中华人民共和国主席令第46号)第六十五条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2.《建设工程质量管理条例》(中华人民共和国国务院令第279号)第六十条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3.《山东省建筑市场管理条例》(山东省人民代表大会常务委员会公告第56号)第四十八条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-2分/次</w:t>
            </w:r>
          </w:p>
        </w:tc>
      </w:tr>
      <w:tr>
        <w:tblPrEx>
          <w:tblCellMar>
            <w:top w:w="0" w:type="dxa"/>
            <w:left w:w="108" w:type="dxa"/>
            <w:bottom w:w="0" w:type="dxa"/>
            <w:right w:w="108" w:type="dxa"/>
          </w:tblCellMar>
        </w:tblPrEx>
        <w:trPr>
          <w:trHeight w:val="2974"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D2-2-11</w:t>
            </w:r>
          </w:p>
        </w:tc>
        <w:tc>
          <w:tcPr>
            <w:tcW w:w="324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施工单位在施工现场派驻的项目负责人、技术负责人、质量管理负责人、安全管理负责人中一人以上与施工单位没有订立劳动合同，或没有建立劳动工资或社会养老保险关系的</w:t>
            </w:r>
          </w:p>
        </w:tc>
        <w:tc>
          <w:tcPr>
            <w:tcW w:w="3354"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《建筑工程施工发包与承包违法行为认定查处管理办法》（建市〔2019〕1号）</w:t>
            </w:r>
          </w:p>
        </w:tc>
        <w:tc>
          <w:tcPr>
            <w:tcW w:w="3050"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1.《中华人民共和国建筑法》(中华人民共和国主席令第46号)第六十五条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2.《建设工程质量管理条例》(中华人民共和国国务院令第279号)第六十条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3.《山东省建筑市场管理条例》(山东省人民代表大会常务委员会公告第56号)第四十八条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分/人/项</w:t>
            </w:r>
          </w:p>
        </w:tc>
      </w:tr>
      <w:tr>
        <w:tblPrEx>
          <w:tblCellMar>
            <w:top w:w="0" w:type="dxa"/>
            <w:left w:w="108" w:type="dxa"/>
            <w:bottom w:w="0" w:type="dxa"/>
            <w:right w:w="108" w:type="dxa"/>
          </w:tblCellMar>
        </w:tblPrEx>
        <w:trPr>
          <w:trHeight w:val="1402"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承揽</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业务</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D2-2</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D2-2-12</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招标人和中标人订立到住建主管部门备案的书面合同后，再行订立背离合同实质性内容的其他协议的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《中华人民共和国招标投标法》(中华人民共和国主席令第21号)第四十六条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《中华人民共和国招标投标法》(中华人民共和国主席令第21号)第五十九条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725"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D2-2-13</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投标人相互串通投标或者与招标人串通投标的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《中华人民共和国招标投标法》(中华人民共和国主席令第21号)第三十二条</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《中华人民共和国招标投标法》(中华人民共和国主席令第21号)第五十三条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首次发生串标行为的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4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发生两次及以上串标行为的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024"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D2-2-14</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投标人以他人名义投标或者以其他方式弄虚作假，骗取中标的；投标人伪造、变造资格、资质证书或者其他许可证件骗取中标；3年内2次以上使用他人名义投标的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《中华人民共和国招标投标法》(中华人民共和国主席令第21号)第三十三条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1.《中华人民共和国招标投标法》(中华人民共和国主席令第21号)第五十四条</w:t>
            </w:r>
          </w:p>
          <w:p>
            <w:pPr>
              <w:widowControl/>
              <w:jc w:val="left"/>
              <w:rPr>
                <w:rFonts w:ascii="仿宋_GB2312"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《招标投标法实施条例》（中华人民共和国国务院令第613号）第六十八条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bCs/>
                <w:kern w:val="0"/>
                <w:sz w:val="24"/>
                <w:szCs w:val="24"/>
              </w:rPr>
            </w:pPr>
            <w:r>
              <w:rPr>
                <w:rFonts w:hint="eastAsia" w:ascii="仿宋_GB2312" w:hAnsi="宋体" w:eastAsia="仿宋_GB2312" w:cs="宋体"/>
                <w:bCs/>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-2分/次</w:t>
            </w:r>
          </w:p>
        </w:tc>
      </w:tr>
      <w:tr>
        <w:tblPrEx>
          <w:tblCellMar>
            <w:top w:w="0" w:type="dxa"/>
            <w:left w:w="108" w:type="dxa"/>
            <w:bottom w:w="0" w:type="dxa"/>
            <w:right w:w="108" w:type="dxa"/>
          </w:tblCellMar>
        </w:tblPrEx>
        <w:trPr>
          <w:trHeight w:val="1968"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D2-2-15</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中标人将中标项目转让给他人的，将中标项目肢解后分别转让给他人的，违反规定将中标项目的部分主体、关键性工作分包给他人的，或者分包人再次分包的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《中华人民共和国招标投标法》(中华人民共和国主席令第21号)第五十八条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《中华人民共和国招标投标法》(中华人民共和国主席令第21号)第五十八条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bCs/>
                <w:kern w:val="0"/>
                <w:sz w:val="24"/>
                <w:szCs w:val="24"/>
              </w:rPr>
            </w:pPr>
            <w:r>
              <w:rPr>
                <w:rFonts w:hint="eastAsia" w:ascii="仿宋_GB2312" w:hAnsi="宋体" w:eastAsia="仿宋_GB2312" w:cs="宋体"/>
                <w:bCs/>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-2分/次</w:t>
            </w:r>
          </w:p>
        </w:tc>
      </w:tr>
      <w:tr>
        <w:tblPrEx>
          <w:tblCellMar>
            <w:top w:w="0" w:type="dxa"/>
            <w:left w:w="108" w:type="dxa"/>
            <w:bottom w:w="0" w:type="dxa"/>
            <w:right w:w="108" w:type="dxa"/>
          </w:tblCellMar>
        </w:tblPrEx>
        <w:trPr>
          <w:trHeight w:val="905" w:hRule="atLeast"/>
          <w:jc w:val="center"/>
        </w:trPr>
        <w:tc>
          <w:tcPr>
            <w:tcW w:w="1069"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质量</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w:t>
            </w: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D2-3-01</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未建立、健全施工质量检验制度的；未对隐蔽工程的质量检查和记录的；隐蔽工程在隐蔽前，施工单位未通知建设单位和建设工程质量监督机构的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《建设工程质量管理条例》（中华人民共和国国务院令第279号）第三十条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《建设工程质量管理条例》（中华人民共和国国务院令第279号）第三十条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905"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799"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质量</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w:t>
            </w: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D2-3-02</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对涉及结构安全的试块、试件及有关材料未在建设单位或工程监理单位监督下现场取样的；未送具有相应资质等级的质量检测单位进行检测的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《建设工程质量管理条例》（中华人民共和国国务院令第279号）第三十一条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《建设工程质量管理条例》（中华人民共和国国务院令第279号）第六十五条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871"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99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nil"/>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D2-3-0</w:t>
            </w:r>
            <w:r>
              <w:rPr>
                <w:rFonts w:ascii="仿宋_GB2312" w:hAnsi="宋体" w:eastAsia="仿宋_GB2312" w:cs="宋体"/>
                <w:kern w:val="0"/>
                <w:sz w:val="24"/>
                <w:szCs w:val="24"/>
              </w:rPr>
              <w:t>3</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未按照工程设计要求、施工技术标准和合同约定，对材料、构配件、设备和商品混凝土进行检验的；检验未书面记录和专人签字的；未经检验或者检验不合格使用的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《建设工程质量管理条例》（国务院令第279号）第二十九、第三十二条、第六十五条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《建设工程质量管理条例》（国务院令第279号）第六十五条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-0.5分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104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w:t>
            </w:r>
            <w:r>
              <w:rPr>
                <w:rFonts w:ascii="仿宋_GB2312" w:hAnsi="宋体" w:eastAsia="仿宋_GB2312" w:cs="宋体"/>
                <w:kern w:val="0"/>
                <w:sz w:val="24"/>
                <w:szCs w:val="24"/>
              </w:rPr>
              <w:t>4</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工程竣工验收后，不向建设单位出具质量保修书或质量保修的内容的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《建设工程质量管理条例》（中华人民共和国国务院令第279号）第三十九条</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《建设工程质量管理条例》（中华人民共和国国务院令第279号）第三十九条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2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653"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w:t>
            </w:r>
            <w:r>
              <w:rPr>
                <w:rFonts w:ascii="仿宋_GB2312" w:hAnsi="宋体" w:eastAsia="仿宋_GB2312" w:cs="宋体"/>
                <w:kern w:val="0"/>
                <w:sz w:val="24"/>
                <w:szCs w:val="24"/>
              </w:rPr>
              <w:t>5</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工程竣工验收后，不履行保修义务的或者拖延履行保修义务的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《建设工程质量管理条例》（中华人民共和国国务院令第279号）第六十六条</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《建设工程质量管理条例》（中华人民共和国国务院令第279号）第六十六条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拖延履行保修义务</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645"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不履行保修义务</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65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w:t>
            </w:r>
            <w:r>
              <w:rPr>
                <w:rFonts w:ascii="仿宋_GB2312" w:hAnsi="宋体" w:eastAsia="仿宋_GB2312" w:cs="宋体"/>
                <w:kern w:val="0"/>
                <w:sz w:val="24"/>
                <w:szCs w:val="24"/>
              </w:rPr>
              <w:t>6</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未按照工程设计图纸和施工技术标准施工的；擅自修改工程设计在施工中偷工减料的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《建设工程质量管理条例》（中华人民共和国国务院令第279号）第二十八条、第六十四条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《建设工程质量管理条例》（中华人民共和国国务院令第279号）第六十四条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4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67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w:t>
            </w:r>
            <w:r>
              <w:rPr>
                <w:rFonts w:ascii="仿宋_GB2312" w:hAnsi="宋体" w:eastAsia="仿宋_GB2312" w:cs="宋体"/>
                <w:kern w:val="0"/>
                <w:sz w:val="24"/>
                <w:szCs w:val="24"/>
              </w:rPr>
              <w:t>7</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违反工程质量强制性标准的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《建设工程质量管理条例》（中华人民共和国国务院令第279号）第五十六条</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《建设工程质量管理条例》（中华人民共和国国务院令第279号）第五十六条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59"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000000"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000000"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000000"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59"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质量</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w:t>
            </w:r>
          </w:p>
        </w:tc>
        <w:tc>
          <w:tcPr>
            <w:tcW w:w="1002" w:type="dxa"/>
            <w:tcBorders>
              <w:top w:val="single" w:color="000000"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D2-3-08</w:t>
            </w:r>
          </w:p>
        </w:tc>
        <w:tc>
          <w:tcPr>
            <w:tcW w:w="3242" w:type="dxa"/>
            <w:tcBorders>
              <w:top w:val="single" w:color="000000"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不按照建设工程法律法规、国家工程建设消防技术标准，以及经消防设计审查合格或者满足工程需要的消防设计文件组织施工，擅自改变消防设计进行施工，降低消防施工质量的。</w:t>
            </w:r>
          </w:p>
        </w:tc>
        <w:tc>
          <w:tcPr>
            <w:tcW w:w="3354" w:type="dxa"/>
            <w:tcBorders>
              <w:top w:val="single" w:color="000000"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《中华人民共和国消防法》第九条、第五十九条；</w:t>
            </w:r>
          </w:p>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《建设工程消防设计审查验收管理暂行规定》第十一条、第三十八条。</w:t>
            </w:r>
          </w:p>
        </w:tc>
        <w:tc>
          <w:tcPr>
            <w:tcW w:w="3050" w:type="dxa"/>
            <w:tcBorders>
              <w:top w:val="single" w:color="000000"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《中华人民共和国消防法》第九条、第五十九条；</w:t>
            </w:r>
          </w:p>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《建设工程消防设计审查验收管理暂行规定》第十一条、第三十八条。</w:t>
            </w:r>
          </w:p>
        </w:tc>
        <w:tc>
          <w:tcPr>
            <w:tcW w:w="1048" w:type="dxa"/>
            <w:tcBorders>
              <w:top w:val="single" w:color="000000"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1402" w:type="dxa"/>
            <w:tcBorders>
              <w:top w:val="single" w:color="000000"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000000"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-2分/次</w:t>
            </w:r>
          </w:p>
        </w:tc>
      </w:tr>
      <w:tr>
        <w:tblPrEx>
          <w:tblCellMar>
            <w:top w:w="0" w:type="dxa"/>
            <w:left w:w="108" w:type="dxa"/>
            <w:bottom w:w="0" w:type="dxa"/>
            <w:right w:w="108" w:type="dxa"/>
          </w:tblCellMar>
        </w:tblPrEx>
        <w:trPr>
          <w:trHeight w:val="559"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D2-3-09</w:t>
            </w:r>
          </w:p>
        </w:tc>
        <w:tc>
          <w:tcPr>
            <w:tcW w:w="3242"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不按照消防设计要求、施工技术标准和合同约定检验消防产品和具有防火性能要求的材料、构配件和设备的质量，使用合格产品，保证消防施工质量的。</w:t>
            </w:r>
          </w:p>
        </w:tc>
        <w:tc>
          <w:tcPr>
            <w:tcW w:w="3354"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《建设工程消防设计审查验收管理暂行规定》第十一条、第三十八条。</w:t>
            </w:r>
          </w:p>
        </w:tc>
        <w:tc>
          <w:tcPr>
            <w:tcW w:w="3050"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《建设工程消防设计审查验收管理暂行规定》第十一条、第三十八条。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-2分/次</w:t>
            </w:r>
          </w:p>
        </w:tc>
      </w:tr>
      <w:tr>
        <w:tblPrEx>
          <w:tblCellMar>
            <w:top w:w="0" w:type="dxa"/>
            <w:left w:w="108" w:type="dxa"/>
            <w:bottom w:w="0" w:type="dxa"/>
            <w:right w:w="108" w:type="dxa"/>
          </w:tblCellMar>
        </w:tblPrEx>
        <w:trPr>
          <w:trHeight w:val="559"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D2-3-10</w:t>
            </w:r>
          </w:p>
        </w:tc>
        <w:tc>
          <w:tcPr>
            <w:tcW w:w="3242"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未参加建设单位组织的建设工程竣工验收，未对建设工程消防施工质量签章确认的。</w:t>
            </w:r>
          </w:p>
        </w:tc>
        <w:tc>
          <w:tcPr>
            <w:tcW w:w="3354"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《建设工程消防设计审查验收管理暂行规定》第十一条、第三十八条。</w:t>
            </w:r>
          </w:p>
        </w:tc>
        <w:tc>
          <w:tcPr>
            <w:tcW w:w="3050"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《建设工程消防设计审查验收管理暂行规定》第十一条、第三十八条。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695"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安全</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生产</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D2-4</w:t>
            </w: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D2-4-01</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企业主要负责人、项目负责人、专职安全管理人员、特种作业人员，应持证上岗而未持证上岗的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《建设工程安全生产管理条例》（中华人民共和国国务院令第393号）第二十五条、第三十六条</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《建设工程安全生产管理条例》（中华人民共和国国务院令第393号）第六十二条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分/人</w:t>
            </w:r>
          </w:p>
        </w:tc>
      </w:tr>
      <w:tr>
        <w:tblPrEx>
          <w:tblCellMar>
            <w:top w:w="0" w:type="dxa"/>
            <w:left w:w="108" w:type="dxa"/>
            <w:bottom w:w="0" w:type="dxa"/>
            <w:right w:w="108" w:type="dxa"/>
          </w:tblCellMar>
        </w:tblPrEx>
        <w:trPr>
          <w:trHeight w:val="68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分/人</w:t>
            </w:r>
          </w:p>
        </w:tc>
      </w:tr>
      <w:tr>
        <w:tblPrEx>
          <w:tblCellMar>
            <w:top w:w="0" w:type="dxa"/>
            <w:left w:w="108" w:type="dxa"/>
            <w:bottom w:w="0" w:type="dxa"/>
            <w:right w:w="108" w:type="dxa"/>
          </w:tblCellMar>
        </w:tblPrEx>
        <w:trPr>
          <w:trHeight w:val="681"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D2-4-02</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未在施工现场的危险部位设置明显的安全警示标志的；未按照国家有关规定在施工现场设置消防水源、配备消防设施和灭火器材的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《建设工程安全生产管理条例》（中华人民共和国国务院令第393号）第二十八条、第三十一条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《建设工程安全生产管理条例》（中华人民共和国国务院令第393号）第六十二条、第六十四条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75"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5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p>
        </w:tc>
        <w:tc>
          <w:tcPr>
            <w:tcW w:w="100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D2-4-03</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未按照规定在施工起重机械和整体提升脚手架、自升式架设设施验收合格后登记的；使用未经验收或验收不合格的施工起重机械和整体提升脚手架、模板等自升式架设设施的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《建设工程安全生产管理条例》（国务院令第393号）第六十二条、第六十五条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《建设工程安全生产管理条例》（国务院令第393号）第六十二条、第六十五条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验收合格不登记的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58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p>
        </w:tc>
        <w:tc>
          <w:tcPr>
            <w:tcW w:w="1002"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354" w:type="dxa"/>
            <w:vMerge w:val="continue"/>
            <w:tcBorders>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050" w:type="dxa"/>
            <w:vMerge w:val="continue"/>
            <w:tcBorders>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较重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未经验收擅自使用的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-2分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567"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验收不合格擅自使用的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740"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安全</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生产</w:t>
            </w:r>
          </w:p>
          <w:p>
            <w:pPr>
              <w:jc w:val="center"/>
              <w:rPr>
                <w:rFonts w:ascii="仿宋_GB2312" w:eastAsia="仿宋_GB2312" w:cs="宋体"/>
                <w:kern w:val="0"/>
                <w:sz w:val="24"/>
                <w:szCs w:val="24"/>
              </w:rPr>
            </w:pPr>
            <w:r>
              <w:rPr>
                <w:rFonts w:ascii="仿宋_GB2312" w:eastAsia="仿宋_GB2312" w:cs="宋体"/>
                <w:kern w:val="0"/>
                <w:sz w:val="24"/>
                <w:szCs w:val="24"/>
              </w:rPr>
              <w:t>D2-4</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w:t>
            </w:r>
            <w:r>
              <w:rPr>
                <w:rFonts w:ascii="仿宋_GB2312" w:hAnsi="宋体" w:eastAsia="仿宋_GB2312" w:cs="宋体"/>
                <w:kern w:val="0"/>
                <w:sz w:val="24"/>
                <w:szCs w:val="24"/>
              </w:rPr>
              <w:t>4</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遇到重大突发事件或恶劣天气，企业主要负责人、项目经理擅离职守未及时采取有效措施的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《建设工程安全生产管理条例》（中华人民共和国国务院令第393号）第二十八条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《建设工程安全生产管理条例》（中华人民共和国国务院令第393号）第六十六条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w:t>
            </w:r>
            <w:r>
              <w:rPr>
                <w:rFonts w:ascii="仿宋_GB2312" w:hAnsi="宋体" w:eastAsia="仿宋_GB2312" w:cs="宋体"/>
                <w:kern w:val="0"/>
                <w:sz w:val="24"/>
                <w:szCs w:val="24"/>
              </w:rPr>
              <w:t>5</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《安全生产许可证》有效期满未办理延期手续继续从事施工活动的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《建筑施工企业安全生产许可证管理规定》（建设部令第128号）第二十五条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《建筑施工企业安全生产许可证管理规定》（建设部令第128号）第二十五条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w:t>
            </w:r>
            <w:r>
              <w:rPr>
                <w:rFonts w:hint="eastAsia" w:ascii="仿宋_GB2312" w:hAnsi="宋体" w:eastAsia="仿宋_GB2312" w:cs="宋体"/>
                <w:kern w:val="0"/>
                <w:sz w:val="24"/>
                <w:szCs w:val="24"/>
              </w:rPr>
              <w:t>2分/次</w:t>
            </w:r>
          </w:p>
        </w:tc>
      </w:tr>
      <w:tr>
        <w:tblPrEx>
          <w:tblCellMar>
            <w:top w:w="0" w:type="dxa"/>
            <w:left w:w="108" w:type="dxa"/>
            <w:bottom w:w="0" w:type="dxa"/>
            <w:right w:w="108" w:type="dxa"/>
          </w:tblCellMar>
        </w:tblPrEx>
        <w:trPr>
          <w:trHeight w:val="766"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w:t>
            </w:r>
            <w:r>
              <w:rPr>
                <w:rFonts w:ascii="仿宋_GB2312" w:hAnsi="宋体" w:eastAsia="仿宋_GB2312" w:cs="宋体"/>
                <w:kern w:val="0"/>
                <w:sz w:val="24"/>
                <w:szCs w:val="24"/>
              </w:rPr>
              <w:t>6</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未依法取得《安全生产许可证》擅自从事施工活动的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《建筑施工企业安全生产许可证管理规定》（建设部令第128号）第二十四条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《建筑施工企业安全生产许可证管理规定》（建设部令第128号）第二十四条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-5分/次</w:t>
            </w:r>
          </w:p>
        </w:tc>
      </w:tr>
      <w:tr>
        <w:tblPrEx>
          <w:tblCellMar>
            <w:top w:w="0" w:type="dxa"/>
            <w:left w:w="108" w:type="dxa"/>
            <w:bottom w:w="0" w:type="dxa"/>
            <w:right w:w="108" w:type="dxa"/>
          </w:tblCellMar>
        </w:tblPrEx>
        <w:trPr>
          <w:trHeight w:val="126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w:t>
            </w:r>
            <w:r>
              <w:rPr>
                <w:rFonts w:ascii="仿宋_GB2312" w:hAnsi="宋体" w:eastAsia="仿宋_GB2312" w:cs="宋体"/>
                <w:kern w:val="0"/>
                <w:sz w:val="24"/>
                <w:szCs w:val="24"/>
              </w:rPr>
              <w:t>7</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使用国家明令淘汰、禁止使用的危及施工安全的工艺、设备、材料的；施工现场临时搭建的建筑物不符合安全使用要求的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《建设工程安全生产管理条例》（中华人民共和国国务院令第393号）第六十二条、六十四条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《建设工程安全生产管理条例》（中华人民共和国国务院令第393号）第六十二条、六十四条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6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nil"/>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D2-4-0</w:t>
            </w:r>
            <w:r>
              <w:rPr>
                <w:rFonts w:ascii="仿宋_GB2312" w:hAnsi="宋体" w:eastAsia="仿宋_GB2312" w:cs="宋体"/>
                <w:kern w:val="0"/>
                <w:sz w:val="24"/>
                <w:szCs w:val="24"/>
              </w:rPr>
              <w:t>8</w:t>
            </w:r>
          </w:p>
        </w:tc>
        <w:tc>
          <w:tcPr>
            <w:tcW w:w="3242" w:type="dxa"/>
            <w:vMerge w:val="restart"/>
            <w:tcBorders>
              <w:top w:val="nil"/>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施工单位对安全事故隐患不采取措施予以消除的</w:t>
            </w:r>
          </w:p>
        </w:tc>
        <w:tc>
          <w:tcPr>
            <w:tcW w:w="3354" w:type="dxa"/>
            <w:vMerge w:val="restart"/>
            <w:tcBorders>
              <w:top w:val="nil"/>
              <w:left w:val="single" w:color="auto" w:sz="4" w:space="0"/>
              <w:right w:val="single" w:color="auto" w:sz="4" w:space="0"/>
            </w:tcBorders>
            <w:tcMar>
              <w:left w:w="57" w:type="dxa"/>
              <w:right w:w="57" w:type="dxa"/>
            </w:tcMar>
            <w:vAlign w:val="center"/>
          </w:tcPr>
          <w:p>
            <w:pPr>
              <w:jc w:val="left"/>
              <w:rPr>
                <w:rFonts w:hint="default" w:ascii="仿宋_GB2312" w:eastAsia="仿宋_GB2312" w:cs="宋体"/>
                <w:kern w:val="0"/>
                <w:sz w:val="24"/>
                <w:szCs w:val="24"/>
                <w:lang w:val="en-US" w:eastAsia="zh-CN"/>
              </w:rPr>
            </w:pPr>
            <w:r>
              <w:rPr>
                <w:rFonts w:hint="eastAsia" w:ascii="仿宋_GB2312" w:hAnsi="宋体" w:eastAsia="仿宋_GB2312" w:cs="宋体"/>
                <w:kern w:val="0"/>
                <w:sz w:val="24"/>
                <w:szCs w:val="24"/>
              </w:rPr>
              <w:t>《山东省建筑安全生产管理</w:t>
            </w:r>
            <w:r>
              <w:rPr>
                <w:rFonts w:hint="eastAsia" w:ascii="仿宋_GB2312" w:hAnsi="宋体" w:eastAsia="仿宋_GB2312" w:cs="宋体"/>
                <w:kern w:val="0"/>
                <w:sz w:val="24"/>
                <w:szCs w:val="24"/>
                <w:lang w:val="en-US" w:eastAsia="zh-CN"/>
              </w:rPr>
              <w:t>规定</w:t>
            </w:r>
            <w:r>
              <w:rPr>
                <w:rFonts w:hint="eastAsia" w:ascii="仿宋_GB2312" w:hAnsi="宋体" w:eastAsia="仿宋_GB2312" w:cs="宋体"/>
                <w:kern w:val="0"/>
                <w:sz w:val="24"/>
                <w:szCs w:val="24"/>
              </w:rPr>
              <w:t>》（山东省人民政府令第</w:t>
            </w:r>
            <w:r>
              <w:rPr>
                <w:rFonts w:hint="eastAsia" w:ascii="仿宋_GB2312" w:hAnsi="宋体" w:eastAsia="仿宋_GB2312" w:cs="宋体"/>
                <w:kern w:val="0"/>
                <w:sz w:val="24"/>
                <w:szCs w:val="24"/>
                <w:lang w:val="en-US" w:eastAsia="zh-CN"/>
              </w:rPr>
              <w:t>311</w:t>
            </w:r>
          </w:p>
          <w:p>
            <w:pPr>
              <w:jc w:val="left"/>
              <w:rPr>
                <w:rFonts w:ascii="仿宋_GB2312" w:eastAsia="仿宋_GB2312" w:cs="宋体"/>
                <w:kern w:val="0"/>
                <w:sz w:val="24"/>
                <w:szCs w:val="24"/>
              </w:rPr>
            </w:pPr>
            <w:r>
              <w:rPr>
                <w:rFonts w:hint="eastAsia" w:ascii="仿宋_GB2312" w:hAnsi="宋体" w:eastAsia="仿宋_GB2312" w:cs="宋体"/>
                <w:kern w:val="0"/>
                <w:sz w:val="24"/>
                <w:szCs w:val="24"/>
              </w:rPr>
              <w:t>号）第四十五条</w:t>
            </w:r>
          </w:p>
        </w:tc>
        <w:tc>
          <w:tcPr>
            <w:tcW w:w="3050" w:type="dxa"/>
            <w:vMerge w:val="restart"/>
            <w:tcBorders>
              <w:top w:val="nil"/>
              <w:left w:val="single" w:color="auto" w:sz="4" w:space="0"/>
              <w:right w:val="single" w:color="auto" w:sz="4" w:space="0"/>
            </w:tcBorders>
            <w:tcMar>
              <w:left w:w="57" w:type="dxa"/>
              <w:right w:w="57" w:type="dxa"/>
            </w:tcMar>
            <w:vAlign w:val="center"/>
          </w:tcPr>
          <w:p>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《山东省建筑安全生产管理</w:t>
            </w:r>
            <w:r>
              <w:rPr>
                <w:rFonts w:hint="eastAsia" w:ascii="仿宋_GB2312" w:hAnsi="宋体" w:eastAsia="仿宋_GB2312" w:cs="宋体"/>
                <w:kern w:val="0"/>
                <w:sz w:val="24"/>
                <w:szCs w:val="24"/>
                <w:lang w:val="en-US" w:eastAsia="zh-CN"/>
              </w:rPr>
              <w:t>规定</w:t>
            </w:r>
            <w:r>
              <w:rPr>
                <w:rFonts w:hint="eastAsia" w:ascii="仿宋_GB2312" w:hAnsi="宋体" w:eastAsia="仿宋_GB2312" w:cs="宋体"/>
                <w:kern w:val="0"/>
                <w:sz w:val="24"/>
                <w:szCs w:val="24"/>
              </w:rPr>
              <w:t>》（山东省人民政府令</w:t>
            </w:r>
          </w:p>
          <w:p>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w:t>
            </w:r>
            <w:r>
              <w:rPr>
                <w:rFonts w:hint="eastAsia" w:ascii="仿宋_GB2312" w:hAnsi="宋体" w:eastAsia="仿宋_GB2312" w:cs="宋体"/>
                <w:kern w:val="0"/>
                <w:sz w:val="24"/>
                <w:szCs w:val="24"/>
                <w:lang w:val="en-US" w:eastAsia="zh-CN"/>
              </w:rPr>
              <w:t>311</w:t>
            </w:r>
            <w:r>
              <w:rPr>
                <w:rFonts w:hint="eastAsia" w:ascii="仿宋_GB2312" w:hAnsi="宋体" w:eastAsia="仿宋_GB2312" w:cs="宋体"/>
                <w:kern w:val="0"/>
                <w:sz w:val="24"/>
                <w:szCs w:val="24"/>
              </w:rPr>
              <w:t>号）第四十五条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449"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jc w:val="left"/>
              <w:rPr>
                <w:rFonts w:ascii="仿宋_GB2312"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jc w:val="left"/>
              <w:rPr>
                <w:rFonts w:ascii="仿宋_GB2312"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jc w:val="left"/>
              <w:rPr>
                <w:rFonts w:ascii="仿宋_GB2312"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42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w:t>
            </w:r>
            <w:r>
              <w:rPr>
                <w:rFonts w:ascii="仿宋_GB2312" w:hAnsi="宋体" w:eastAsia="仿宋_GB2312" w:cs="宋体"/>
                <w:kern w:val="0"/>
                <w:sz w:val="24"/>
                <w:szCs w:val="24"/>
              </w:rPr>
              <w:t>09</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未对因建设工程施工可能造成损害的毗邻建筑物、构筑物和地下管线等采取专项防护措施的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《建设工程安全生产管理条例》（中华人民共和国国务院令第393号）第六十四条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《建设工程安全生产管理条例》（中华人民共和国国务院令第393号）第六十四条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446"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249"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w:t>
            </w:r>
            <w:r>
              <w:rPr>
                <w:rFonts w:ascii="仿宋_GB2312" w:hAnsi="宋体" w:eastAsia="仿宋_GB2312" w:cs="宋体"/>
                <w:kern w:val="0"/>
                <w:sz w:val="24"/>
                <w:szCs w:val="24"/>
              </w:rPr>
              <w:t>10</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未按规定执行危险性较大的分项工程专项施工方案审批、专家论证的;论证不合格而擅自施工的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1.《建设工程安全生产管理条例》（中华人民共和国国务院令第393号）第二十六条</w:t>
            </w:r>
          </w:p>
          <w:p>
            <w:pPr>
              <w:jc w:val="left"/>
              <w:rPr>
                <w:rFonts w:ascii="仿宋_GB2312" w:eastAsia="仿宋_GB2312" w:cs="宋体"/>
                <w:kern w:val="0"/>
                <w:sz w:val="24"/>
                <w:szCs w:val="24"/>
              </w:rPr>
            </w:pPr>
            <w:r>
              <w:rPr>
                <w:rFonts w:hint="eastAsia" w:ascii="仿宋_GB2312" w:hAnsi="宋体" w:eastAsia="仿宋_GB2312" w:cs="宋体"/>
                <w:kern w:val="0"/>
                <w:sz w:val="24"/>
                <w:szCs w:val="24"/>
              </w:rPr>
              <w:t>2.《危险性较大的分部分项工程安全管理办法》（住房和城乡建设部令第37号）</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1.《建设工程安全生产管理条例》（中华人民共和国国务院令第393号）第二十六条</w:t>
            </w:r>
          </w:p>
          <w:p>
            <w:pPr>
              <w:jc w:val="left"/>
              <w:rPr>
                <w:rFonts w:ascii="仿宋_GB2312" w:eastAsia="仿宋_GB2312" w:cs="宋体"/>
                <w:kern w:val="0"/>
                <w:sz w:val="24"/>
                <w:szCs w:val="24"/>
              </w:rPr>
            </w:pPr>
            <w:r>
              <w:rPr>
                <w:rFonts w:hint="eastAsia" w:ascii="仿宋_GB2312" w:hAnsi="宋体" w:eastAsia="仿宋_GB2312" w:cs="宋体"/>
                <w:kern w:val="0"/>
                <w:sz w:val="24"/>
                <w:szCs w:val="24"/>
              </w:rPr>
              <w:t>2.《危险性较大的分部分项工程安全管理办法》（住房和城乡建设部令第37号）</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1497"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安全</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生产</w:t>
            </w:r>
          </w:p>
          <w:p>
            <w:pPr>
              <w:widowControl/>
              <w:jc w:val="center"/>
              <w:rPr>
                <w:rFonts w:ascii="仿宋_GB2312" w:eastAsia="仿宋_GB2312" w:cs="宋体"/>
                <w:kern w:val="0"/>
                <w:sz w:val="24"/>
                <w:szCs w:val="24"/>
              </w:rPr>
            </w:pPr>
            <w:r>
              <w:rPr>
                <w:rFonts w:ascii="仿宋_GB2312" w:eastAsia="仿宋_GB2312" w:cs="宋体"/>
                <w:kern w:val="0"/>
                <w:sz w:val="24"/>
                <w:szCs w:val="24"/>
              </w:rPr>
              <w:t>D2-4</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D2-4-1</w:t>
            </w:r>
            <w:r>
              <w:rPr>
                <w:rFonts w:ascii="仿宋_GB2312" w:hAnsi="宋体" w:eastAsia="仿宋_GB2312" w:cs="宋体"/>
                <w:kern w:val="0"/>
                <w:sz w:val="24"/>
                <w:szCs w:val="24"/>
              </w:rPr>
              <w:t>1</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发生工程质量或安全生产事故的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《关于做好房屋建筑和市政基础设施工程质量事故报告和调查处理工作的通知》（建质〔20</w:t>
            </w:r>
            <w:r>
              <w:rPr>
                <w:rFonts w:ascii="仿宋_GB2312" w:hAnsi="宋体" w:eastAsia="仿宋_GB2312" w:cs="宋体"/>
                <w:kern w:val="0"/>
                <w:sz w:val="24"/>
                <w:szCs w:val="24"/>
              </w:rPr>
              <w:t>10</w:t>
            </w:r>
            <w:r>
              <w:rPr>
                <w:rFonts w:hint="eastAsia" w:ascii="仿宋_GB2312" w:hAnsi="宋体" w:eastAsia="仿宋_GB2312" w:cs="宋体"/>
                <w:kern w:val="0"/>
                <w:sz w:val="24"/>
                <w:szCs w:val="24"/>
              </w:rPr>
              <w:t>〕第111号）</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《关于做好房屋建筑和市政基础设施工程质量事故报告和调查处理工作的通知》（建质〔20</w:t>
            </w:r>
            <w:r>
              <w:rPr>
                <w:rFonts w:ascii="仿宋_GB2312" w:hAnsi="宋体" w:eastAsia="仿宋_GB2312" w:cs="宋体"/>
                <w:kern w:val="0"/>
                <w:sz w:val="24"/>
                <w:szCs w:val="24"/>
              </w:rPr>
              <w:t>10</w:t>
            </w:r>
            <w:r>
              <w:rPr>
                <w:rFonts w:hint="eastAsia" w:ascii="仿宋_GB2312" w:hAnsi="宋体" w:eastAsia="仿宋_GB2312" w:cs="宋体"/>
                <w:kern w:val="0"/>
                <w:sz w:val="24"/>
                <w:szCs w:val="24"/>
              </w:rPr>
              <w:t>〕第111号）</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发生一般质量安全事故的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0分/次</w:t>
            </w:r>
          </w:p>
        </w:tc>
      </w:tr>
      <w:tr>
        <w:tblPrEx>
          <w:tblCellMar>
            <w:top w:w="0" w:type="dxa"/>
            <w:left w:w="108" w:type="dxa"/>
            <w:bottom w:w="0" w:type="dxa"/>
            <w:right w:w="108" w:type="dxa"/>
          </w:tblCellMar>
        </w:tblPrEx>
        <w:trPr>
          <w:trHeight w:val="1019"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D2-4-12</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施工企业安全管理人员和特种作业人员不能满足企业自身安全生产条件的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《建筑施工企业安全生产许可证管理规定》（建设部令第128号）第</w:t>
            </w:r>
            <w:r>
              <w:rPr>
                <w:rFonts w:hint="eastAsia" w:ascii="仿宋_GB2312" w:hAnsi="宋体" w:eastAsia="仿宋_GB2312" w:cs="宋体"/>
                <w:kern w:val="0"/>
                <w:sz w:val="24"/>
                <w:szCs w:val="24"/>
              </w:rPr>
              <w:t>十五条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《建筑施工企业安全生产许可证管理规定》（建设部令第128号）第</w:t>
            </w:r>
            <w:r>
              <w:rPr>
                <w:rFonts w:hint="eastAsia" w:ascii="仿宋_GB2312" w:hAnsi="宋体" w:eastAsia="仿宋_GB2312" w:cs="宋体"/>
                <w:kern w:val="0"/>
                <w:sz w:val="24"/>
                <w:szCs w:val="24"/>
              </w:rPr>
              <w:t>十五条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0.5</w:t>
            </w:r>
            <w:r>
              <w:rPr>
                <w:rFonts w:hint="eastAsia" w:ascii="仿宋_GB2312" w:hAnsi="宋体" w:eastAsia="仿宋_GB2312" w:cs="宋体"/>
                <w:kern w:val="0"/>
                <w:sz w:val="24"/>
                <w:szCs w:val="24"/>
              </w:rPr>
              <w:t>分/人</w:t>
            </w:r>
          </w:p>
        </w:tc>
      </w:tr>
      <w:tr>
        <w:tblPrEx>
          <w:tblCellMar>
            <w:top w:w="0" w:type="dxa"/>
            <w:left w:w="108" w:type="dxa"/>
            <w:bottom w:w="0" w:type="dxa"/>
            <w:right w:w="108" w:type="dxa"/>
          </w:tblCellMar>
        </w:tblPrEx>
        <w:trPr>
          <w:trHeight w:val="63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D2-4-13</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施工企业安全生产许可证被暂扣的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《建筑施工企业安全生产许可证管理规定》（建设部令第128号）第</w:t>
            </w:r>
            <w:r>
              <w:rPr>
                <w:rFonts w:hint="eastAsia" w:ascii="仿宋_GB2312" w:hAnsi="宋体" w:eastAsia="仿宋_GB2312" w:cs="宋体"/>
                <w:kern w:val="0"/>
                <w:sz w:val="24"/>
                <w:szCs w:val="24"/>
              </w:rPr>
              <w:t>二十三条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《建筑施工企业安全生产许可证管理规定》（建设部令第128号）第</w:t>
            </w:r>
            <w:r>
              <w:rPr>
                <w:rFonts w:hint="eastAsia" w:ascii="仿宋_GB2312" w:hAnsi="宋体" w:eastAsia="仿宋_GB2312" w:cs="宋体"/>
                <w:kern w:val="0"/>
                <w:sz w:val="24"/>
                <w:szCs w:val="24"/>
              </w:rPr>
              <w:t>二十三条</w:t>
            </w:r>
          </w:p>
        </w:tc>
        <w:tc>
          <w:tcPr>
            <w:tcW w:w="1048"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-2分/次</w:t>
            </w:r>
          </w:p>
        </w:tc>
      </w:tr>
      <w:tr>
        <w:tblPrEx>
          <w:tblCellMar>
            <w:top w:w="0" w:type="dxa"/>
            <w:left w:w="108" w:type="dxa"/>
            <w:bottom w:w="0" w:type="dxa"/>
            <w:right w:w="108" w:type="dxa"/>
          </w:tblCellMar>
        </w:tblPrEx>
        <w:trPr>
          <w:trHeight w:val="63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spacing w:line="280" w:lineRule="exact"/>
              <w:jc w:val="left"/>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pPr>
          </w:p>
        </w:tc>
        <w:tc>
          <w:tcPr>
            <w:tcW w:w="1048"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-5分/次</w:t>
            </w:r>
          </w:p>
        </w:tc>
      </w:tr>
      <w:tr>
        <w:tblPrEx>
          <w:tblCellMar>
            <w:top w:w="0" w:type="dxa"/>
            <w:left w:w="108" w:type="dxa"/>
            <w:bottom w:w="0" w:type="dxa"/>
            <w:right w:w="108" w:type="dxa"/>
          </w:tblCellMar>
        </w:tblPrEx>
        <w:trPr>
          <w:trHeight w:val="106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D2-4-14</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企业隐瞒有关情况或者提供虚假材料申请安全生产许可证的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《建筑施工企业安全生产许可证管理规定》（建设部令第128号）第六条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《建筑施工企业安全生产许可证管理规定》（建设部令第128号）第二十七条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Times New Roman" w:hAnsi="Times New Roman" w:cs="Times New Roman"/>
                <w:b/>
                <w:bCs/>
                <w:kern w:val="0"/>
                <w:highlight w:val="red"/>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-3分/次</w:t>
            </w:r>
          </w:p>
        </w:tc>
      </w:tr>
      <w:tr>
        <w:tblPrEx>
          <w:tblCellMar>
            <w:top w:w="0" w:type="dxa"/>
            <w:left w:w="108" w:type="dxa"/>
            <w:bottom w:w="0" w:type="dxa"/>
            <w:right w:w="108" w:type="dxa"/>
          </w:tblCellMar>
        </w:tblPrEx>
        <w:trPr>
          <w:trHeight w:val="1104"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D2-4-15</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企业以欺骗、贿赂等不正当手段取得安全生产许可证的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《建筑施工企业安全生产许可证管理规定》（建设部令第128号）第六条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《建筑施工企业安全生产许可证管理规定》（建设部令第128号）第二十七条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Times New Roman" w:hAnsi="Times New Roman" w:cs="Times New Roman"/>
                <w:b/>
                <w:bCs/>
                <w:kern w:val="0"/>
                <w:highlight w:val="red"/>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-5分/次</w:t>
            </w:r>
          </w:p>
        </w:tc>
      </w:tr>
      <w:tr>
        <w:tblPrEx>
          <w:tblCellMar>
            <w:top w:w="0" w:type="dxa"/>
            <w:left w:w="108" w:type="dxa"/>
            <w:bottom w:w="0" w:type="dxa"/>
            <w:right w:w="108" w:type="dxa"/>
          </w:tblCellMar>
        </w:tblPrEx>
        <w:trPr>
          <w:trHeight w:val="2886"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D2-4-16</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建筑起重机械安装、拆卸前，安拆单位未通过《潍坊市建筑起重机械信息管理系统》上报相关资料，申请安拆，并持经建设、施工、监理等单位审核的相关书面材料到工程所在地建设行政主管部门办理安拆告知的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《建筑起重机械安全监督管理规定》(建设部令第166号)第十二条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《建筑起重机械安全监督管理规定》(建设部令第166号)第二十九条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宋体" w:hAnsi="宋体" w:cs="宋体"/>
                <w:b/>
                <w:bCs/>
                <w:kern w:val="0"/>
                <w:highlight w:val="red"/>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90"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安全</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生产</w:t>
            </w:r>
          </w:p>
          <w:p>
            <w:pPr>
              <w:widowControl/>
              <w:jc w:val="center"/>
              <w:rPr>
                <w:rFonts w:ascii="仿宋_GB2312" w:eastAsia="仿宋_GB2312" w:cs="宋体"/>
                <w:kern w:val="0"/>
                <w:sz w:val="24"/>
                <w:szCs w:val="24"/>
              </w:rPr>
            </w:pPr>
            <w:r>
              <w:rPr>
                <w:rFonts w:ascii="仿宋_GB2312" w:eastAsia="仿宋_GB2312" w:cs="宋体"/>
                <w:kern w:val="0"/>
                <w:sz w:val="24"/>
                <w:szCs w:val="24"/>
              </w:rPr>
              <w:t>D2-4</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D2-4-17</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安拆作业前安拆单位未按照有关规定并结合施工现场实际编制安装拆卸施工方案，或方案针对性、指导性不强，无应急救援预案，方案未经安拆单位技术负责人审批，未报建设、施工、监理、产权单位审查确认的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《建筑起重机械安全监督管理规定》(建设部令第166号)第十二条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《建筑起重机械安全监督管理规定》(建设部令第166号)第二十九条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宋体" w:hAnsi="宋体" w:cs="宋体"/>
                <w:b/>
                <w:bCs/>
                <w:kern w:val="0"/>
                <w:highlight w:val="red"/>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162"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D2-4-18</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未按照建筑起重机械安装、拆卸工程专项施工方案及安全操作规程组织安装、拆卸作业的（自由高度超高；拆卸时未降节先拆除附着的等）</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《建筑起重机械安全监督管理规定》(建设部令第166号)第二十九条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《建筑起重机械安全监督管理规定》(建设部令第166号)第二十九条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84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D2-4-19</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4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建筑起重机械安装、拆卸作业未配备下列人员的：</w:t>
            </w:r>
          </w:p>
          <w:p>
            <w:pPr>
              <w:widowControl/>
              <w:spacing w:line="34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w:t>
            </w:r>
            <w:r>
              <w:rPr>
                <w:rFonts w:hint="eastAsia" w:ascii="仿宋_GB2312" w:hAnsi="宋体" w:eastAsia="仿宋_GB2312" w:cs="宋体"/>
                <w:kern w:val="0"/>
                <w:sz w:val="24"/>
                <w:szCs w:val="24"/>
              </w:rPr>
              <w:t>持有安全生产考核合格证书的项目负责人和安全负责人、机械管理人员；</w:t>
            </w:r>
          </w:p>
          <w:p>
            <w:pPr>
              <w:widowControl/>
              <w:spacing w:line="3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w:t>
            </w:r>
            <w:r>
              <w:rPr>
                <w:rFonts w:hint="eastAsia" w:ascii="仿宋_GB2312" w:hAnsi="宋体" w:eastAsia="仿宋_GB2312" w:cs="宋体"/>
                <w:kern w:val="0"/>
                <w:sz w:val="24"/>
                <w:szCs w:val="24"/>
              </w:rPr>
              <w:t>具有建筑施工特种作业操作资格证书的建筑起重机械安装拆卸工、司机、司索信号工等特种作业操作人员</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1.《建筑施工企业安全生产许可证管理规定》（建设部令第128号）第十五条</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2.《建设工程安全生产管理条例》（国务院令第393号）第六十一条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1.《建筑施工企业安全生产许可证管理规定》（建设部令第128号）第十五条</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2.《建设工程安全生产管理条例》（国务院令第393号）第六十一条</w:t>
            </w:r>
          </w:p>
        </w:tc>
        <w:tc>
          <w:tcPr>
            <w:tcW w:w="1048"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分</w:t>
            </w:r>
            <w:r>
              <w:rPr>
                <w:rFonts w:ascii="仿宋_GB2312" w:hAnsi="宋体" w:eastAsia="仿宋_GB2312" w:cs="宋体"/>
                <w:kern w:val="0"/>
                <w:sz w:val="24"/>
                <w:szCs w:val="24"/>
              </w:rPr>
              <w:t>/</w:t>
            </w:r>
            <w:r>
              <w:rPr>
                <w:rFonts w:hint="eastAsia" w:ascii="仿宋_GB2312" w:hAnsi="宋体" w:eastAsia="仿宋_GB2312" w:cs="宋体"/>
                <w:kern w:val="0"/>
                <w:sz w:val="24"/>
                <w:szCs w:val="24"/>
              </w:rPr>
              <w:t>人</w:t>
            </w:r>
          </w:p>
        </w:tc>
      </w:tr>
      <w:tr>
        <w:tblPrEx>
          <w:tblCellMar>
            <w:top w:w="0" w:type="dxa"/>
            <w:left w:w="108" w:type="dxa"/>
            <w:bottom w:w="0" w:type="dxa"/>
            <w:right w:w="108" w:type="dxa"/>
          </w:tblCellMar>
        </w:tblPrEx>
        <w:trPr>
          <w:trHeight w:val="2212"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p>
        </w:tc>
        <w:tc>
          <w:tcPr>
            <w:tcW w:w="1048"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分/人</w:t>
            </w:r>
          </w:p>
        </w:tc>
      </w:tr>
      <w:tr>
        <w:tblPrEx>
          <w:tblCellMar>
            <w:top w:w="0" w:type="dxa"/>
            <w:left w:w="108" w:type="dxa"/>
            <w:bottom w:w="0" w:type="dxa"/>
            <w:right w:w="108" w:type="dxa"/>
          </w:tblCellMar>
        </w:tblPrEx>
        <w:trPr>
          <w:trHeight w:val="3563"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安全</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生产</w:t>
            </w:r>
          </w:p>
          <w:p>
            <w:pPr>
              <w:widowControl/>
              <w:jc w:val="center"/>
              <w:rPr>
                <w:rFonts w:ascii="仿宋_GB2312" w:eastAsia="仿宋_GB2312" w:cs="宋体"/>
                <w:kern w:val="0"/>
                <w:sz w:val="24"/>
                <w:szCs w:val="24"/>
              </w:rPr>
            </w:pPr>
            <w:r>
              <w:rPr>
                <w:rFonts w:ascii="仿宋_GB2312" w:eastAsia="仿宋_GB2312" w:cs="宋体"/>
                <w:kern w:val="0"/>
                <w:sz w:val="24"/>
                <w:szCs w:val="24"/>
              </w:rPr>
              <w:t>D2-4</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D2-4-20</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建筑起重机械进入施工现场时，建设、施工、监理单位未对起重机械及其配件进行全面检查，核验其登记证书等档案资料，特别是起重机械预埋件、附墙装置的产品合格证、原始购货凭证、购货合同等原件，或</w:t>
            </w:r>
            <w:r>
              <w:rPr>
                <w:rFonts w:ascii="仿宋_GB2312" w:hAnsi="宋体" w:eastAsia="仿宋_GB2312" w:cs="宋体"/>
                <w:kern w:val="0"/>
                <w:sz w:val="24"/>
                <w:szCs w:val="24"/>
              </w:rPr>
              <w:t>未</w:t>
            </w:r>
            <w:r>
              <w:rPr>
                <w:rFonts w:hint="eastAsia" w:ascii="仿宋_GB2312" w:hAnsi="宋体" w:eastAsia="仿宋_GB2312" w:cs="宋体"/>
                <w:kern w:val="0"/>
                <w:sz w:val="24"/>
                <w:szCs w:val="24"/>
              </w:rPr>
              <w:t>将加盖产权单位公章的起重机械登记注册证书和使用说明书复印件留存现场。设备与资料不相符，不同厂家、不同型号、不同材质的塔机标准节在同一台起重机械上混用的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1.《建设工程安全生产管理条例》（国务院令第393号）第六十五条</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2.《建筑起重机械安全监督管理规定》(建设部令第166号)第三十条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1.《建设工程安全生产管理条例》（国务院令第393号）第六十五条</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2.《建筑起重机械安全监督管理规定》(建设部令第166号)第三十条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98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D2-4-21</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建筑起重机械安装、拆卸作业监理、使用单位未审核建筑起重机械安装单位资质证书、安全生产许可证的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《建设工程安全生产管理条例》（国务院令第393号）第六十五条</w:t>
            </w:r>
          </w:p>
          <w:p>
            <w:pPr>
              <w:rPr>
                <w:rFonts w:ascii="仿宋_GB2312" w:hAnsi="宋体" w:eastAsia="仿宋_GB2312" w:cs="宋体"/>
                <w:kern w:val="0"/>
                <w:sz w:val="24"/>
                <w:szCs w:val="24"/>
              </w:rPr>
            </w:pPr>
            <w:r>
              <w:rPr>
                <w:rFonts w:hint="eastAsia" w:ascii="仿宋_GB2312" w:hAnsi="宋体" w:eastAsia="仿宋_GB2312" w:cs="宋体"/>
                <w:kern w:val="0"/>
                <w:sz w:val="24"/>
                <w:szCs w:val="24"/>
              </w:rPr>
              <w:t>2.《建筑起重机械安全监督管理规定》(建设部令第166号)第三十一条、第三十二条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1.《建设工程安全生产管理条例》（国务院令第393号）第六十五条</w:t>
            </w:r>
          </w:p>
          <w:p>
            <w:pPr>
              <w:rPr>
                <w:rFonts w:ascii="仿宋_GB2312" w:hAnsi="宋体" w:eastAsia="仿宋_GB2312" w:cs="宋体"/>
                <w:kern w:val="0"/>
                <w:sz w:val="24"/>
                <w:szCs w:val="24"/>
              </w:rPr>
            </w:pPr>
            <w:r>
              <w:rPr>
                <w:rFonts w:hint="eastAsia" w:ascii="仿宋_GB2312" w:hAnsi="宋体" w:eastAsia="仿宋_GB2312" w:cs="宋体"/>
                <w:kern w:val="0"/>
                <w:sz w:val="24"/>
                <w:szCs w:val="24"/>
              </w:rPr>
              <w:t>2.《建筑起重机械安全监督管理规定》(建设部令第166号)第三十一条、第三十二条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超资质施工的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71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D2-4-22</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spacing w:line="28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建筑起重机械在安装前和使用过程中，发现有下列情况之一的，安装和使用的：</w:t>
            </w:r>
          </w:p>
          <w:p>
            <w:pPr>
              <w:spacing w:line="28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w:t>
            </w:r>
            <w:r>
              <w:rPr>
                <w:rFonts w:hint="eastAsia" w:ascii="仿宋_GB2312" w:hAnsi="宋体" w:eastAsia="仿宋_GB2312" w:cs="宋体"/>
                <w:kern w:val="0"/>
                <w:sz w:val="24"/>
                <w:szCs w:val="24"/>
              </w:rPr>
              <w:t>结构件上有可见裂纹和严重锈蚀的；</w:t>
            </w:r>
          </w:p>
          <w:p>
            <w:pPr>
              <w:spacing w:line="28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w:t>
            </w:r>
            <w:r>
              <w:rPr>
                <w:rFonts w:hint="eastAsia" w:ascii="仿宋_GB2312" w:hAnsi="宋体" w:eastAsia="仿宋_GB2312" w:cs="宋体"/>
                <w:kern w:val="0"/>
                <w:sz w:val="24"/>
                <w:szCs w:val="24"/>
              </w:rPr>
              <w:t>主要受力构件存在塑性变形的；</w:t>
            </w:r>
          </w:p>
          <w:p>
            <w:pPr>
              <w:spacing w:line="28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3.连接件存在严重磨损和塑性变形的；</w:t>
            </w:r>
          </w:p>
          <w:p>
            <w:pPr>
              <w:spacing w:line="28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4</w:t>
            </w:r>
            <w:r>
              <w:rPr>
                <w:rFonts w:ascii="仿宋_GB2312" w:hAnsi="宋体" w:eastAsia="仿宋_GB2312" w:cs="宋体"/>
                <w:kern w:val="0"/>
                <w:sz w:val="24"/>
                <w:szCs w:val="24"/>
              </w:rPr>
              <w:t>.</w:t>
            </w:r>
            <w:r>
              <w:rPr>
                <w:rFonts w:hint="eastAsia" w:ascii="仿宋_GB2312" w:hAnsi="宋体" w:eastAsia="仿宋_GB2312" w:cs="宋体"/>
                <w:kern w:val="0"/>
                <w:sz w:val="24"/>
                <w:szCs w:val="24"/>
              </w:rPr>
              <w:t>钢丝绳达到报废标准的；</w:t>
            </w:r>
          </w:p>
          <w:p>
            <w:pPr>
              <w:spacing w:line="28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5</w:t>
            </w:r>
            <w:r>
              <w:rPr>
                <w:rFonts w:ascii="仿宋_GB2312" w:hAnsi="宋体" w:eastAsia="仿宋_GB2312" w:cs="宋体"/>
                <w:kern w:val="0"/>
                <w:sz w:val="24"/>
                <w:szCs w:val="24"/>
              </w:rPr>
              <w:t>.</w:t>
            </w:r>
            <w:r>
              <w:rPr>
                <w:rFonts w:hint="eastAsia" w:ascii="仿宋_GB2312" w:hAnsi="宋体" w:eastAsia="仿宋_GB2312" w:cs="宋体"/>
                <w:kern w:val="0"/>
                <w:sz w:val="24"/>
                <w:szCs w:val="24"/>
              </w:rPr>
              <w:t>安全装置不齐全或失效的。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《建筑起重机械安全监督管理规定》(建设部令第166号)第十八条、第三十条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《建筑起重机械安全监督管理规定》(建设部令第166号)第十八条、第三十条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535"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9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035"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安全</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生产</w:t>
            </w:r>
          </w:p>
          <w:p>
            <w:pPr>
              <w:widowControl/>
              <w:jc w:val="center"/>
              <w:rPr>
                <w:rFonts w:ascii="仿宋_GB2312" w:eastAsia="仿宋_GB2312" w:cs="宋体"/>
                <w:kern w:val="0"/>
                <w:sz w:val="24"/>
                <w:szCs w:val="24"/>
              </w:rPr>
            </w:pPr>
            <w:r>
              <w:rPr>
                <w:rFonts w:ascii="仿宋_GB2312" w:eastAsia="仿宋_GB2312" w:cs="宋体"/>
                <w:kern w:val="0"/>
                <w:sz w:val="24"/>
                <w:szCs w:val="24"/>
              </w:rPr>
              <w:t>D2-4</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D2-4-23</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施工起重机械安装、拆卸单位有下列行为的：1.未出具自检合格证明或者出具虚假证明的；2.未向施工单位进行安全使用说明，办理移交手续的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《建设工程安全生产管理条例》（国务院令第393号）第六十一条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《建设工程安全生产管理条例》（国务院令第393号）第六十一条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1636"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D2-4-24</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使用单位未指定专职设备管理人员进行每月现场监督检查的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《建筑起重机械安全监督管理规定》(建设部令第166号)第十八条、第三十条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《建筑起重机械安全监督管理规定》(建设部令第166号)第十八条、第三十条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582"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工资</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管理</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D2-5</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D2-5-01</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恶意拖欠或克扣民工工资的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1.《中华人民共和国劳动法》（中华人民共和国主席令28号）第五十条</w:t>
            </w:r>
          </w:p>
          <w:p>
            <w:pPr>
              <w:widowControl/>
              <w:spacing w:line="280" w:lineRule="exact"/>
              <w:jc w:val="left"/>
              <w:rPr>
                <w:rFonts w:ascii="仿宋_GB2312" w:hAnsi="宋体" w:eastAsia="仿宋_GB2312" w:cs="宋体"/>
                <w:kern w:val="0"/>
                <w:sz w:val="24"/>
                <w:szCs w:val="24"/>
              </w:rPr>
            </w:pPr>
            <w:r>
              <w:rPr>
                <w:rFonts w:ascii="仿宋_GB2312" w:eastAsia="仿宋_GB2312" w:cs="宋体"/>
                <w:kern w:val="0"/>
                <w:sz w:val="24"/>
                <w:szCs w:val="24"/>
              </w:rPr>
              <w:t>2.</w:t>
            </w:r>
            <w:r>
              <w:rPr>
                <w:rFonts w:hint="eastAsia" w:ascii="仿宋_GB2312" w:hAnsi="宋体" w:eastAsia="仿宋_GB2312" w:cs="宋体"/>
                <w:kern w:val="0"/>
                <w:sz w:val="24"/>
                <w:szCs w:val="24"/>
              </w:rPr>
              <w:t>《建设领域农民工工资支付管理暂行办法》（劳社部发〔20</w:t>
            </w:r>
            <w:r>
              <w:rPr>
                <w:rFonts w:ascii="仿宋_GB2312" w:hAnsi="宋体" w:eastAsia="仿宋_GB2312" w:cs="宋体"/>
                <w:kern w:val="0"/>
                <w:sz w:val="24"/>
                <w:szCs w:val="24"/>
              </w:rPr>
              <w:t>04</w:t>
            </w:r>
            <w:r>
              <w:rPr>
                <w:rFonts w:hint="eastAsia" w:ascii="仿宋_GB2312" w:hAnsi="宋体" w:eastAsia="仿宋_GB2312" w:cs="宋体"/>
                <w:kern w:val="0"/>
                <w:sz w:val="24"/>
                <w:szCs w:val="24"/>
              </w:rPr>
              <w:t>〕22号）第三条</w:t>
            </w:r>
          </w:p>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3.《劳动保障监察条例》（国务院令第423号）</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1.《中华人民共和国劳动法》（中华人民共和国主席令28号）第九十一条</w:t>
            </w:r>
          </w:p>
          <w:p>
            <w:pPr>
              <w:widowControl/>
              <w:spacing w:line="280" w:lineRule="exact"/>
              <w:jc w:val="left"/>
              <w:rPr>
                <w:rFonts w:ascii="仿宋_GB2312" w:eastAsia="仿宋_GB2312" w:cs="宋体"/>
                <w:kern w:val="0"/>
                <w:sz w:val="24"/>
                <w:szCs w:val="24"/>
              </w:rPr>
            </w:pPr>
            <w:r>
              <w:rPr>
                <w:rFonts w:ascii="仿宋_GB2312" w:eastAsia="仿宋_GB2312" w:cs="宋体"/>
                <w:kern w:val="0"/>
                <w:sz w:val="24"/>
                <w:szCs w:val="24"/>
              </w:rPr>
              <w:t>2.</w:t>
            </w:r>
            <w:r>
              <w:rPr>
                <w:rFonts w:hint="eastAsia" w:ascii="仿宋_GB2312" w:hAnsi="宋体" w:eastAsia="仿宋_GB2312" w:cs="宋体"/>
                <w:kern w:val="0"/>
                <w:sz w:val="24"/>
                <w:szCs w:val="24"/>
              </w:rPr>
              <w:t>《劳动保障监察条例》（中华人民共和国国务院令第423号）第二十六条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center"/>
              <w:rPr>
                <w:rFonts w:ascii="仿宋_GB2312" w:eastAsia="仿宋_GB2312" w:cs="宋体"/>
                <w:kern w:val="0"/>
                <w:sz w:val="24"/>
                <w:szCs w:val="24"/>
              </w:rPr>
            </w:pPr>
            <w:r>
              <w:rPr>
                <w:rFonts w:hint="eastAsia" w:ascii="仿宋_GB2312" w:hAnsi="宋体" w:eastAsia="仿宋_GB2312" w:cs="宋体"/>
                <w:kern w:val="0"/>
                <w:sz w:val="24"/>
                <w:szCs w:val="24"/>
              </w:rPr>
              <w:t>　</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-5分/次</w:t>
            </w:r>
          </w:p>
        </w:tc>
      </w:tr>
      <w:tr>
        <w:tblPrEx>
          <w:tblCellMar>
            <w:top w:w="0" w:type="dxa"/>
            <w:left w:w="108" w:type="dxa"/>
            <w:bottom w:w="0" w:type="dxa"/>
            <w:right w:w="108" w:type="dxa"/>
          </w:tblCellMar>
        </w:tblPrEx>
        <w:trPr>
          <w:trHeight w:val="2447"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jc w:val="center"/>
              <w:rPr>
                <w:rFonts w:ascii="仿宋_GB2312" w:hAnsi="宋体"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D2-5-02</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未按规定存储工资保证金或者未提供金融机构保函的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1.《保障农民工工资支付条例》(中华人民共和国国务院令第724号)</w:t>
            </w:r>
          </w:p>
          <w:p>
            <w:pPr>
              <w:widowControl/>
              <w:spacing w:line="33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2.《工程建设领域农民工工资保证金规定》人社部发〔2021〕65号</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1.《保障农民工工资支付条例》(中华人民共和国国务院令第724号)第五十五条</w:t>
            </w:r>
          </w:p>
          <w:p>
            <w:pPr>
              <w:widowControl/>
              <w:spacing w:line="33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2.《工程建设领域农民工工资保证金规定》第二十六条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-0.5分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1628"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工资</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管理</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D2-5</w:t>
            </w:r>
          </w:p>
          <w:p>
            <w:pPr>
              <w:widowControl/>
              <w:jc w:val="center"/>
              <w:rPr>
                <w:rFonts w:ascii="仿宋_GB2312" w:hAnsi="宋体" w:eastAsia="仿宋_GB2312" w:cs="宋体"/>
                <w:kern w:val="0"/>
                <w:sz w:val="24"/>
                <w:szCs w:val="24"/>
              </w:rPr>
            </w:pPr>
          </w:p>
        </w:tc>
        <w:tc>
          <w:tcPr>
            <w:tcW w:w="1002" w:type="dxa"/>
            <w:vMerge w:val="restart"/>
            <w:tcBorders>
              <w:top w:val="single" w:color="auto" w:sz="4" w:space="0"/>
              <w:left w:val="nil"/>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D2-5-03</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3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施工现场未按要求签订劳务用工合同的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1.《中华人民共和国劳动法》（中华人民共和国主席令第二十八号）第十六条</w:t>
            </w:r>
          </w:p>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2.《中华人民共和国劳动法》（中华人民共和国主席令第二十八号）第十六条</w:t>
            </w:r>
          </w:p>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《保障农民工工资支付条例》(中华人民共和国国务院令第724号) 第二十八条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3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《中华人民共和国劳动法》</w:t>
            </w:r>
            <w:r>
              <w:rPr>
                <w:rFonts w:hint="eastAsia" w:ascii="仿宋_GB2312" w:hAnsi="宋体" w:eastAsia="仿宋_GB2312" w:cs="宋体"/>
                <w:kern w:val="0"/>
                <w:sz w:val="24"/>
                <w:szCs w:val="24"/>
              </w:rPr>
              <w:t>（中华人民共和国主席令第二十八号）第九十八条</w:t>
            </w:r>
          </w:p>
          <w:p>
            <w:pPr>
              <w:widowControl/>
              <w:spacing w:line="33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2.《中华人民共和国劳动合同法》第八十二条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1574"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continue"/>
            <w:tcBorders>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Times New Roman" w:hAnsi="Times New Roman" w:cs="Times New Roman"/>
                <w:b/>
                <w:kern w:val="0"/>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Times New Roman" w:hAnsi="Times New Roman" w:cs="Times New Roman"/>
                <w:b/>
                <w:kern w:val="0"/>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Times New Roman" w:hAnsi="Times New Roman" w:cs="Times New Roman"/>
                <w:b/>
                <w:kern w:val="0"/>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责令改正且逾期未改的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3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-2分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775"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restart"/>
            <w:tcBorders>
              <w:top w:val="single" w:color="auto" w:sz="4" w:space="0"/>
              <w:left w:val="nil"/>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D2-5-04</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施工现场未有专人负责劳务管理工作的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《保障农民工工资支付条例》(中华人民共和国国务院令第724号) 第二十八条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《住房城乡建设部关于进一步加强和完善建筑劳务管理工作的指导意见》</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-0.5分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73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continue"/>
            <w:tcBorders>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责令改正且逾期未改的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1023"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restart"/>
            <w:tcBorders>
              <w:top w:val="single" w:color="auto" w:sz="4" w:space="0"/>
              <w:left w:val="nil"/>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D2-5-05</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施工现场劳务用工未实行实名制管理的，未记录施工现场的民工姓名、身份证号、工资以及进场、离场时间等信息的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《保障农民工工资支付条例》(中华人民共和国国务院令第724号) 第二十八条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1.《保障农民工工资支付条例》(中华人民共和国国务院令第724号)第五十五条</w:t>
            </w:r>
          </w:p>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2.《住房城乡建设部关于进一步加强和完善建筑劳务管理工作的指导意见》</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-0.5分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111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continue"/>
            <w:tcBorders>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责令改正且逾期未改的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-1分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72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restart"/>
            <w:tcBorders>
              <w:top w:val="single" w:color="auto" w:sz="4" w:space="0"/>
              <w:left w:val="nil"/>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D2-5-06</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不按照规定使用民工工资支付监管平台的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《山东省农民工工资支付监管平台管理办法》第十九条</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《山东省农民工工资支付监管平台管理办法》第十九条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-0.5分/次</w:t>
            </w:r>
          </w:p>
        </w:tc>
      </w:tr>
      <w:tr>
        <w:tblPrEx>
          <w:tblCellMar>
            <w:top w:w="0" w:type="dxa"/>
            <w:left w:w="108" w:type="dxa"/>
            <w:bottom w:w="0" w:type="dxa"/>
            <w:right w:w="108" w:type="dxa"/>
          </w:tblCellMar>
        </w:tblPrEx>
        <w:trPr>
          <w:trHeight w:val="73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spacing w:line="320" w:lineRule="exact"/>
              <w:jc w:val="center"/>
            </w:pPr>
          </w:p>
        </w:tc>
        <w:tc>
          <w:tcPr>
            <w:tcW w:w="1002" w:type="dxa"/>
            <w:vMerge w:val="continue"/>
            <w:tcBorders>
              <w:left w:val="nil"/>
              <w:right w:val="single" w:color="auto" w:sz="4" w:space="0"/>
            </w:tcBorders>
            <w:tcMar>
              <w:left w:w="57" w:type="dxa"/>
              <w:right w:w="57" w:type="dxa"/>
            </w:tcMar>
            <w:vAlign w:val="center"/>
          </w:tcPr>
          <w:p>
            <w:pPr>
              <w:widowControl/>
              <w:spacing w:line="320" w:lineRule="exact"/>
              <w:jc w:val="center"/>
            </w:pPr>
          </w:p>
        </w:tc>
        <w:tc>
          <w:tcPr>
            <w:tcW w:w="3242" w:type="dxa"/>
            <w:vMerge w:val="continue"/>
            <w:tcBorders>
              <w:left w:val="single" w:color="auto" w:sz="4" w:space="0"/>
              <w:right w:val="single" w:color="auto" w:sz="4" w:space="0"/>
            </w:tcBorders>
            <w:tcMar>
              <w:left w:w="57" w:type="dxa"/>
              <w:right w:w="57" w:type="dxa"/>
            </w:tcMar>
            <w:vAlign w:val="center"/>
          </w:tcPr>
          <w:p>
            <w:pPr>
              <w:widowControl/>
              <w:spacing w:line="320" w:lineRule="exact"/>
              <w:jc w:val="center"/>
            </w:pPr>
          </w:p>
        </w:tc>
        <w:tc>
          <w:tcPr>
            <w:tcW w:w="3354" w:type="dxa"/>
            <w:vMerge w:val="continue"/>
            <w:tcBorders>
              <w:left w:val="single" w:color="auto" w:sz="4" w:space="0"/>
              <w:right w:val="single" w:color="auto" w:sz="4" w:space="0"/>
            </w:tcBorders>
            <w:tcMar>
              <w:left w:w="57" w:type="dxa"/>
              <w:right w:w="57" w:type="dxa"/>
            </w:tcMar>
            <w:vAlign w:val="center"/>
          </w:tcPr>
          <w:p>
            <w:pPr>
              <w:widowControl/>
              <w:spacing w:line="320" w:lineRule="exact"/>
              <w:jc w:val="center"/>
            </w:pPr>
          </w:p>
        </w:tc>
        <w:tc>
          <w:tcPr>
            <w:tcW w:w="3050" w:type="dxa"/>
            <w:vMerge w:val="continue"/>
            <w:tcBorders>
              <w:left w:val="single" w:color="auto" w:sz="4" w:space="0"/>
              <w:right w:val="single" w:color="auto" w:sz="4" w:space="0"/>
            </w:tcBorders>
            <w:tcMar>
              <w:left w:w="57" w:type="dxa"/>
              <w:right w:w="57" w:type="dxa"/>
            </w:tcMar>
            <w:vAlign w:val="center"/>
          </w:tcPr>
          <w:p>
            <w:pPr>
              <w:widowControl/>
              <w:spacing w:line="320" w:lineRule="exact"/>
              <w:jc w:val="cente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较重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责令改正且逾期未改的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612" w:hRule="atLeast"/>
          <w:jc w:val="center"/>
        </w:trPr>
        <w:tc>
          <w:tcPr>
            <w:tcW w:w="1069"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p>
        </w:tc>
        <w:tc>
          <w:tcPr>
            <w:tcW w:w="1002" w:type="dxa"/>
            <w:vMerge w:val="continue"/>
            <w:tcBorders>
              <w:left w:val="nil"/>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严重</w:t>
            </w: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情节严重</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-5分/次</w:t>
            </w:r>
          </w:p>
        </w:tc>
      </w:tr>
      <w:tr>
        <w:tblPrEx>
          <w:tblCellMar>
            <w:top w:w="0" w:type="dxa"/>
            <w:left w:w="108" w:type="dxa"/>
            <w:bottom w:w="0" w:type="dxa"/>
            <w:right w:w="108" w:type="dxa"/>
          </w:tblCellMar>
        </w:tblPrEx>
        <w:trPr>
          <w:trHeight w:val="1208"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工资</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管理</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D2-5</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kern w:val="0"/>
                <w:sz w:val="24"/>
                <w:szCs w:val="24"/>
              </w:rPr>
              <w:t>D2-5-07</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施工总承包企业未按规定通过银行代发民工工资的、分包单位</w:t>
            </w:r>
            <w:r>
              <w:rPr>
                <w:rFonts w:ascii="仿宋_GB2312" w:hAnsi="宋体" w:eastAsia="仿宋_GB2312" w:cs="宋体"/>
                <w:kern w:val="0"/>
                <w:sz w:val="24"/>
                <w:szCs w:val="24"/>
              </w:rPr>
              <w:t>未按</w:t>
            </w:r>
            <w:r>
              <w:rPr>
                <w:rFonts w:hint="eastAsia" w:ascii="仿宋_GB2312" w:hAnsi="宋体" w:eastAsia="仿宋_GB2312" w:cs="宋体"/>
                <w:kern w:val="0"/>
                <w:sz w:val="24"/>
                <w:szCs w:val="24"/>
              </w:rPr>
              <w:t>规定</w:t>
            </w:r>
            <w:r>
              <w:rPr>
                <w:rFonts w:ascii="仿宋_GB2312" w:hAnsi="宋体" w:eastAsia="仿宋_GB2312" w:cs="宋体"/>
                <w:kern w:val="0"/>
                <w:sz w:val="24"/>
                <w:szCs w:val="24"/>
              </w:rPr>
              <w:t>编制民工工资支付清单的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《保障农民工工资支付条例》(中华人民共和国国务院令第724号) 第二十八条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保障农民工工资支付条例》(中华人民共和国国务院令第724号)第五十六条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2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-0.5分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835"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D2-5-</w:t>
            </w:r>
            <w:r>
              <w:rPr>
                <w:rFonts w:ascii="仿宋_GB2312" w:hAnsi="宋体" w:eastAsia="仿宋_GB2312" w:cs="宋体"/>
                <w:kern w:val="0"/>
                <w:sz w:val="24"/>
                <w:szCs w:val="24"/>
              </w:rPr>
              <w:t>08</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施工</w:t>
            </w:r>
            <w:r>
              <w:rPr>
                <w:rFonts w:ascii="仿宋_GB2312" w:hAnsi="宋体" w:eastAsia="仿宋_GB2312" w:cs="宋体"/>
                <w:kern w:val="0"/>
                <w:sz w:val="24"/>
                <w:szCs w:val="24"/>
              </w:rPr>
              <w:t>单位未在施工现场设立“民工维权告知牌”的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《保障农民工工资支付条例》(中华人民共和国国务院令第724号) 第三十四条</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《保障农民工工资支付条例》(中华人民共和国国务院令第724号)第五十六条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 xml:space="preserve"> -0.5分</w:t>
            </w:r>
            <w:r>
              <w:rPr>
                <w:rFonts w:hint="eastAsia" w:ascii="仿宋_GB2312" w:hAnsi="宋体" w:eastAsia="仿宋_GB2312" w:cs="宋体"/>
                <w:kern w:val="0"/>
                <w:sz w:val="24"/>
                <w:szCs w:val="24"/>
              </w:rPr>
              <w:t>/次</w:t>
            </w:r>
          </w:p>
        </w:tc>
      </w:tr>
      <w:tr>
        <w:tblPrEx>
          <w:tblCellMar>
            <w:top w:w="0" w:type="dxa"/>
            <w:left w:w="108" w:type="dxa"/>
            <w:bottom w:w="0" w:type="dxa"/>
            <w:right w:w="108" w:type="dxa"/>
          </w:tblCellMar>
        </w:tblPrEx>
        <w:trPr>
          <w:trHeight w:val="2046"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D2-5-09</w:t>
            </w:r>
          </w:p>
        </w:tc>
        <w:tc>
          <w:tcPr>
            <w:tcW w:w="324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未按规定开设或者使用民工工资专用账户的</w:t>
            </w:r>
          </w:p>
        </w:tc>
        <w:tc>
          <w:tcPr>
            <w:tcW w:w="33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8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《保障农民工工资支付条例》(国务院令第724号)</w:t>
            </w:r>
          </w:p>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《山东省人力资源和社会保障厅等部门贯彻落实&lt;保障农民工资支付条例&gt;有关事项的通知》(鲁人社字〔2020〕88号)</w:t>
            </w:r>
          </w:p>
        </w:tc>
        <w:tc>
          <w:tcPr>
            <w:tcW w:w="30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numPr>
                <w:ilvl w:val="0"/>
                <w:numId w:val="0"/>
              </w:numPr>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《保障农民工工资支付条例》(国务院令第724号)第五十五条</w:t>
            </w:r>
          </w:p>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2.《山东省人力资源和社会保障厅等部门贯彻落实&lt;保障农民工资支付条例&gt;有关事项的通知》(鲁人社字〔2020〕88号)</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14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584"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002" w:type="dxa"/>
            <w:vMerge w:val="restart"/>
            <w:tcBorders>
              <w:top w:val="single" w:color="auto" w:sz="4" w:space="0"/>
              <w:left w:val="nil"/>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D2-5-10</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发生拖欠民工工资案件的；不按主管部门要求及时到场处理的；不按主管部门要求及时解决的</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1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1.《中华人民共和国劳动法》（主席令28号）第五十条</w:t>
            </w:r>
          </w:p>
          <w:p>
            <w:pPr>
              <w:widowControl/>
              <w:spacing w:line="31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2.《建设领域农民工工资支付管理暂行办法》（劳社部发〔2004〕22号）第三条</w:t>
            </w:r>
          </w:p>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3.《山东省人民政府办公厅关于贯彻国办发〔2016〕1号文件全面治理拖欠农民工工资问题的实施意见》（鲁政办发〔2016〕41号）</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1.《中华人民共和国劳动法》（主席令28号）第九十一条</w:t>
            </w:r>
          </w:p>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2.《劳动保障监察条例》（国务院令第423号）第二十六条</w:t>
            </w: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拖欠民工工资属实的</w:t>
            </w:r>
          </w:p>
        </w:tc>
        <w:tc>
          <w:tcPr>
            <w:tcW w:w="1191" w:type="dxa"/>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-0.2分/次</w:t>
            </w:r>
          </w:p>
        </w:tc>
      </w:tr>
      <w:tr>
        <w:tblPrEx>
          <w:tblCellMar>
            <w:top w:w="0" w:type="dxa"/>
            <w:left w:w="108" w:type="dxa"/>
            <w:bottom w:w="0" w:type="dxa"/>
            <w:right w:w="108" w:type="dxa"/>
          </w:tblCellMar>
        </w:tblPrEx>
        <w:trPr>
          <w:trHeight w:val="632"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pPr>
          </w:p>
        </w:tc>
        <w:tc>
          <w:tcPr>
            <w:tcW w:w="1002" w:type="dxa"/>
            <w:vMerge w:val="continue"/>
            <w:tcBorders>
              <w:left w:val="nil"/>
              <w:right w:val="single" w:color="auto" w:sz="4" w:space="0"/>
            </w:tcBorders>
            <w:tcMar>
              <w:left w:w="57" w:type="dxa"/>
              <w:right w:w="57" w:type="dxa"/>
            </w:tcMar>
            <w:vAlign w:val="center"/>
          </w:tcPr>
          <w:p>
            <w:pPr>
              <w:widowControl/>
              <w:spacing w:line="310" w:lineRule="exact"/>
              <w:jc w:val="center"/>
            </w:pPr>
          </w:p>
        </w:tc>
        <w:tc>
          <w:tcPr>
            <w:tcW w:w="3242"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pPr>
          </w:p>
        </w:tc>
        <w:tc>
          <w:tcPr>
            <w:tcW w:w="3354"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pPr>
          </w:p>
        </w:tc>
        <w:tc>
          <w:tcPr>
            <w:tcW w:w="3050"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较重</w:t>
            </w:r>
          </w:p>
        </w:tc>
        <w:tc>
          <w:tcPr>
            <w:tcW w:w="1402" w:type="dxa"/>
            <w:tcBorders>
              <w:top w:val="single" w:color="000000" w:sz="4" w:space="0"/>
              <w:left w:val="single" w:color="auto" w:sz="4" w:space="0"/>
              <w:bottom w:val="single" w:color="000000"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不及时到场处理的</w:t>
            </w:r>
          </w:p>
        </w:tc>
        <w:tc>
          <w:tcPr>
            <w:tcW w:w="1191" w:type="dxa"/>
            <w:tcBorders>
              <w:top w:val="single" w:color="000000" w:sz="4" w:space="0"/>
              <w:left w:val="single" w:color="auto" w:sz="4" w:space="0"/>
              <w:bottom w:val="single" w:color="000000"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-0.5分/次</w:t>
            </w:r>
          </w:p>
        </w:tc>
      </w:tr>
      <w:tr>
        <w:tblPrEx>
          <w:tblCellMar>
            <w:top w:w="0" w:type="dxa"/>
            <w:left w:w="108" w:type="dxa"/>
            <w:bottom w:w="0" w:type="dxa"/>
            <w:right w:w="108" w:type="dxa"/>
          </w:tblCellMar>
        </w:tblPrEx>
        <w:trPr>
          <w:trHeight w:val="67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1002" w:type="dxa"/>
            <w:vMerge w:val="continue"/>
            <w:tcBorders>
              <w:left w:val="nil"/>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3354"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3050" w:type="dxa"/>
            <w:vMerge w:val="continue"/>
            <w:tcBorders>
              <w:left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p>
        </w:tc>
        <w:tc>
          <w:tcPr>
            <w:tcW w:w="10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single" w:color="000000"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不及时解决的</w:t>
            </w:r>
          </w:p>
        </w:tc>
        <w:tc>
          <w:tcPr>
            <w:tcW w:w="1191" w:type="dxa"/>
            <w:tcBorders>
              <w:top w:val="single" w:color="000000" w:sz="4" w:space="0"/>
              <w:left w:val="single" w:color="auto" w:sz="4" w:space="0"/>
              <w:bottom w:val="single" w:color="auto" w:sz="4" w:space="0"/>
              <w:right w:val="single" w:color="auto" w:sz="4" w:space="0"/>
            </w:tcBorders>
            <w:tcMar>
              <w:left w:w="57" w:type="dxa"/>
              <w:right w:w="57" w:type="dxa"/>
            </w:tcMar>
            <w:vAlign w:val="center"/>
          </w:tcPr>
          <w:p>
            <w:pPr>
              <w:widowControl/>
              <w:spacing w:line="31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-1分/次</w:t>
            </w:r>
          </w:p>
        </w:tc>
      </w:tr>
      <w:tr>
        <w:tblPrEx>
          <w:tblCellMar>
            <w:top w:w="0" w:type="dxa"/>
            <w:left w:w="108" w:type="dxa"/>
            <w:bottom w:w="0" w:type="dxa"/>
            <w:right w:w="108" w:type="dxa"/>
          </w:tblCellMar>
        </w:tblPrEx>
        <w:trPr>
          <w:trHeight w:val="646"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D2-5-</w:t>
            </w:r>
            <w:r>
              <w:rPr>
                <w:rFonts w:ascii="仿宋_GB2312" w:hAnsi="宋体" w:eastAsia="仿宋_GB2312" w:cs="宋体"/>
                <w:kern w:val="0"/>
                <w:sz w:val="24"/>
                <w:szCs w:val="24"/>
              </w:rPr>
              <w:t>11</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因拖欠民工工资引发到县市区人民政府、开发区管委会或</w:t>
            </w:r>
            <w:r>
              <w:rPr>
                <w:rFonts w:ascii="仿宋_GB2312" w:hAnsi="宋体" w:eastAsia="仿宋_GB2312" w:cs="宋体"/>
                <w:kern w:val="0"/>
                <w:sz w:val="24"/>
                <w:szCs w:val="24"/>
              </w:rPr>
              <w:t>市人民政府</w:t>
            </w:r>
            <w:r>
              <w:rPr>
                <w:rFonts w:hint="eastAsia" w:ascii="仿宋_GB2312" w:hAnsi="宋体" w:eastAsia="仿宋_GB2312" w:cs="宋体"/>
                <w:kern w:val="0"/>
                <w:sz w:val="24"/>
                <w:szCs w:val="24"/>
              </w:rPr>
              <w:t>集体上访的</w:t>
            </w:r>
          </w:p>
        </w:tc>
        <w:tc>
          <w:tcPr>
            <w:tcW w:w="3354" w:type="dxa"/>
            <w:vMerge w:val="continue"/>
            <w:tcBorders>
              <w:left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kern w:val="0"/>
                <w:sz w:val="24"/>
                <w:szCs w:val="24"/>
              </w:rPr>
            </w:pPr>
          </w:p>
        </w:tc>
        <w:tc>
          <w:tcPr>
            <w:tcW w:w="3050" w:type="dxa"/>
            <w:vMerge w:val="continue"/>
            <w:tcBorders>
              <w:left w:val="single" w:color="auto" w:sz="4" w:space="0"/>
              <w:right w:val="single" w:color="auto" w:sz="4" w:space="0"/>
            </w:tcBorders>
            <w:tcMar>
              <w:left w:w="57" w:type="dxa"/>
              <w:right w:w="57" w:type="dxa"/>
            </w:tcMar>
            <w:vAlign w:val="center"/>
          </w:tcPr>
          <w:p>
            <w:pPr>
              <w:widowControl/>
              <w:spacing w:line="310" w:lineRule="exact"/>
              <w:jc w:val="left"/>
              <w:rPr>
                <w:rFonts w:ascii="宋体" w:hAnsi="宋体"/>
                <w:bCs/>
                <w:kern w:val="0"/>
                <w:szCs w:val="21"/>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67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left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kern w:val="0"/>
                <w:sz w:val="24"/>
                <w:szCs w:val="24"/>
              </w:rPr>
            </w:pPr>
          </w:p>
        </w:tc>
        <w:tc>
          <w:tcPr>
            <w:tcW w:w="3050" w:type="dxa"/>
            <w:vMerge w:val="continue"/>
            <w:tcBorders>
              <w:left w:val="single" w:color="auto" w:sz="4" w:space="0"/>
              <w:right w:val="single" w:color="auto" w:sz="4" w:space="0"/>
            </w:tcBorders>
            <w:tcMar>
              <w:left w:w="57" w:type="dxa"/>
              <w:right w:w="57" w:type="dxa"/>
            </w:tcMar>
            <w:vAlign w:val="center"/>
          </w:tcPr>
          <w:p>
            <w:pPr>
              <w:widowControl/>
              <w:spacing w:line="280" w:lineRule="exact"/>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不及时解决的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718"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p>
        </w:tc>
        <w:tc>
          <w:tcPr>
            <w:tcW w:w="100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D2-5-</w:t>
            </w:r>
            <w:r>
              <w:rPr>
                <w:rFonts w:ascii="仿宋_GB2312" w:hAnsi="宋体" w:eastAsia="仿宋_GB2312" w:cs="宋体"/>
                <w:kern w:val="0"/>
                <w:sz w:val="24"/>
                <w:szCs w:val="24"/>
              </w:rPr>
              <w:t>1</w:t>
            </w:r>
            <w:r>
              <w:rPr>
                <w:rFonts w:hint="eastAsia" w:ascii="仿宋_GB2312" w:hAnsi="宋体" w:eastAsia="仿宋_GB2312" w:cs="宋体"/>
                <w:kern w:val="0"/>
                <w:sz w:val="24"/>
                <w:szCs w:val="24"/>
                <w:lang w:val="en-US" w:eastAsia="zh-CN"/>
              </w:rPr>
              <w:t>2</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因拖欠民工工资引发到省或进京集体上访的</w:t>
            </w:r>
          </w:p>
        </w:tc>
        <w:tc>
          <w:tcPr>
            <w:tcW w:w="3354" w:type="dxa"/>
            <w:vMerge w:val="continue"/>
            <w:tcBorders>
              <w:left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p>
        </w:tc>
        <w:tc>
          <w:tcPr>
            <w:tcW w:w="3050" w:type="dxa"/>
            <w:vMerge w:val="continue"/>
            <w:tcBorders>
              <w:left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10</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624"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p>
        </w:tc>
        <w:tc>
          <w:tcPr>
            <w:tcW w:w="3242" w:type="dxa"/>
            <w:vMerge w:val="continue"/>
            <w:tcBorders>
              <w:left w:val="single" w:color="auto" w:sz="4" w:space="0"/>
              <w:bottom w:val="single" w:color="000000"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不及时解决的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20</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816" w:hRule="atLeast"/>
          <w:jc w:val="center"/>
        </w:trPr>
        <w:tc>
          <w:tcPr>
            <w:tcW w:w="1069"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扬尘</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治理</w:t>
            </w:r>
          </w:p>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D2-6</w:t>
            </w: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D2-6-01</w:t>
            </w:r>
          </w:p>
        </w:tc>
        <w:tc>
          <w:tcPr>
            <w:tcW w:w="3242" w:type="dxa"/>
            <w:vMerge w:val="restart"/>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未建立扬尘污染防治责任制的；施工工地内裸露地面未铺设焦渣、细石或者其他功能相当的材料，或者未采取覆盖防尘布或者防尘网等措施的；管线和道路施工未对回填的沟槽采取洒水、覆盖等措施的；抛洒各类散装物料和垃圾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《山东省扬尘污染防治管理办法》（省政府令第248号）第二十一条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《山东省扬尘污染防治管理办法》（省政府令第248号）第二十一条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有以上行为之一的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848"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较重</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有两种及以上行为的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888"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4</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99"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D2-6-02</w:t>
            </w:r>
          </w:p>
        </w:tc>
        <w:tc>
          <w:tcPr>
            <w:tcW w:w="324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ascii="仿宋_GB2312" w:eastAsia="仿宋_GB2312" w:cs="宋体"/>
                <w:kern w:val="0"/>
                <w:sz w:val="24"/>
                <w:szCs w:val="24"/>
              </w:rPr>
              <w:t>施工时未采取遮盖、围挡、密闭、喷洒、冲洗、绿化等防尘措施的；运送砂石、渣土、垃圾等物料的车辆未采取蓬盖、密闭等有效防尘措施的；未对施工工地车行道路采取硬化等降尘措施的</w:t>
            </w:r>
          </w:p>
        </w:tc>
        <w:tc>
          <w:tcPr>
            <w:tcW w:w="33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《山东省扬尘污染防治管理办法》（省政府令第248号第二十二条</w:t>
            </w:r>
          </w:p>
        </w:tc>
        <w:tc>
          <w:tcPr>
            <w:tcW w:w="305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《山东省扬尘污染防治管理办法》（省政府令第248号第二十二条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一般</w:t>
            </w: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有以上行为之一的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-0.</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365"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较重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有两种及以上行为的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1</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397"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严重</w:t>
            </w: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逾期未改的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397"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D2-6-03</w:t>
            </w:r>
          </w:p>
        </w:tc>
        <w:tc>
          <w:tcPr>
            <w:tcW w:w="3242"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施工单位使用未喷码的非道路移动机械设备的</w:t>
            </w:r>
          </w:p>
        </w:tc>
        <w:tc>
          <w:tcPr>
            <w:tcW w:w="3354"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《山东省非道路移动机械排气污染防治规定》（省政府令第329号）第十条、第二十四条</w:t>
            </w:r>
          </w:p>
        </w:tc>
        <w:tc>
          <w:tcPr>
            <w:tcW w:w="3050"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《山东省非道路移动机械排气污染防治规定》（省政府令第329号）第十条、第二十四条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ascii="仿宋_GB2312"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-1</w:t>
            </w:r>
            <w:r>
              <w:rPr>
                <w:rFonts w:ascii="仿宋_GB2312" w:eastAsia="仿宋_GB2312" w:cs="宋体"/>
                <w:kern w:val="0"/>
                <w:sz w:val="24"/>
                <w:szCs w:val="24"/>
              </w:rPr>
              <w:t>分</w:t>
            </w:r>
            <w:r>
              <w:rPr>
                <w:rFonts w:hint="eastAsia" w:ascii="仿宋_GB2312" w:eastAsia="仿宋_GB2312" w:cs="宋体"/>
                <w:kern w:val="0"/>
                <w:sz w:val="24"/>
                <w:szCs w:val="24"/>
              </w:rPr>
              <w:t>/次</w:t>
            </w:r>
          </w:p>
        </w:tc>
      </w:tr>
      <w:tr>
        <w:tblPrEx>
          <w:tblCellMar>
            <w:top w:w="0" w:type="dxa"/>
            <w:left w:w="108" w:type="dxa"/>
            <w:bottom w:w="0" w:type="dxa"/>
            <w:right w:w="108" w:type="dxa"/>
          </w:tblCellMar>
        </w:tblPrEx>
        <w:trPr>
          <w:trHeight w:val="397" w:hRule="atLeast"/>
          <w:jc w:val="center"/>
        </w:trPr>
        <w:tc>
          <w:tcPr>
            <w:tcW w:w="1069"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D2-6-04</w:t>
            </w:r>
          </w:p>
        </w:tc>
        <w:tc>
          <w:tcPr>
            <w:tcW w:w="3242"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施工单位使用非道路移动机械设备喷码存在造假行为的</w:t>
            </w:r>
          </w:p>
        </w:tc>
        <w:tc>
          <w:tcPr>
            <w:tcW w:w="3354"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《山东省非道路移动机械排气污染防治规定》（省政府令第329号）第十一条、第二十四条</w:t>
            </w:r>
          </w:p>
        </w:tc>
        <w:tc>
          <w:tcPr>
            <w:tcW w:w="3050" w:type="dxa"/>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《山东省非道路移动机械排气污染防治规定》（省政府令第329号）第十一条、第二十四条</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有以上行为的</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-1</w:t>
            </w:r>
            <w:r>
              <w:rPr>
                <w:rFonts w:ascii="仿宋_GB2312" w:eastAsia="仿宋_GB2312" w:cs="宋体"/>
                <w:kern w:val="0"/>
                <w:sz w:val="24"/>
                <w:szCs w:val="24"/>
              </w:rPr>
              <w:t>分</w:t>
            </w:r>
            <w:r>
              <w:rPr>
                <w:rFonts w:hint="eastAsia" w:ascii="仿宋_GB2312" w:eastAsia="仿宋_GB2312" w:cs="宋体"/>
                <w:kern w:val="0"/>
                <w:sz w:val="24"/>
                <w:szCs w:val="24"/>
              </w:rPr>
              <w:t>/次</w:t>
            </w:r>
          </w:p>
        </w:tc>
      </w:tr>
      <w:tr>
        <w:tblPrEx>
          <w:tblCellMar>
            <w:top w:w="0" w:type="dxa"/>
            <w:left w:w="108" w:type="dxa"/>
            <w:bottom w:w="0" w:type="dxa"/>
            <w:right w:w="108" w:type="dxa"/>
          </w:tblCellMar>
        </w:tblPrEx>
        <w:trPr>
          <w:trHeight w:val="1260" w:hRule="atLeast"/>
          <w:jc w:val="center"/>
        </w:trPr>
        <w:tc>
          <w:tcPr>
            <w:tcW w:w="1069" w:type="dxa"/>
            <w:tcBorders>
              <w:top w:val="single" w:color="auto" w:sz="4" w:space="0"/>
              <w:left w:val="single" w:color="auto" w:sz="4" w:space="0"/>
              <w:bottom w:val="single" w:color="000000"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其他</w:t>
            </w:r>
          </w:p>
          <w:p>
            <w:pPr>
              <w:jc w:val="center"/>
              <w:rPr>
                <w:rFonts w:ascii="仿宋_GB2312" w:eastAsia="仿宋_GB2312" w:cs="宋体"/>
                <w:kern w:val="0"/>
                <w:sz w:val="24"/>
                <w:szCs w:val="24"/>
              </w:rPr>
            </w:pPr>
            <w:r>
              <w:rPr>
                <w:rFonts w:hint="eastAsia" w:ascii="仿宋_GB2312" w:hAnsi="宋体" w:eastAsia="仿宋_GB2312" w:cs="宋体"/>
                <w:kern w:val="0"/>
                <w:sz w:val="24"/>
                <w:szCs w:val="24"/>
              </w:rPr>
              <w:t>D2-7</w:t>
            </w: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D2-7-01</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调查取证时，工作不配合或不按要求提供相关证据材料的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《建设行政处罚程序暂行规定》（建设部令66号）第三十七条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《建设行政处罚程序暂行规定》（建设部令66号）第三十七条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724" w:hRule="atLeast"/>
          <w:jc w:val="center"/>
        </w:trPr>
        <w:tc>
          <w:tcPr>
            <w:tcW w:w="1069" w:type="dxa"/>
            <w:vMerge w:val="restart"/>
            <w:tcBorders>
              <w:top w:val="single" w:color="000000"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其他</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D2-7</w:t>
            </w:r>
          </w:p>
          <w:p>
            <w:pPr>
              <w:widowControl/>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D2-7-02</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对住房城乡建设主管部门作出的行政处罚决定无正当理由拒不执行的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《建设行政处罚程序暂行规定》（建设部令66号）第二十九条</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《建设行政处罚程序暂行规定》（建设部令66号）第二十九条</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 xml:space="preserve"> -5分/次</w:t>
            </w:r>
          </w:p>
        </w:tc>
      </w:tr>
      <w:tr>
        <w:tblPrEx>
          <w:tblCellMar>
            <w:top w:w="0" w:type="dxa"/>
            <w:left w:w="108" w:type="dxa"/>
            <w:bottom w:w="0" w:type="dxa"/>
            <w:right w:w="108" w:type="dxa"/>
          </w:tblCellMar>
        </w:tblPrEx>
        <w:trPr>
          <w:trHeight w:val="646"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center"/>
              <w:rPr>
                <w:rFonts w:ascii="仿宋_GB2312" w:eastAsia="仿宋_GB2312" w:cs="宋体"/>
                <w:kern w:val="0"/>
                <w:sz w:val="24"/>
                <w:szCs w:val="24"/>
              </w:rPr>
            </w:pPr>
          </w:p>
        </w:tc>
        <w:tc>
          <w:tcPr>
            <w:tcW w:w="10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D2-7-03</w:t>
            </w:r>
          </w:p>
        </w:tc>
        <w:tc>
          <w:tcPr>
            <w:tcW w:w="324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信用评价工作中提供虚假资料的</w:t>
            </w:r>
          </w:p>
        </w:tc>
        <w:tc>
          <w:tcPr>
            <w:tcW w:w="3354"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《建筑市场诚信行为信息管理办法》（建市〔2007〕9号）</w:t>
            </w:r>
          </w:p>
        </w:tc>
        <w:tc>
          <w:tcPr>
            <w:tcW w:w="3050"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《建筑市场诚信行为信息管理办法》（建市〔2007〕9号）</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有以上行为的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94"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jc w:val="left"/>
              <w:rPr>
                <w:rFonts w:ascii="仿宋_GB2312" w:eastAsia="仿宋_GB2312" w:cs="宋体"/>
                <w:kern w:val="0"/>
                <w:sz w:val="24"/>
                <w:szCs w:val="24"/>
              </w:rPr>
            </w:pPr>
          </w:p>
        </w:tc>
        <w:tc>
          <w:tcPr>
            <w:tcW w:w="100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D2-7-04</w:t>
            </w:r>
          </w:p>
        </w:tc>
        <w:tc>
          <w:tcPr>
            <w:tcW w:w="3242"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被住房城乡建设主管部门通报批评的</w:t>
            </w:r>
          </w:p>
        </w:tc>
        <w:tc>
          <w:tcPr>
            <w:tcW w:w="3354"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住房城乡建设主管部门通报文件</w:t>
            </w:r>
          </w:p>
        </w:tc>
        <w:tc>
          <w:tcPr>
            <w:tcW w:w="3050"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住房城乡建设主管部门通报文件</w:t>
            </w: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区县级</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232"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nil"/>
              <w:left w:val="nil"/>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地市级</w:t>
            </w:r>
          </w:p>
        </w:tc>
        <w:tc>
          <w:tcPr>
            <w:tcW w:w="1191" w:type="dxa"/>
            <w:tcBorders>
              <w:top w:val="nil"/>
              <w:left w:val="nil"/>
              <w:bottom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-5分/次</w:t>
            </w:r>
          </w:p>
        </w:tc>
      </w:tr>
      <w:tr>
        <w:tblPrEx>
          <w:tblCellMar>
            <w:top w:w="0" w:type="dxa"/>
            <w:left w:w="108" w:type="dxa"/>
            <w:bottom w:w="0" w:type="dxa"/>
            <w:right w:w="108" w:type="dxa"/>
          </w:tblCellMar>
        </w:tblPrEx>
        <w:trPr>
          <w:trHeight w:val="257"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top w:val="nil"/>
              <w:left w:val="single" w:color="auto" w:sz="4" w:space="0"/>
              <w:bottom w:val="nil"/>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242" w:type="dxa"/>
            <w:vMerge w:val="continue"/>
            <w:tcBorders>
              <w:top w:val="nil"/>
              <w:left w:val="single" w:color="auto" w:sz="4" w:space="0"/>
              <w:bottom w:val="nil"/>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top w:val="nil"/>
              <w:left w:val="single" w:color="auto" w:sz="4" w:space="0"/>
              <w:bottom w:val="nil"/>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050" w:type="dxa"/>
            <w:vMerge w:val="continue"/>
            <w:tcBorders>
              <w:top w:val="nil"/>
              <w:left w:val="single" w:color="auto" w:sz="4" w:space="0"/>
              <w:bottom w:val="nil"/>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nil"/>
              <w:left w:val="nil"/>
              <w:bottom w:val="nil"/>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402" w:type="dxa"/>
            <w:tcBorders>
              <w:top w:val="nil"/>
              <w:left w:val="nil"/>
              <w:bottom w:val="nil"/>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省级以上</w:t>
            </w:r>
          </w:p>
        </w:tc>
        <w:tc>
          <w:tcPr>
            <w:tcW w:w="1191" w:type="dxa"/>
            <w:tcBorders>
              <w:top w:val="nil"/>
              <w:left w:val="nil"/>
              <w:bottom w:val="nil"/>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p>
        </w:tc>
        <w:tc>
          <w:tcPr>
            <w:tcW w:w="100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D2-7-0</w:t>
            </w:r>
            <w:r>
              <w:rPr>
                <w:rFonts w:hint="eastAsia" w:ascii="仿宋_GB2312" w:hAnsi="宋体" w:eastAsia="仿宋_GB2312" w:cs="宋体"/>
                <w:kern w:val="0"/>
                <w:sz w:val="24"/>
                <w:szCs w:val="24"/>
                <w:lang w:val="en-US" w:eastAsia="zh-CN"/>
              </w:rPr>
              <w:t>5</w:t>
            </w:r>
          </w:p>
        </w:tc>
        <w:tc>
          <w:tcPr>
            <w:tcW w:w="3242"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因</w:t>
            </w:r>
            <w:r>
              <w:rPr>
                <w:rFonts w:ascii="仿宋_GB2312" w:eastAsia="仿宋_GB2312" w:cs="宋体"/>
                <w:kern w:val="0"/>
                <w:sz w:val="24"/>
                <w:szCs w:val="24"/>
              </w:rPr>
              <w:t>拖欠民工</w:t>
            </w:r>
            <w:r>
              <w:rPr>
                <w:rFonts w:hint="eastAsia" w:ascii="仿宋_GB2312" w:eastAsia="仿宋_GB2312" w:cs="宋体"/>
                <w:kern w:val="0"/>
                <w:sz w:val="24"/>
                <w:szCs w:val="24"/>
              </w:rPr>
              <w:t>工资</w:t>
            </w:r>
            <w:r>
              <w:rPr>
                <w:rFonts w:ascii="仿宋_GB2312" w:eastAsia="仿宋_GB2312" w:cs="宋体"/>
                <w:kern w:val="0"/>
                <w:sz w:val="24"/>
                <w:szCs w:val="24"/>
              </w:rPr>
              <w:t>、</w:t>
            </w:r>
            <w:r>
              <w:rPr>
                <w:rFonts w:hint="eastAsia" w:ascii="仿宋_GB2312" w:eastAsia="仿宋_GB2312" w:cs="宋体"/>
                <w:kern w:val="0"/>
                <w:sz w:val="24"/>
                <w:szCs w:val="24"/>
              </w:rPr>
              <w:t>市政</w:t>
            </w:r>
            <w:r>
              <w:rPr>
                <w:rFonts w:ascii="仿宋_GB2312" w:eastAsia="仿宋_GB2312" w:cs="宋体"/>
                <w:kern w:val="0"/>
                <w:sz w:val="24"/>
                <w:szCs w:val="24"/>
              </w:rPr>
              <w:t>工程质量</w:t>
            </w:r>
            <w:r>
              <w:rPr>
                <w:rFonts w:hint="eastAsia" w:ascii="仿宋_GB2312" w:eastAsia="仿宋_GB2312" w:cs="宋体"/>
                <w:kern w:val="0"/>
                <w:sz w:val="24"/>
                <w:szCs w:val="24"/>
              </w:rPr>
              <w:t>等企业</w:t>
            </w:r>
            <w:r>
              <w:rPr>
                <w:rFonts w:ascii="仿宋_GB2312" w:eastAsia="仿宋_GB2312" w:cs="宋体"/>
                <w:kern w:val="0"/>
                <w:sz w:val="24"/>
                <w:szCs w:val="24"/>
              </w:rPr>
              <w:t>原因或问题</w:t>
            </w:r>
            <w:r>
              <w:rPr>
                <w:rFonts w:hint="eastAsia" w:ascii="仿宋_GB2312" w:eastAsia="仿宋_GB2312" w:cs="宋体"/>
                <w:kern w:val="0"/>
                <w:sz w:val="24"/>
                <w:szCs w:val="24"/>
              </w:rPr>
              <w:t>被信访</w:t>
            </w:r>
            <w:r>
              <w:rPr>
                <w:rFonts w:ascii="仿宋_GB2312" w:eastAsia="仿宋_GB2312" w:cs="宋体"/>
                <w:kern w:val="0"/>
                <w:sz w:val="24"/>
                <w:szCs w:val="24"/>
              </w:rPr>
              <w:t>投诉</w:t>
            </w:r>
            <w:r>
              <w:rPr>
                <w:rFonts w:hint="eastAsia" w:ascii="仿宋_GB2312" w:eastAsia="仿宋_GB2312" w:cs="宋体"/>
                <w:kern w:val="0"/>
                <w:sz w:val="24"/>
                <w:szCs w:val="24"/>
              </w:rPr>
              <w:t>的（含12345热线）</w:t>
            </w:r>
          </w:p>
        </w:tc>
        <w:tc>
          <w:tcPr>
            <w:tcW w:w="3354" w:type="dxa"/>
            <w:vMerge w:val="restart"/>
            <w:tcBorders>
              <w:top w:val="single" w:color="auto" w:sz="4" w:space="0"/>
              <w:left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w:t>
            </w:r>
            <w:r>
              <w:rPr>
                <w:rFonts w:hint="eastAsia" w:ascii="仿宋_GB2312" w:hAnsi="宋体" w:eastAsia="仿宋_GB2312" w:cs="宋体"/>
                <w:kern w:val="0"/>
                <w:sz w:val="24"/>
                <w:szCs w:val="24"/>
              </w:rPr>
              <w:t>国务院信访工作条例</w:t>
            </w:r>
            <w:r>
              <w:rPr>
                <w:rFonts w:ascii="仿宋_GB2312" w:hAnsi="宋体" w:eastAsia="仿宋_GB2312" w:cs="宋体"/>
                <w:kern w:val="0"/>
                <w:sz w:val="24"/>
                <w:szCs w:val="24"/>
              </w:rPr>
              <w:t>》</w:t>
            </w:r>
            <w:r>
              <w:rPr>
                <w:rFonts w:hint="eastAsia" w:ascii="仿宋_GB2312" w:hAnsi="宋体" w:eastAsia="仿宋_GB2312" w:cs="宋体"/>
                <w:kern w:val="0"/>
                <w:sz w:val="24"/>
                <w:szCs w:val="24"/>
              </w:rPr>
              <w:t>第三十三条</w:t>
            </w:r>
          </w:p>
          <w:p>
            <w:r>
              <w:rPr>
                <w:rFonts w:hint="eastAsia" w:ascii="仿宋_GB2312" w:hAnsi="宋体" w:eastAsia="仿宋_GB2312" w:cs="宋体"/>
                <w:kern w:val="0"/>
                <w:sz w:val="24"/>
                <w:szCs w:val="24"/>
              </w:rPr>
              <w:t>2.中共中央办公厅、国务院办公厅印发的《关于创新群众工作方法解决信访突出问题的意见》</w:t>
            </w:r>
          </w:p>
        </w:tc>
        <w:tc>
          <w:tcPr>
            <w:tcW w:w="3050" w:type="dxa"/>
            <w:vMerge w:val="restart"/>
            <w:tcBorders>
              <w:top w:val="single" w:color="auto" w:sz="4" w:space="0"/>
              <w:left w:val="single" w:color="auto" w:sz="4" w:space="0"/>
              <w:right w:val="single" w:color="auto" w:sz="4" w:space="0"/>
            </w:tcBorders>
            <w:tcMar>
              <w:left w:w="57" w:type="dxa"/>
              <w:right w:w="57" w:type="dxa"/>
            </w:tcMar>
            <w:vAlign w:val="center"/>
          </w:tcPr>
          <w:p>
            <w:pPr>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w:t>
            </w:r>
            <w:r>
              <w:rPr>
                <w:rFonts w:hint="eastAsia" w:ascii="仿宋_GB2312" w:hAnsi="宋体" w:eastAsia="仿宋_GB2312" w:cs="宋体"/>
                <w:kern w:val="0"/>
                <w:sz w:val="24"/>
                <w:szCs w:val="24"/>
              </w:rPr>
              <w:t>国务院信访工作条例</w:t>
            </w:r>
            <w:r>
              <w:rPr>
                <w:rFonts w:ascii="仿宋_GB2312" w:hAnsi="宋体" w:eastAsia="仿宋_GB2312" w:cs="宋体"/>
                <w:kern w:val="0"/>
                <w:sz w:val="24"/>
                <w:szCs w:val="24"/>
              </w:rPr>
              <w:t>》</w:t>
            </w:r>
          </w:p>
          <w:p>
            <w:pPr>
              <w:widowControl/>
              <w:jc w:val="left"/>
              <w:rPr>
                <w:rFonts w:ascii="仿宋_GB2312" w:eastAsia="仿宋_GB2312" w:cs="宋体"/>
                <w:kern w:val="0"/>
                <w:sz w:val="24"/>
                <w:szCs w:val="24"/>
              </w:rPr>
            </w:pPr>
            <w:r>
              <w:rPr>
                <w:rFonts w:hint="eastAsia" w:ascii="仿宋_GB2312" w:hAnsi="宋体" w:eastAsia="仿宋_GB2312" w:cs="宋体"/>
                <w:kern w:val="0"/>
                <w:sz w:val="24"/>
                <w:szCs w:val="24"/>
              </w:rPr>
              <w:t>2.中共中央办公厅、国务院办公厅印发的《关于创新群众工作方法解决信访突出问题的意见》</w:t>
            </w: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超期</w:t>
            </w:r>
            <w:r>
              <w:rPr>
                <w:rFonts w:ascii="仿宋_GB2312" w:hAnsi="宋体" w:eastAsia="仿宋_GB2312" w:cs="宋体"/>
                <w:kern w:val="0"/>
                <w:sz w:val="24"/>
                <w:szCs w:val="24"/>
              </w:rPr>
              <w:t>未回复的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left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left w:val="single" w:color="auto" w:sz="4" w:space="0"/>
              <w:right w:val="single" w:color="auto" w:sz="4" w:space="0"/>
            </w:tcBorders>
            <w:tcMar>
              <w:left w:w="57" w:type="dxa"/>
              <w:right w:w="57" w:type="dxa"/>
            </w:tcMar>
          </w:tcPr>
          <w:p/>
        </w:tc>
        <w:tc>
          <w:tcPr>
            <w:tcW w:w="3050"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信访人重复</w:t>
            </w:r>
            <w:r>
              <w:rPr>
                <w:rFonts w:ascii="仿宋_GB2312" w:hAnsi="宋体" w:eastAsia="仿宋_GB2312" w:cs="宋体"/>
                <w:kern w:val="0"/>
                <w:sz w:val="24"/>
                <w:szCs w:val="24"/>
              </w:rPr>
              <w:t>投诉</w:t>
            </w:r>
            <w:r>
              <w:rPr>
                <w:rFonts w:hint="eastAsia" w:ascii="仿宋_GB2312" w:hAnsi="宋体" w:eastAsia="仿宋_GB2312" w:cs="宋体"/>
                <w:kern w:val="0"/>
                <w:sz w:val="24"/>
                <w:szCs w:val="24"/>
              </w:rPr>
              <w:t>反映</w:t>
            </w:r>
            <w:r>
              <w:rPr>
                <w:rFonts w:ascii="仿宋_GB2312" w:hAnsi="宋体" w:eastAsia="仿宋_GB2312" w:cs="宋体"/>
                <w:kern w:val="0"/>
                <w:sz w:val="24"/>
                <w:szCs w:val="24"/>
              </w:rPr>
              <w:t>同一问题的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3242"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3354" w:type="dxa"/>
            <w:vMerge w:val="continue"/>
            <w:tcBorders>
              <w:left w:val="single" w:color="auto" w:sz="4" w:space="0"/>
              <w:bottom w:val="single" w:color="auto" w:sz="4" w:space="0"/>
              <w:right w:val="single" w:color="auto" w:sz="4" w:space="0"/>
            </w:tcBorders>
            <w:tcMar>
              <w:left w:w="57" w:type="dxa"/>
              <w:right w:w="57" w:type="dxa"/>
            </w:tcMar>
          </w:tcPr>
          <w:p/>
        </w:tc>
        <w:tc>
          <w:tcPr>
            <w:tcW w:w="3050"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48"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p>
        </w:tc>
        <w:tc>
          <w:tcPr>
            <w:tcW w:w="1402"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不及时</w:t>
            </w:r>
            <w:r>
              <w:rPr>
                <w:rFonts w:ascii="仿宋_GB2312" w:hAnsi="宋体" w:eastAsia="仿宋_GB2312" w:cs="宋体"/>
                <w:kern w:val="0"/>
                <w:sz w:val="24"/>
                <w:szCs w:val="24"/>
              </w:rPr>
              <w:t>解决或</w:t>
            </w:r>
            <w:r>
              <w:rPr>
                <w:rFonts w:hint="eastAsia" w:ascii="仿宋_GB2312" w:hAnsi="宋体" w:eastAsia="仿宋_GB2312" w:cs="宋体"/>
                <w:kern w:val="0"/>
                <w:sz w:val="24"/>
                <w:szCs w:val="24"/>
              </w:rPr>
              <w:t>处结率</w:t>
            </w:r>
            <w:r>
              <w:rPr>
                <w:rFonts w:ascii="仿宋_GB2312" w:hAnsi="宋体" w:eastAsia="仿宋_GB2312" w:cs="宋体"/>
                <w:kern w:val="0"/>
                <w:sz w:val="24"/>
                <w:szCs w:val="24"/>
              </w:rPr>
              <w:t>低的</w:t>
            </w:r>
          </w:p>
        </w:tc>
        <w:tc>
          <w:tcPr>
            <w:tcW w:w="1191"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5</w:t>
            </w:r>
            <w:r>
              <w:rPr>
                <w:rFonts w:hint="eastAsia" w:ascii="仿宋_GB2312" w:hAnsi="宋体" w:eastAsia="仿宋_GB2312" w:cs="宋体"/>
                <w:kern w:val="0"/>
                <w:sz w:val="24"/>
                <w:szCs w:val="24"/>
              </w:rPr>
              <w:t>分/次</w:t>
            </w:r>
          </w:p>
        </w:tc>
      </w:tr>
      <w:tr>
        <w:tblPrEx>
          <w:tblCellMar>
            <w:top w:w="0" w:type="dxa"/>
            <w:left w:w="108" w:type="dxa"/>
            <w:bottom w:w="0" w:type="dxa"/>
            <w:right w:w="108" w:type="dxa"/>
          </w:tblCellMar>
        </w:tblPrEx>
        <w:trPr>
          <w:trHeight w:val="510"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一票</w:t>
            </w:r>
            <w:r>
              <w:rPr>
                <w:rFonts w:ascii="仿宋_GB2312" w:eastAsia="仿宋_GB2312" w:cs="宋体"/>
                <w:kern w:val="0"/>
                <w:sz w:val="24"/>
                <w:szCs w:val="24"/>
              </w:rPr>
              <w:t>否</w:t>
            </w:r>
            <w:r>
              <w:rPr>
                <w:rFonts w:hint="eastAsia" w:ascii="仿宋_GB2312" w:eastAsia="仿宋_GB2312" w:cs="宋体"/>
                <w:kern w:val="0"/>
                <w:sz w:val="24"/>
                <w:szCs w:val="24"/>
              </w:rPr>
              <w:t>决，列入“黑名单”行为</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D2-8</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w:t>
            </w:r>
            <w:r>
              <w:rPr>
                <w:rFonts w:hint="eastAsia" w:ascii="仿宋_GB2312" w:hAnsi="宋体" w:eastAsia="仿宋_GB2312" w:cs="宋体"/>
                <w:kern w:val="0"/>
                <w:sz w:val="24"/>
                <w:szCs w:val="24"/>
              </w:rPr>
              <w:t>1</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eastAsia="仿宋_GB2312" w:cs="宋体"/>
                <w:kern w:val="0"/>
                <w:sz w:val="24"/>
                <w:szCs w:val="24"/>
              </w:rPr>
            </w:pPr>
            <w:r>
              <w:rPr>
                <w:rFonts w:hint="eastAsia" w:ascii="仿宋_GB2312" w:eastAsia="仿宋_GB2312" w:cs="宋体"/>
                <w:kern w:val="0"/>
                <w:sz w:val="24"/>
                <w:szCs w:val="24"/>
              </w:rPr>
              <w:t>利用虚假材料、以欺骗手段取得企业资质的。</w:t>
            </w:r>
          </w:p>
        </w:tc>
      </w:tr>
      <w:tr>
        <w:tblPrEx>
          <w:tblCellMar>
            <w:top w:w="0" w:type="dxa"/>
            <w:left w:w="108" w:type="dxa"/>
            <w:bottom w:w="0" w:type="dxa"/>
            <w:right w:w="108" w:type="dxa"/>
          </w:tblCellMar>
        </w:tblPrEx>
        <w:trPr>
          <w:trHeight w:val="51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02</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eastAsia="仿宋_GB2312" w:cs="宋体"/>
                <w:kern w:val="0"/>
                <w:sz w:val="24"/>
                <w:szCs w:val="24"/>
              </w:rPr>
              <w:t>发生违法发包、转包、违法分包、挂靠及出借资质，受到行政处罚的。</w:t>
            </w:r>
          </w:p>
        </w:tc>
      </w:tr>
      <w:tr>
        <w:tblPrEx>
          <w:tblCellMar>
            <w:top w:w="0" w:type="dxa"/>
            <w:left w:w="108" w:type="dxa"/>
            <w:bottom w:w="0" w:type="dxa"/>
            <w:right w:w="108" w:type="dxa"/>
          </w:tblCellMar>
        </w:tblPrEx>
        <w:trPr>
          <w:trHeight w:val="51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03</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eastAsia="仿宋_GB2312" w:cs="宋体"/>
                <w:kern w:val="0"/>
                <w:sz w:val="24"/>
                <w:szCs w:val="24"/>
              </w:rPr>
              <w:t xml:space="preserve">单位违规使用“挂证”人员，受到行政处罚的。  </w:t>
            </w:r>
          </w:p>
        </w:tc>
      </w:tr>
      <w:tr>
        <w:tblPrEx>
          <w:tblCellMar>
            <w:top w:w="0" w:type="dxa"/>
            <w:left w:w="108" w:type="dxa"/>
            <w:bottom w:w="0" w:type="dxa"/>
            <w:right w:w="108" w:type="dxa"/>
          </w:tblCellMar>
        </w:tblPrEx>
        <w:trPr>
          <w:trHeight w:val="85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04</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eastAsia="仿宋_GB2312" w:cs="宋体"/>
                <w:kern w:val="0"/>
                <w:sz w:val="24"/>
                <w:szCs w:val="24"/>
              </w:rPr>
              <w:t>发生安全生产或重大及以上工程质量事故，或1年内累计发生2次及以上较大工程质量事故，或发生性质恶劣、危害性严重、社会影响大的较大工程质量事故，受到行政处罚的。</w:t>
            </w:r>
          </w:p>
        </w:tc>
      </w:tr>
      <w:tr>
        <w:tblPrEx>
          <w:tblCellMar>
            <w:top w:w="0" w:type="dxa"/>
            <w:left w:w="108" w:type="dxa"/>
            <w:bottom w:w="0" w:type="dxa"/>
            <w:right w:w="108" w:type="dxa"/>
          </w:tblCellMar>
        </w:tblPrEx>
        <w:trPr>
          <w:trHeight w:val="51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05</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发生恶意拖欠民工工资案件的。</w:t>
            </w:r>
          </w:p>
        </w:tc>
      </w:tr>
      <w:tr>
        <w:tblPrEx>
          <w:tblCellMar>
            <w:top w:w="0" w:type="dxa"/>
            <w:left w:w="108" w:type="dxa"/>
            <w:bottom w:w="0" w:type="dxa"/>
            <w:right w:w="108" w:type="dxa"/>
          </w:tblCellMar>
        </w:tblPrEx>
        <w:trPr>
          <w:trHeight w:val="510"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06</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经法院判决或仲裁机构裁决，认定为拖欠工程款，且拒不履行生效法律文书确定的义务的。</w:t>
            </w:r>
          </w:p>
        </w:tc>
      </w:tr>
      <w:tr>
        <w:tblPrEx>
          <w:tblCellMar>
            <w:top w:w="0" w:type="dxa"/>
            <w:left w:w="108" w:type="dxa"/>
            <w:bottom w:w="0" w:type="dxa"/>
            <w:right w:w="108" w:type="dxa"/>
          </w:tblCellMar>
        </w:tblPrEx>
        <w:trPr>
          <w:trHeight w:val="510" w:hRule="atLeast"/>
          <w:jc w:val="center"/>
        </w:trPr>
        <w:tc>
          <w:tcPr>
            <w:tcW w:w="1069"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一票</w:t>
            </w:r>
            <w:r>
              <w:rPr>
                <w:rFonts w:ascii="仿宋_GB2312" w:eastAsia="仿宋_GB2312" w:cs="宋体"/>
                <w:kern w:val="0"/>
                <w:sz w:val="24"/>
                <w:szCs w:val="24"/>
              </w:rPr>
              <w:t>否</w:t>
            </w:r>
            <w:r>
              <w:rPr>
                <w:rFonts w:hint="eastAsia" w:ascii="仿宋_GB2312" w:eastAsia="仿宋_GB2312" w:cs="宋体"/>
                <w:kern w:val="0"/>
                <w:sz w:val="24"/>
                <w:szCs w:val="24"/>
              </w:rPr>
              <w:t>决，列入“黑名单”行为</w:t>
            </w:r>
          </w:p>
          <w:p>
            <w:pPr>
              <w:widowControl/>
              <w:jc w:val="center"/>
              <w:rPr>
                <w:rFonts w:ascii="仿宋_GB2312" w:eastAsia="仿宋_GB2312" w:cs="宋体"/>
                <w:kern w:val="0"/>
                <w:sz w:val="24"/>
                <w:szCs w:val="24"/>
              </w:rPr>
            </w:pPr>
            <w:r>
              <w:rPr>
                <w:rFonts w:hint="eastAsia" w:ascii="仿宋_GB2312" w:eastAsia="仿宋_GB2312" w:cs="宋体"/>
                <w:kern w:val="0"/>
                <w:sz w:val="24"/>
                <w:szCs w:val="24"/>
              </w:rPr>
              <w:t>D2-8</w:t>
            </w: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07</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被列入拖欠民工工资“黑名单”的。</w:t>
            </w:r>
          </w:p>
        </w:tc>
      </w:tr>
      <w:tr>
        <w:tblPrEx>
          <w:tblCellMar>
            <w:top w:w="0" w:type="dxa"/>
            <w:left w:w="108" w:type="dxa"/>
            <w:bottom w:w="0" w:type="dxa"/>
            <w:right w:w="108" w:type="dxa"/>
          </w:tblCellMar>
        </w:tblPrEx>
        <w:trPr>
          <w:trHeight w:val="510" w:hRule="atLeast"/>
          <w:jc w:val="center"/>
        </w:trPr>
        <w:tc>
          <w:tcPr>
            <w:tcW w:w="1069" w:type="dxa"/>
            <w:vMerge w:val="continue"/>
            <w:tcBorders>
              <w:left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08</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在工程建设活动中，因扰乱市场秩序受到公安机关治安处罚或经司法部门认定负有刑事责任的。</w:t>
            </w:r>
          </w:p>
        </w:tc>
      </w:tr>
      <w:tr>
        <w:tblPrEx>
          <w:tblCellMar>
            <w:top w:w="0" w:type="dxa"/>
            <w:left w:w="108" w:type="dxa"/>
            <w:bottom w:w="0" w:type="dxa"/>
            <w:right w:w="108" w:type="dxa"/>
          </w:tblCellMar>
        </w:tblPrEx>
        <w:trPr>
          <w:trHeight w:val="510" w:hRule="atLeast"/>
          <w:jc w:val="center"/>
        </w:trPr>
        <w:tc>
          <w:tcPr>
            <w:tcW w:w="106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left"/>
              <w:rPr>
                <w:rFonts w:ascii="仿宋_GB2312" w:eastAsia="仿宋_GB2312" w:cs="宋体"/>
                <w:kern w:val="0"/>
                <w:sz w:val="24"/>
                <w:szCs w:val="24"/>
              </w:rPr>
            </w:pPr>
          </w:p>
        </w:tc>
        <w:tc>
          <w:tcPr>
            <w:tcW w:w="100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D2-8-</w:t>
            </w:r>
            <w:r>
              <w:rPr>
                <w:rFonts w:ascii="仿宋_GB2312" w:hAnsi="宋体" w:eastAsia="仿宋_GB2312" w:cs="宋体"/>
                <w:kern w:val="0"/>
                <w:sz w:val="24"/>
                <w:szCs w:val="24"/>
              </w:rPr>
              <w:t>09</w:t>
            </w:r>
          </w:p>
        </w:tc>
        <w:tc>
          <w:tcPr>
            <w:tcW w:w="13287" w:type="dxa"/>
            <w:gridSpan w:val="6"/>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扬尘防治措施不到位并造成严重社会影响的。</w:t>
            </w:r>
          </w:p>
        </w:tc>
      </w:tr>
    </w:tbl>
    <w:p>
      <w:pPr>
        <w:spacing w:line="320" w:lineRule="exact"/>
        <w:rPr>
          <w:rFonts w:ascii="仿宋_GB2312" w:eastAsia="仿宋_GB2312"/>
          <w:sz w:val="32"/>
          <w:szCs w:val="32"/>
        </w:rPr>
        <w:sectPr>
          <w:pgSz w:w="16838" w:h="11906" w:orient="landscape"/>
          <w:pgMar w:top="1418" w:right="1418" w:bottom="1418" w:left="1418" w:header="567" w:footer="737" w:gutter="0"/>
          <w:pgNumType w:fmt="numberInDash"/>
          <w:cols w:space="425" w:num="1"/>
          <w:docGrid w:type="lines" w:linePitch="312" w:charSpace="0"/>
        </w:sect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spacing w:line="320" w:lineRule="exact"/>
        <w:rPr>
          <w:rFonts w:ascii="仿宋_GB2312" w:eastAsia="仿宋_GB2312"/>
          <w:sz w:val="32"/>
          <w:szCs w:val="32"/>
        </w:rPr>
      </w:pPr>
    </w:p>
    <w:p>
      <w:pPr>
        <w:rPr>
          <w:rFonts w:ascii="仿宋_GB2312" w:hAnsi="黑体" w:eastAsia="仿宋_GB2312" w:cs="宋体"/>
          <w:kern w:val="0"/>
          <w:sz w:val="32"/>
          <w:szCs w:val="32"/>
        </w:rPr>
      </w:pPr>
    </w:p>
    <w:p>
      <w:pPr>
        <w:rPr>
          <w:sz w:val="32"/>
          <w:szCs w:val="32"/>
        </w:rPr>
      </w:pPr>
    </w:p>
    <w:p>
      <w:pPr>
        <w:rPr>
          <w:rFonts w:ascii="文星标宋" w:hAnsi="文星标宋" w:eastAsia="文星标宋"/>
          <w:sz w:val="28"/>
          <w:szCs w:val="28"/>
        </w:rPr>
      </w:pPr>
      <w:r>
        <w:rPr>
          <w:rFonts w:ascii="仿宋_GB2312" w:eastAsia="仿宋_GB2312"/>
          <w:sz w:val="28"/>
          <w:szCs w:val="28"/>
        </w:rPr>
        <w:pict>
          <v:line id="Line 2" o:spid="_x0000_s1026" o:spt="20" style="position:absolute;left:0pt;flip:y;margin-left:0.7pt;margin-top:31.2pt;height:0pt;width:451.15pt;z-index:251659264;mso-width-relative:page;mso-height-relative:page;" coordsize="21600,21600" o:gfxdata="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buh2tMAAAAHAQAADwAAAAAAAAABACAAAAAiAAAAZHJzL2Rvd25yZXYueG1sUEsBAhQA&#10;FAAAAAgAh07iQKUJmFy+AQAAigMAAA4AAAAAAAAAAQAgAAAAIgEAAGRycy9lMm9Eb2MueG1sUEsF&#10;BgAAAAAGAAYAWQEAAFIFAAAAAAAA&#10;">
            <v:path arrowok="t"/>
            <v:fill focussize="0,0"/>
            <v:stroke weight="1.25pt"/>
            <v:imagedata o:title=""/>
            <o:lock v:ext="edit"/>
          </v:line>
        </w:pict>
      </w:r>
      <w:r>
        <w:rPr>
          <w:rFonts w:hint="eastAsia" w:ascii="文星标宋" w:hAnsi="文星标宋" w:eastAsia="文星标宋"/>
          <w:sz w:val="28"/>
          <w:szCs w:val="28"/>
        </w:rPr>
        <w:t>信息公开选项：主动公开</w:t>
      </w:r>
    </w:p>
    <w:p>
      <w:pPr>
        <w:ind w:firstLine="320" w:firstLineChars="100"/>
        <w:rPr>
          <w:rFonts w:ascii="仿宋_GB2312" w:hAnsi="黑体" w:eastAsia="仿宋_GB2312" w:cs="宋体"/>
          <w:kern w:val="0"/>
          <w:sz w:val="32"/>
          <w:szCs w:val="32"/>
        </w:rPr>
      </w:pPr>
      <w:r>
        <w:rPr>
          <w:rFonts w:ascii="仿宋_GB2312" w:eastAsia="仿宋_GB2312"/>
          <w:sz w:val="32"/>
          <w:szCs w:val="32"/>
          <w:u w:val="thick"/>
        </w:rPr>
        <w:pict>
          <v:line id="Line 3" o:spid="_x0000_s1027" o:spt="20" style="position:absolute;left:0pt;flip:y;margin-left:0.2pt;margin-top:28.95pt;height:0pt;width:451.65pt;z-index:251660288;mso-width-relative:page;mso-height-relative:page;" coordsize="21600,21600" o:gfxdata="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SYmTJ1AAAAAYBAAAPAAAAAAAAAAEAIAAAACIAAABkcnMvZG93bnJldi54bWxQSwEC&#10;FAAUAAAACACHTuJA4B0EYb8BAACKAwAADgAAAAAAAAABACAAAAAjAQAAZHJzL2Uyb0RvYy54bWxQ&#10;SwUGAAAAAAYABgBZAQAAVAUAAAAA&#10;">
            <v:path arrowok="t"/>
            <v:fill focussize="0,0"/>
            <v:stroke weight="1.25pt"/>
            <v:imagedata o:title=""/>
            <o:lock v:ext="edit"/>
          </v:line>
        </w:pict>
      </w:r>
      <w:r>
        <w:rPr>
          <w:rFonts w:hint="eastAsia" w:ascii="仿宋_GB2312" w:eastAsia="仿宋_GB2312"/>
          <w:sz w:val="28"/>
          <w:szCs w:val="28"/>
        </w:rPr>
        <w:t xml:space="preserve">潍坊市住房和城乡建设局办公室         </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sectPr>
      <w:pgSz w:w="11906" w:h="16838"/>
      <w:pgMar w:top="1418" w:right="1418" w:bottom="1418" w:left="1418" w:header="567"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文星标宋">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639521"/>
    </w:sdtPr>
    <w:sdtEndPr>
      <w:rPr>
        <w:rFonts w:ascii="宋体" w:hAnsi="宋体" w:eastAsia="宋体"/>
        <w:sz w:val="28"/>
        <w:szCs w:val="28"/>
      </w:rPr>
    </w:sdtEndPr>
    <w:sdtContent>
      <w:p>
        <w:pPr>
          <w:pStyle w:val="1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639521"/>
    </w:sdtPr>
    <w:sdtEndPr>
      <w:rPr>
        <w:rFonts w:ascii="宋体" w:hAnsi="宋体" w:eastAsia="宋体"/>
        <w:sz w:val="28"/>
        <w:szCs w:val="28"/>
      </w:rPr>
    </w:sdtEndPr>
    <w:sdtContent>
      <w:p>
        <w:pPr>
          <w:pStyle w:val="1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313221"/>
    </w:sdtPr>
    <w:sdtEndPr>
      <w:rPr>
        <w:rFonts w:ascii="宋体" w:hAnsi="宋体" w:eastAsia="宋体"/>
        <w:sz w:val="28"/>
        <w:szCs w:val="28"/>
      </w:rPr>
    </w:sdtEndPr>
    <w:sdtContent>
      <w:p>
        <w:pPr>
          <w:pStyle w:val="1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4"/>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wMzE4Y2YyZjM0ZDI0NTA4ZThhYzEzZjk0NGQzYzkifQ=="/>
  </w:docVars>
  <w:rsids>
    <w:rsidRoot w:val="00CA2908"/>
    <w:rsid w:val="00163158"/>
    <w:rsid w:val="00AC43FD"/>
    <w:rsid w:val="00CA2908"/>
    <w:rsid w:val="00CF4F8C"/>
    <w:rsid w:val="00FE5B4D"/>
    <w:rsid w:val="03C77676"/>
    <w:rsid w:val="03F65467"/>
    <w:rsid w:val="09AD353A"/>
    <w:rsid w:val="0A371964"/>
    <w:rsid w:val="0B3E45E2"/>
    <w:rsid w:val="0CFD0B0D"/>
    <w:rsid w:val="0DB15C6B"/>
    <w:rsid w:val="0F6463B0"/>
    <w:rsid w:val="10E2300E"/>
    <w:rsid w:val="12911851"/>
    <w:rsid w:val="139278C7"/>
    <w:rsid w:val="158C227D"/>
    <w:rsid w:val="1BE12EFF"/>
    <w:rsid w:val="1CF24728"/>
    <w:rsid w:val="1DA23A82"/>
    <w:rsid w:val="1E881819"/>
    <w:rsid w:val="227735AE"/>
    <w:rsid w:val="23A53E70"/>
    <w:rsid w:val="23AB1BF2"/>
    <w:rsid w:val="265A5576"/>
    <w:rsid w:val="268712DF"/>
    <w:rsid w:val="268A7178"/>
    <w:rsid w:val="268C2A8A"/>
    <w:rsid w:val="293D2512"/>
    <w:rsid w:val="29AA1638"/>
    <w:rsid w:val="2B26711D"/>
    <w:rsid w:val="2CBC588E"/>
    <w:rsid w:val="2DD952A2"/>
    <w:rsid w:val="2F3E5843"/>
    <w:rsid w:val="2F455EE8"/>
    <w:rsid w:val="32EA35EB"/>
    <w:rsid w:val="33920131"/>
    <w:rsid w:val="347136CF"/>
    <w:rsid w:val="34BD353B"/>
    <w:rsid w:val="37FD787E"/>
    <w:rsid w:val="38512630"/>
    <w:rsid w:val="38BE629D"/>
    <w:rsid w:val="391C1D9C"/>
    <w:rsid w:val="3A4E493C"/>
    <w:rsid w:val="3C1900A2"/>
    <w:rsid w:val="40672BC8"/>
    <w:rsid w:val="41674E66"/>
    <w:rsid w:val="41C31810"/>
    <w:rsid w:val="41F8456A"/>
    <w:rsid w:val="43427408"/>
    <w:rsid w:val="439A2720"/>
    <w:rsid w:val="43C24307"/>
    <w:rsid w:val="44496945"/>
    <w:rsid w:val="46663622"/>
    <w:rsid w:val="48226B68"/>
    <w:rsid w:val="4E821612"/>
    <w:rsid w:val="502B0E6A"/>
    <w:rsid w:val="50786222"/>
    <w:rsid w:val="526575A0"/>
    <w:rsid w:val="52A3308D"/>
    <w:rsid w:val="53205AE0"/>
    <w:rsid w:val="548D0DE1"/>
    <w:rsid w:val="567A39DF"/>
    <w:rsid w:val="5A7768CB"/>
    <w:rsid w:val="5E2C388D"/>
    <w:rsid w:val="5F53620D"/>
    <w:rsid w:val="5F711A5C"/>
    <w:rsid w:val="61F0263C"/>
    <w:rsid w:val="670E4DB9"/>
    <w:rsid w:val="683E77EA"/>
    <w:rsid w:val="68755F40"/>
    <w:rsid w:val="6C9A3D27"/>
    <w:rsid w:val="6E335280"/>
    <w:rsid w:val="70250589"/>
    <w:rsid w:val="707D1521"/>
    <w:rsid w:val="72F85B34"/>
    <w:rsid w:val="76F61031"/>
    <w:rsid w:val="77FE1A2D"/>
    <w:rsid w:val="781E3857"/>
    <w:rsid w:val="78A051B0"/>
    <w:rsid w:val="79196357"/>
    <w:rsid w:val="79D25399"/>
    <w:rsid w:val="7B856515"/>
    <w:rsid w:val="7BCF0634"/>
    <w:rsid w:val="7C2310B3"/>
    <w:rsid w:val="7D3F2AD3"/>
    <w:rsid w:val="7DC10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Calibri" w:hAnsi="Calibri" w:eastAsia="宋体" w:cs="Calibri"/>
      <w:b/>
      <w:bCs/>
      <w:kern w:val="44"/>
      <w:sz w:val="44"/>
      <w:szCs w:val="44"/>
    </w:rPr>
  </w:style>
  <w:style w:type="paragraph" w:styleId="2">
    <w:name w:val="heading 3"/>
    <w:basedOn w:val="1"/>
    <w:next w:val="1"/>
    <w:unhideWhenUsed/>
    <w:qFormat/>
    <w:uiPriority w:val="9"/>
    <w:pPr>
      <w:keepNext/>
      <w:keepLines/>
      <w:spacing w:before="260" w:after="260" w:line="416" w:lineRule="auto"/>
      <w:outlineLvl w:val="2"/>
    </w:pPr>
    <w:rPr>
      <w:rFonts w:ascii="Calibri" w:hAnsi="Calibri" w:cs="Calibri"/>
      <w:b/>
      <w:bCs/>
      <w:sz w:val="32"/>
      <w:szCs w:val="32"/>
    </w:rPr>
  </w:style>
  <w:style w:type="paragraph" w:styleId="4">
    <w:name w:val="heading 5"/>
    <w:basedOn w:val="1"/>
    <w:next w:val="1"/>
    <w:unhideWhenUsed/>
    <w:qFormat/>
    <w:uiPriority w:val="9"/>
    <w:pPr>
      <w:keepNext/>
      <w:keepLines/>
      <w:numPr>
        <w:ilvl w:val="4"/>
        <w:numId w:val="1"/>
      </w:numPr>
      <w:ind w:left="851" w:hanging="851"/>
      <w:outlineLvl w:val="4"/>
    </w:pPr>
    <w:rPr>
      <w:b/>
      <w:bCs/>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5"/>
    <w:unhideWhenUsed/>
    <w:qFormat/>
    <w:uiPriority w:val="99"/>
    <w:pPr>
      <w:jc w:val="left"/>
    </w:pPr>
  </w:style>
  <w:style w:type="paragraph" w:styleId="6">
    <w:name w:val="Body Text"/>
    <w:basedOn w:val="1"/>
    <w:link w:val="26"/>
    <w:qFormat/>
    <w:uiPriority w:val="0"/>
    <w:pPr>
      <w:spacing w:after="120"/>
    </w:pPr>
    <w:rPr>
      <w:rFonts w:cs="Calibri"/>
      <w:szCs w:val="21"/>
    </w:rPr>
  </w:style>
  <w:style w:type="paragraph" w:styleId="7">
    <w:name w:val="Body Text Indent"/>
    <w:basedOn w:val="1"/>
    <w:link w:val="30"/>
    <w:qFormat/>
    <w:uiPriority w:val="0"/>
    <w:pPr>
      <w:ind w:firstLine="280" w:firstLineChars="100"/>
    </w:pPr>
    <w:rPr>
      <w:rFonts w:cs="Calibri"/>
      <w:szCs w:val="21"/>
    </w:rPr>
  </w:style>
  <w:style w:type="paragraph" w:styleId="8">
    <w:name w:val="Block Text"/>
    <w:basedOn w:val="1"/>
    <w:qFormat/>
    <w:uiPriority w:val="0"/>
    <w:pPr>
      <w:spacing w:line="240" w:lineRule="exact"/>
      <w:ind w:left="-60" w:leftChars="-60" w:right="-51" w:rightChars="-51" w:firstLine="41" w:firstLineChars="23"/>
      <w:jc w:val="center"/>
    </w:pPr>
    <w:rPr>
      <w:rFonts w:ascii="Times New Roman" w:hAnsi="Times New Roman" w:eastAsia="仿宋_GB2312" w:cs="Times New Roman"/>
      <w:sz w:val="18"/>
      <w:szCs w:val="24"/>
    </w:rPr>
  </w:style>
  <w:style w:type="paragraph" w:styleId="9">
    <w:name w:val="Plain Text"/>
    <w:basedOn w:val="1"/>
    <w:link w:val="27"/>
    <w:qFormat/>
    <w:uiPriority w:val="0"/>
    <w:rPr>
      <w:rFonts w:ascii="宋体" w:hAnsi="Courier New" w:cs="Courier New"/>
      <w:szCs w:val="21"/>
    </w:rPr>
  </w:style>
  <w:style w:type="paragraph" w:styleId="10">
    <w:name w:val="Date"/>
    <w:basedOn w:val="1"/>
    <w:next w:val="1"/>
    <w:link w:val="33"/>
    <w:qFormat/>
    <w:uiPriority w:val="0"/>
    <w:pPr>
      <w:ind w:left="100" w:leftChars="2500"/>
    </w:pPr>
    <w:rPr>
      <w:rFonts w:cs="Calibri"/>
      <w:szCs w:val="21"/>
    </w:rPr>
  </w:style>
  <w:style w:type="paragraph" w:styleId="11">
    <w:name w:val="Body Text Indent 2"/>
    <w:basedOn w:val="1"/>
    <w:link w:val="32"/>
    <w:qFormat/>
    <w:uiPriority w:val="0"/>
    <w:pPr>
      <w:spacing w:after="120" w:line="480" w:lineRule="auto"/>
      <w:ind w:left="420" w:leftChars="200"/>
    </w:pPr>
    <w:rPr>
      <w:rFonts w:cs="Calibri"/>
      <w:szCs w:val="21"/>
    </w:rPr>
  </w:style>
  <w:style w:type="paragraph" w:styleId="12">
    <w:name w:val="Balloon Text"/>
    <w:basedOn w:val="1"/>
    <w:link w:val="34"/>
    <w:qFormat/>
    <w:uiPriority w:val="0"/>
    <w:rPr>
      <w:rFonts w:cs="Calibri"/>
      <w:sz w:val="2"/>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5"/>
    <w:next w:val="5"/>
    <w:link w:val="46"/>
    <w:unhideWhenUsed/>
    <w:qFormat/>
    <w:uiPriority w:val="99"/>
    <w:rPr>
      <w:b/>
      <w:bCs/>
    </w:rPr>
  </w:style>
  <w:style w:type="character" w:styleId="19">
    <w:name w:val="Strong"/>
    <w:qFormat/>
    <w:uiPriority w:val="0"/>
    <w:rPr>
      <w:rFonts w:cs="Times New Roman"/>
      <w:b/>
      <w:bCs/>
    </w:rPr>
  </w:style>
  <w:style w:type="character" w:styleId="20">
    <w:name w:val="page number"/>
    <w:qFormat/>
    <w:uiPriority w:val="0"/>
    <w:rPr>
      <w:rFonts w:cs="Times New Roman"/>
    </w:rPr>
  </w:style>
  <w:style w:type="character" w:styleId="21">
    <w:name w:val="Hyperlink"/>
    <w:qFormat/>
    <w:uiPriority w:val="0"/>
    <w:rPr>
      <w:rFonts w:cs="Times New Roman"/>
      <w:color w:val="0000FF"/>
      <w:u w:val="single"/>
    </w:rPr>
  </w:style>
  <w:style w:type="character" w:styleId="22">
    <w:name w:val="annotation reference"/>
    <w:basedOn w:val="18"/>
    <w:unhideWhenUsed/>
    <w:qFormat/>
    <w:uiPriority w:val="99"/>
    <w:rPr>
      <w:sz w:val="21"/>
      <w:szCs w:val="21"/>
    </w:rPr>
  </w:style>
  <w:style w:type="character" w:customStyle="1" w:styleId="23">
    <w:name w:val="页眉 Char"/>
    <w:basedOn w:val="18"/>
    <w:link w:val="14"/>
    <w:qFormat/>
    <w:uiPriority w:val="0"/>
    <w:rPr>
      <w:sz w:val="18"/>
      <w:szCs w:val="18"/>
    </w:rPr>
  </w:style>
  <w:style w:type="character" w:customStyle="1" w:styleId="24">
    <w:name w:val="页脚 Char"/>
    <w:basedOn w:val="18"/>
    <w:link w:val="13"/>
    <w:qFormat/>
    <w:uiPriority w:val="99"/>
    <w:rPr>
      <w:sz w:val="18"/>
      <w:szCs w:val="18"/>
    </w:rPr>
  </w:style>
  <w:style w:type="character" w:customStyle="1" w:styleId="25">
    <w:name w:val="标题 1 Char"/>
    <w:basedOn w:val="18"/>
    <w:link w:val="3"/>
    <w:qFormat/>
    <w:uiPriority w:val="0"/>
    <w:rPr>
      <w:rFonts w:ascii="Calibri" w:hAnsi="Calibri" w:eastAsia="宋体" w:cs="Calibri"/>
      <w:b/>
      <w:bCs/>
      <w:kern w:val="44"/>
      <w:sz w:val="44"/>
      <w:szCs w:val="44"/>
    </w:rPr>
  </w:style>
  <w:style w:type="character" w:customStyle="1" w:styleId="26">
    <w:name w:val="正文文本 Char"/>
    <w:link w:val="6"/>
    <w:qFormat/>
    <w:uiPriority w:val="0"/>
    <w:rPr>
      <w:rFonts w:cs="Calibri"/>
      <w:szCs w:val="21"/>
    </w:rPr>
  </w:style>
  <w:style w:type="character" w:customStyle="1" w:styleId="27">
    <w:name w:val="纯文本 Char"/>
    <w:link w:val="9"/>
    <w:qFormat/>
    <w:uiPriority w:val="0"/>
    <w:rPr>
      <w:rFonts w:ascii="宋体" w:hAnsi="Courier New" w:cs="Courier New"/>
      <w:szCs w:val="21"/>
    </w:rPr>
  </w:style>
  <w:style w:type="character" w:customStyle="1" w:styleId="28">
    <w:name w:val="javascript1"/>
    <w:qFormat/>
    <w:uiPriority w:val="0"/>
    <w:rPr>
      <w:rFonts w:ascii="Tahoma" w:hAnsi="Tahoma" w:cs="Tahoma"/>
      <w:sz w:val="24"/>
      <w:szCs w:val="24"/>
    </w:rPr>
  </w:style>
  <w:style w:type="character" w:customStyle="1" w:styleId="29">
    <w:name w:val="text1"/>
    <w:qFormat/>
    <w:uiPriority w:val="0"/>
    <w:rPr>
      <w:rFonts w:cs="Times New Roman"/>
    </w:rPr>
  </w:style>
  <w:style w:type="character" w:customStyle="1" w:styleId="30">
    <w:name w:val="正文文本缩进 Char"/>
    <w:link w:val="7"/>
    <w:qFormat/>
    <w:uiPriority w:val="0"/>
    <w:rPr>
      <w:rFonts w:cs="Calibri"/>
      <w:szCs w:val="21"/>
    </w:rPr>
  </w:style>
  <w:style w:type="character" w:customStyle="1" w:styleId="31">
    <w:name w:val="9bline1"/>
    <w:qFormat/>
    <w:uiPriority w:val="0"/>
    <w:rPr>
      <w:rFonts w:ascii="??" w:hAnsi="??" w:cs="Times New Roman"/>
      <w:sz w:val="18"/>
      <w:szCs w:val="18"/>
    </w:rPr>
  </w:style>
  <w:style w:type="character" w:customStyle="1" w:styleId="32">
    <w:name w:val="正文文本缩进 2 Char"/>
    <w:link w:val="11"/>
    <w:qFormat/>
    <w:uiPriority w:val="0"/>
    <w:rPr>
      <w:rFonts w:cs="Calibri"/>
      <w:szCs w:val="21"/>
    </w:rPr>
  </w:style>
  <w:style w:type="character" w:customStyle="1" w:styleId="33">
    <w:name w:val="日期 Char"/>
    <w:link w:val="10"/>
    <w:qFormat/>
    <w:uiPriority w:val="0"/>
    <w:rPr>
      <w:rFonts w:cs="Calibri"/>
      <w:szCs w:val="21"/>
    </w:rPr>
  </w:style>
  <w:style w:type="character" w:customStyle="1" w:styleId="34">
    <w:name w:val="批注框文本 Char"/>
    <w:link w:val="12"/>
    <w:qFormat/>
    <w:uiPriority w:val="0"/>
    <w:rPr>
      <w:rFonts w:cs="Calibri"/>
      <w:sz w:val="2"/>
    </w:rPr>
  </w:style>
  <w:style w:type="paragraph" w:customStyle="1" w:styleId="35">
    <w:name w:val="Char"/>
    <w:basedOn w:val="1"/>
    <w:qFormat/>
    <w:uiPriority w:val="0"/>
    <w:rPr>
      <w:rFonts w:ascii="Times New Roman" w:hAnsi="Times New Roman" w:eastAsia="宋体" w:cs="Times New Roman"/>
      <w:szCs w:val="20"/>
    </w:rPr>
  </w:style>
  <w:style w:type="character" w:customStyle="1" w:styleId="36">
    <w:name w:val="正文文本 Char1"/>
    <w:basedOn w:val="18"/>
    <w:semiHidden/>
    <w:qFormat/>
    <w:uiPriority w:val="99"/>
  </w:style>
  <w:style w:type="character" w:customStyle="1" w:styleId="37">
    <w:name w:val="日期 Char1"/>
    <w:basedOn w:val="18"/>
    <w:semiHidden/>
    <w:qFormat/>
    <w:uiPriority w:val="99"/>
  </w:style>
  <w:style w:type="character" w:customStyle="1" w:styleId="38">
    <w:name w:val="批注框文本 Char1"/>
    <w:basedOn w:val="18"/>
    <w:semiHidden/>
    <w:qFormat/>
    <w:uiPriority w:val="99"/>
    <w:rPr>
      <w:sz w:val="18"/>
      <w:szCs w:val="18"/>
    </w:rPr>
  </w:style>
  <w:style w:type="character" w:customStyle="1" w:styleId="39">
    <w:name w:val="正文文本缩进 Char1"/>
    <w:basedOn w:val="18"/>
    <w:semiHidden/>
    <w:qFormat/>
    <w:uiPriority w:val="99"/>
  </w:style>
  <w:style w:type="character" w:customStyle="1" w:styleId="40">
    <w:name w:val="正文文本缩进 2 Char1"/>
    <w:basedOn w:val="18"/>
    <w:semiHidden/>
    <w:qFormat/>
    <w:uiPriority w:val="99"/>
  </w:style>
  <w:style w:type="paragraph" w:customStyle="1" w:styleId="4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2">
    <w:name w:val="列出段落1"/>
    <w:basedOn w:val="1"/>
    <w:qFormat/>
    <w:uiPriority w:val="0"/>
    <w:pPr>
      <w:ind w:firstLine="420" w:firstLineChars="200"/>
    </w:pPr>
    <w:rPr>
      <w:rFonts w:ascii="Calibri" w:hAnsi="Calibri" w:eastAsia="宋体" w:cs="Calibri"/>
      <w:szCs w:val="21"/>
    </w:rPr>
  </w:style>
  <w:style w:type="character" w:customStyle="1" w:styleId="43">
    <w:name w:val="纯文本 Char1"/>
    <w:basedOn w:val="18"/>
    <w:semiHidden/>
    <w:qFormat/>
    <w:uiPriority w:val="99"/>
    <w:rPr>
      <w:rFonts w:ascii="宋体" w:hAnsi="Courier New" w:eastAsia="宋体" w:cs="Courier New"/>
      <w:szCs w:val="21"/>
    </w:rPr>
  </w:style>
  <w:style w:type="paragraph" w:customStyle="1" w:styleId="44">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45">
    <w:name w:val="批注文字 Char"/>
    <w:basedOn w:val="18"/>
    <w:link w:val="5"/>
    <w:qFormat/>
    <w:uiPriority w:val="99"/>
  </w:style>
  <w:style w:type="character" w:customStyle="1" w:styleId="46">
    <w:name w:val="批注主题 Char"/>
    <w:basedOn w:val="45"/>
    <w:link w:val="1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18536</Words>
  <Characters>20241</Characters>
  <Lines>162</Lines>
  <Paragraphs>45</Paragraphs>
  <TotalTime>7</TotalTime>
  <ScaleCrop>false</ScaleCrop>
  <LinksUpToDate>false</LinksUpToDate>
  <CharactersWithSpaces>20464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2022-01-08T03:33:00Z</dcterms:created>
  <dc:creator>Jong</dc:creator>
  <cp:lastModifiedBy>启程</cp:lastModifiedBy>
  <cp:lastPrinted>2022-02-07T07:23:00Z</cp:lastPrinted>
  <dcterms:modified xsi:type="dcterms:W3CDTF">2023-10-31T04:00:07Z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7C384DBB80EF3C4C5FD2B161B1B08124</vt:lpwstr>
  </property>
</Properties>
</file>