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color w:val="000000"/>
          <w:sz w:val="32"/>
          <w:szCs w:val="32"/>
        </w:rPr>
      </w:pPr>
      <w:bookmarkStart w:id="0" w:name="_GoBack"/>
      <w:bookmarkEnd w:id="0"/>
      <w:r>
        <w:rPr>
          <w:rFonts w:hint="eastAsia" w:ascii="黑体" w:hAnsi="黑体" w:eastAsia="黑体" w:cs="黑体"/>
          <w:bCs/>
          <w:color w:val="000000"/>
          <w:sz w:val="32"/>
          <w:szCs w:val="32"/>
        </w:rPr>
        <w:t>附件1</w:t>
      </w:r>
    </w:p>
    <w:p>
      <w:pPr>
        <w:spacing w:line="440" w:lineRule="exact"/>
        <w:jc w:val="center"/>
        <w:outlineLvl w:val="0"/>
        <w:rPr>
          <w:rFonts w:ascii="方正小标宋简体" w:hAnsi="方正小标宋简体" w:eastAsia="方正小标宋简体" w:cs="方正小标宋简体"/>
          <w:color w:val="000000"/>
          <w:sz w:val="36"/>
          <w:szCs w:val="36"/>
        </w:rPr>
      </w:pPr>
    </w:p>
    <w:p>
      <w:pPr>
        <w:spacing w:line="560" w:lineRule="exact"/>
        <w:jc w:val="center"/>
        <w:outlineLvl w:val="0"/>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青岛市星级农资经营门店创建任务年度分解表</w:t>
      </w:r>
    </w:p>
    <w:p>
      <w:pPr>
        <w:pStyle w:val="11"/>
        <w:rPr>
          <w:color w:val="000000"/>
        </w:rPr>
      </w:pPr>
    </w:p>
    <w:tbl>
      <w:tblPr>
        <w:tblStyle w:val="8"/>
        <w:tblpPr w:leftFromText="180" w:rightFromText="180" w:vertAnchor="text" w:horzAnchor="page" w:tblpXSpec="center" w:tblpY="107"/>
        <w:tblOverlap w:val="never"/>
        <w:tblW w:w="88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5"/>
        <w:gridCol w:w="1794"/>
        <w:gridCol w:w="1758"/>
        <w:gridCol w:w="1815"/>
        <w:gridCol w:w="1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1" w:hRule="atLeast"/>
          <w:jc w:val="center"/>
        </w:trPr>
        <w:tc>
          <w:tcPr>
            <w:tcW w:w="1955" w:type="dxa"/>
            <w:tcBorders>
              <w:bottom w:val="single" w:color="auto" w:sz="4" w:space="0"/>
            </w:tcBorders>
            <w:noWrap w:val="0"/>
            <w:vAlign w:val="center"/>
          </w:tcPr>
          <w:p>
            <w:pPr>
              <w:adjustRightInd w:val="0"/>
              <w:snapToGrid w:val="0"/>
              <w:jc w:val="center"/>
              <w:rPr>
                <w:rFonts w:ascii="黑体" w:hAnsi="黑体" w:eastAsia="黑体" w:cs="黑体"/>
                <w:color w:val="000000"/>
                <w:sz w:val="32"/>
                <w:szCs w:val="32"/>
              </w:rPr>
            </w:pPr>
          </w:p>
          <w:p>
            <w:pPr>
              <w:adjustRightInd w:val="0"/>
              <w:snapToGrid w:val="0"/>
              <w:jc w:val="center"/>
              <w:rPr>
                <w:rFonts w:ascii="黑体" w:hAnsi="黑体" w:eastAsia="黑体" w:cs="黑体"/>
                <w:color w:val="000000"/>
                <w:sz w:val="32"/>
                <w:szCs w:val="32"/>
              </w:rPr>
            </w:pPr>
            <w:r>
              <w:rPr>
                <w:rFonts w:hint="eastAsia" w:ascii="黑体" w:hAnsi="黑体" w:eastAsia="黑体" w:cs="黑体"/>
                <w:color w:val="000000"/>
                <w:sz w:val="32"/>
                <w:szCs w:val="32"/>
              </w:rPr>
              <w:t>年度</w:t>
            </w:r>
          </w:p>
          <w:p>
            <w:pPr>
              <w:adjustRightInd w:val="0"/>
              <w:snapToGrid w:val="0"/>
              <w:spacing w:line="3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 xml:space="preserve">  </w:t>
            </w:r>
          </w:p>
          <w:p>
            <w:pPr>
              <w:adjustRightInd w:val="0"/>
              <w:snapToGrid w:val="0"/>
              <w:spacing w:line="3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星级</w:t>
            </w:r>
          </w:p>
        </w:tc>
        <w:tc>
          <w:tcPr>
            <w:tcW w:w="1794" w:type="dxa"/>
            <w:tcBorders>
              <w:bottom w:val="single" w:color="auto" w:sz="4" w:space="0"/>
            </w:tcBorders>
            <w:noWrap w:val="0"/>
            <w:vAlign w:val="center"/>
          </w:tcPr>
          <w:p>
            <w:pPr>
              <w:adjustRightInd w:val="0"/>
              <w:snapToGrid w:val="0"/>
              <w:spacing w:line="3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三星级</w:t>
            </w:r>
          </w:p>
        </w:tc>
        <w:tc>
          <w:tcPr>
            <w:tcW w:w="1758" w:type="dxa"/>
            <w:tcBorders>
              <w:bottom w:val="single" w:color="auto" w:sz="4" w:space="0"/>
            </w:tcBorders>
            <w:noWrap w:val="0"/>
            <w:vAlign w:val="center"/>
          </w:tcPr>
          <w:p>
            <w:pPr>
              <w:adjustRightInd w:val="0"/>
              <w:snapToGrid w:val="0"/>
              <w:spacing w:line="3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四星级</w:t>
            </w:r>
          </w:p>
        </w:tc>
        <w:tc>
          <w:tcPr>
            <w:tcW w:w="1815" w:type="dxa"/>
            <w:tcBorders>
              <w:bottom w:val="single" w:color="auto" w:sz="4" w:space="0"/>
            </w:tcBorders>
            <w:noWrap w:val="0"/>
            <w:vAlign w:val="center"/>
          </w:tcPr>
          <w:p>
            <w:pPr>
              <w:adjustRightInd w:val="0"/>
              <w:snapToGrid w:val="0"/>
              <w:spacing w:line="3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五星级</w:t>
            </w:r>
          </w:p>
        </w:tc>
        <w:tc>
          <w:tcPr>
            <w:tcW w:w="1521" w:type="dxa"/>
            <w:tcBorders>
              <w:bottom w:val="single" w:color="auto" w:sz="4" w:space="0"/>
            </w:tcBorders>
            <w:noWrap w:val="0"/>
            <w:vAlign w:val="center"/>
          </w:tcPr>
          <w:p>
            <w:pPr>
              <w:adjustRightInd w:val="0"/>
              <w:snapToGrid w:val="0"/>
              <w:spacing w:line="3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jc w:val="center"/>
        </w:trPr>
        <w:tc>
          <w:tcPr>
            <w:tcW w:w="1955" w:type="dxa"/>
            <w:tcBorders>
              <w:top w:val="single" w:color="auto" w:sz="4" w:space="0"/>
              <w:bottom w:val="single" w:color="auto" w:sz="4" w:space="0"/>
            </w:tcBorders>
            <w:noWrap w:val="0"/>
            <w:vAlign w:val="center"/>
          </w:tcPr>
          <w:p>
            <w:pPr>
              <w:adjustRightInd w:val="0"/>
              <w:snapToGrid w:val="0"/>
              <w:spacing w:line="36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2023</w:t>
            </w:r>
          </w:p>
        </w:tc>
        <w:tc>
          <w:tcPr>
            <w:tcW w:w="1794" w:type="dxa"/>
            <w:tcBorders>
              <w:top w:val="single" w:color="auto" w:sz="4" w:space="0"/>
            </w:tcBorders>
            <w:noWrap w:val="0"/>
            <w:vAlign w:val="center"/>
          </w:tcPr>
          <w:p>
            <w:pPr>
              <w:adjustRightInd w:val="0"/>
              <w:snapToGrid w:val="0"/>
              <w:spacing w:line="36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w:t>
            </w:r>
          </w:p>
        </w:tc>
        <w:tc>
          <w:tcPr>
            <w:tcW w:w="1758" w:type="dxa"/>
            <w:tcBorders>
              <w:top w:val="single" w:color="auto" w:sz="4" w:space="0"/>
            </w:tcBorders>
            <w:noWrap w:val="0"/>
            <w:vAlign w:val="center"/>
          </w:tcPr>
          <w:p>
            <w:pPr>
              <w:adjustRightInd w:val="0"/>
              <w:snapToGrid w:val="0"/>
              <w:spacing w:line="36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p>
        </w:tc>
        <w:tc>
          <w:tcPr>
            <w:tcW w:w="1815" w:type="dxa"/>
            <w:tcBorders>
              <w:top w:val="single" w:color="auto" w:sz="4" w:space="0"/>
            </w:tcBorders>
            <w:noWrap w:val="0"/>
            <w:vAlign w:val="center"/>
          </w:tcPr>
          <w:p>
            <w:pPr>
              <w:adjustRightInd w:val="0"/>
              <w:snapToGrid w:val="0"/>
              <w:spacing w:line="36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p>
        </w:tc>
        <w:tc>
          <w:tcPr>
            <w:tcW w:w="1521" w:type="dxa"/>
            <w:tcBorders>
              <w:top w:val="single" w:color="auto" w:sz="4" w:space="0"/>
            </w:tcBorders>
            <w:noWrap w:val="0"/>
            <w:vAlign w:val="center"/>
          </w:tcPr>
          <w:p>
            <w:pPr>
              <w:adjustRightInd w:val="0"/>
              <w:snapToGrid w:val="0"/>
              <w:spacing w:line="360" w:lineRule="exact"/>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jc w:val="center"/>
        </w:trPr>
        <w:tc>
          <w:tcPr>
            <w:tcW w:w="1955" w:type="dxa"/>
            <w:tcBorders>
              <w:top w:val="single" w:color="auto" w:sz="4" w:space="0"/>
              <w:bottom w:val="single" w:color="auto" w:sz="4" w:space="0"/>
            </w:tcBorders>
            <w:noWrap w:val="0"/>
            <w:vAlign w:val="center"/>
          </w:tcPr>
          <w:p>
            <w:pPr>
              <w:adjustRightInd w:val="0"/>
              <w:snapToGrid w:val="0"/>
              <w:spacing w:line="36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2024</w:t>
            </w:r>
          </w:p>
        </w:tc>
        <w:tc>
          <w:tcPr>
            <w:tcW w:w="1794" w:type="dxa"/>
            <w:noWrap w:val="0"/>
            <w:vAlign w:val="center"/>
          </w:tcPr>
          <w:p>
            <w:pPr>
              <w:adjustRightInd w:val="0"/>
              <w:snapToGrid w:val="0"/>
              <w:spacing w:line="36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w:t>
            </w:r>
          </w:p>
        </w:tc>
        <w:tc>
          <w:tcPr>
            <w:tcW w:w="1758" w:type="dxa"/>
            <w:noWrap w:val="0"/>
            <w:vAlign w:val="center"/>
          </w:tcPr>
          <w:p>
            <w:pPr>
              <w:adjustRightInd w:val="0"/>
              <w:snapToGrid w:val="0"/>
              <w:spacing w:line="36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p>
        </w:tc>
        <w:tc>
          <w:tcPr>
            <w:tcW w:w="1815" w:type="dxa"/>
            <w:noWrap w:val="0"/>
            <w:vAlign w:val="center"/>
          </w:tcPr>
          <w:p>
            <w:pPr>
              <w:adjustRightInd w:val="0"/>
              <w:snapToGrid w:val="0"/>
              <w:spacing w:line="36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p>
        </w:tc>
        <w:tc>
          <w:tcPr>
            <w:tcW w:w="1521" w:type="dxa"/>
            <w:noWrap w:val="0"/>
            <w:vAlign w:val="center"/>
          </w:tcPr>
          <w:p>
            <w:pPr>
              <w:adjustRightInd w:val="0"/>
              <w:snapToGrid w:val="0"/>
              <w:spacing w:line="360" w:lineRule="exact"/>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1955" w:type="dxa"/>
            <w:tcBorders>
              <w:top w:val="single" w:color="auto" w:sz="4" w:space="0"/>
            </w:tcBorders>
            <w:noWrap w:val="0"/>
            <w:vAlign w:val="center"/>
          </w:tcPr>
          <w:p>
            <w:pPr>
              <w:adjustRightInd w:val="0"/>
              <w:snapToGrid w:val="0"/>
              <w:spacing w:line="36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2025</w:t>
            </w:r>
          </w:p>
        </w:tc>
        <w:tc>
          <w:tcPr>
            <w:tcW w:w="1794" w:type="dxa"/>
            <w:noWrap w:val="0"/>
            <w:vAlign w:val="center"/>
          </w:tcPr>
          <w:p>
            <w:pPr>
              <w:adjustRightInd w:val="0"/>
              <w:snapToGrid w:val="0"/>
              <w:spacing w:line="36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w:t>
            </w:r>
          </w:p>
        </w:tc>
        <w:tc>
          <w:tcPr>
            <w:tcW w:w="1758" w:type="dxa"/>
            <w:noWrap w:val="0"/>
            <w:vAlign w:val="center"/>
          </w:tcPr>
          <w:p>
            <w:pPr>
              <w:adjustRightInd w:val="0"/>
              <w:snapToGrid w:val="0"/>
              <w:spacing w:line="36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p>
        </w:tc>
        <w:tc>
          <w:tcPr>
            <w:tcW w:w="1815" w:type="dxa"/>
            <w:noWrap w:val="0"/>
            <w:vAlign w:val="center"/>
          </w:tcPr>
          <w:p>
            <w:pPr>
              <w:adjustRightInd w:val="0"/>
              <w:snapToGrid w:val="0"/>
              <w:spacing w:line="36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p>
        </w:tc>
        <w:tc>
          <w:tcPr>
            <w:tcW w:w="1521" w:type="dxa"/>
            <w:noWrap w:val="0"/>
            <w:vAlign w:val="center"/>
          </w:tcPr>
          <w:p>
            <w:pPr>
              <w:adjustRightInd w:val="0"/>
              <w:snapToGrid w:val="0"/>
              <w:spacing w:line="360" w:lineRule="exact"/>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1955" w:type="dxa"/>
            <w:noWrap w:val="0"/>
            <w:vAlign w:val="center"/>
          </w:tcPr>
          <w:p>
            <w:pPr>
              <w:adjustRightInd w:val="0"/>
              <w:snapToGrid w:val="0"/>
              <w:spacing w:line="360" w:lineRule="exact"/>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合 计</w:t>
            </w:r>
          </w:p>
        </w:tc>
        <w:tc>
          <w:tcPr>
            <w:tcW w:w="1794" w:type="dxa"/>
            <w:noWrap w:val="0"/>
            <w:vAlign w:val="center"/>
          </w:tcPr>
          <w:p>
            <w:pPr>
              <w:adjustRightInd w:val="0"/>
              <w:snapToGrid w:val="0"/>
              <w:spacing w:line="360" w:lineRule="exact"/>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50</w:t>
            </w:r>
          </w:p>
        </w:tc>
        <w:tc>
          <w:tcPr>
            <w:tcW w:w="1758" w:type="dxa"/>
            <w:noWrap w:val="0"/>
            <w:vAlign w:val="center"/>
          </w:tcPr>
          <w:p>
            <w:pPr>
              <w:adjustRightInd w:val="0"/>
              <w:snapToGrid w:val="0"/>
              <w:spacing w:line="360" w:lineRule="exact"/>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30</w:t>
            </w:r>
          </w:p>
        </w:tc>
        <w:tc>
          <w:tcPr>
            <w:tcW w:w="1815" w:type="dxa"/>
            <w:noWrap w:val="0"/>
            <w:vAlign w:val="center"/>
          </w:tcPr>
          <w:p>
            <w:pPr>
              <w:adjustRightInd w:val="0"/>
              <w:snapToGrid w:val="0"/>
              <w:spacing w:line="360" w:lineRule="exact"/>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20</w:t>
            </w:r>
          </w:p>
        </w:tc>
        <w:tc>
          <w:tcPr>
            <w:tcW w:w="1521" w:type="dxa"/>
            <w:noWrap w:val="0"/>
            <w:vAlign w:val="center"/>
          </w:tcPr>
          <w:p>
            <w:pPr>
              <w:adjustRightInd w:val="0"/>
              <w:snapToGrid w:val="0"/>
              <w:spacing w:line="360" w:lineRule="exact"/>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100</w:t>
            </w:r>
          </w:p>
        </w:tc>
      </w:tr>
    </w:tbl>
    <w:p>
      <w:pPr>
        <w:pStyle w:val="2"/>
        <w:widowControl w:val="0"/>
        <w:adjustRightInd w:val="0"/>
        <w:snapToGrid w:val="0"/>
        <w:spacing w:after="0" w:line="560" w:lineRule="exact"/>
        <w:jc w:val="both"/>
        <w:rPr>
          <w:rFonts w:hint="default" w:hAnsi="黑体" w:cs="黑体"/>
          <w:bCs/>
          <w:color w:val="000000"/>
          <w:szCs w:val="32"/>
        </w:rPr>
      </w:pPr>
    </w:p>
    <w:p>
      <w:pPr>
        <w:rPr>
          <w:rFonts w:ascii="黑体" w:hAnsi="黑体" w:eastAsia="黑体" w:cs="黑体"/>
          <w:bCs/>
          <w:color w:val="000000"/>
          <w:sz w:val="32"/>
          <w:szCs w:val="32"/>
        </w:rPr>
      </w:pPr>
    </w:p>
    <w:p>
      <w:pPr>
        <w:pStyle w:val="2"/>
        <w:widowControl w:val="0"/>
        <w:adjustRightInd w:val="0"/>
        <w:snapToGrid w:val="0"/>
        <w:spacing w:after="0" w:line="560" w:lineRule="exact"/>
        <w:jc w:val="both"/>
        <w:rPr>
          <w:rFonts w:hint="default" w:hAnsi="黑体" w:cs="黑体"/>
          <w:bCs/>
          <w:color w:val="000000"/>
          <w:szCs w:val="32"/>
        </w:rPr>
      </w:pPr>
    </w:p>
    <w:p>
      <w:pPr>
        <w:pStyle w:val="2"/>
        <w:widowControl w:val="0"/>
        <w:adjustRightInd w:val="0"/>
        <w:snapToGrid w:val="0"/>
        <w:spacing w:after="0" w:line="560" w:lineRule="exact"/>
        <w:jc w:val="both"/>
        <w:rPr>
          <w:rFonts w:hint="default" w:hAnsi="黑体" w:cs="黑体"/>
          <w:bCs/>
          <w:color w:val="000000"/>
          <w:szCs w:val="32"/>
        </w:rPr>
      </w:pPr>
    </w:p>
    <w:p>
      <w:pPr>
        <w:pStyle w:val="2"/>
        <w:widowControl w:val="0"/>
        <w:adjustRightInd w:val="0"/>
        <w:snapToGrid w:val="0"/>
        <w:spacing w:after="0" w:line="560" w:lineRule="exact"/>
        <w:jc w:val="both"/>
        <w:rPr>
          <w:rFonts w:hint="default" w:hAnsi="黑体" w:cs="黑体"/>
          <w:bCs/>
          <w:color w:val="000000"/>
          <w:szCs w:val="32"/>
        </w:rPr>
      </w:pPr>
    </w:p>
    <w:p>
      <w:pPr>
        <w:pStyle w:val="2"/>
        <w:widowControl w:val="0"/>
        <w:adjustRightInd w:val="0"/>
        <w:snapToGrid w:val="0"/>
        <w:spacing w:after="0" w:line="560" w:lineRule="exact"/>
        <w:jc w:val="both"/>
        <w:rPr>
          <w:rFonts w:hint="default" w:hAnsi="黑体" w:cs="黑体"/>
          <w:bCs/>
          <w:color w:val="000000"/>
          <w:szCs w:val="32"/>
        </w:rPr>
      </w:pPr>
    </w:p>
    <w:p>
      <w:pPr>
        <w:pStyle w:val="2"/>
        <w:widowControl w:val="0"/>
        <w:adjustRightInd w:val="0"/>
        <w:snapToGrid w:val="0"/>
        <w:spacing w:after="0" w:line="560" w:lineRule="exact"/>
        <w:jc w:val="both"/>
        <w:rPr>
          <w:rFonts w:hint="default" w:hAnsi="黑体" w:cs="黑体"/>
          <w:bCs/>
          <w:color w:val="000000"/>
          <w:szCs w:val="32"/>
        </w:rPr>
      </w:pPr>
    </w:p>
    <w:p>
      <w:pPr>
        <w:rPr>
          <w:color w:val="000000"/>
        </w:rPr>
      </w:pPr>
    </w:p>
    <w:p>
      <w:pPr>
        <w:rPr>
          <w:color w:val="000000"/>
        </w:rPr>
      </w:pPr>
    </w:p>
    <w:p>
      <w:pPr>
        <w:pStyle w:val="2"/>
        <w:widowControl w:val="0"/>
        <w:adjustRightInd w:val="0"/>
        <w:snapToGrid w:val="0"/>
        <w:spacing w:after="0" w:line="560" w:lineRule="exact"/>
        <w:ind w:left="0" w:firstLine="0"/>
        <w:jc w:val="both"/>
        <w:rPr>
          <w:rFonts w:hint="default" w:hAnsi="黑体" w:cs="黑体"/>
          <w:bCs/>
          <w:color w:val="000000"/>
          <w:szCs w:val="32"/>
        </w:rPr>
      </w:pPr>
      <w:r>
        <w:rPr>
          <w:rFonts w:hAnsi="黑体" w:cs="黑体"/>
          <w:bCs/>
          <w:color w:val="000000"/>
          <w:szCs w:val="32"/>
        </w:rPr>
        <w:t>附件2</w:t>
      </w:r>
    </w:p>
    <w:p>
      <w:pPr>
        <w:adjustRightInd w:val="0"/>
        <w:snapToGrid w:val="0"/>
        <w:spacing w:line="560" w:lineRule="exact"/>
        <w:jc w:val="center"/>
        <w:rPr>
          <w:rFonts w:ascii="方正小标宋_GBK" w:hAnsi="方正小标宋_GBK" w:eastAsia="方正小标宋_GBK" w:cs="方正小标宋_GBK"/>
          <w:color w:val="000000"/>
          <w:sz w:val="44"/>
          <w:szCs w:val="44"/>
        </w:rPr>
      </w:pPr>
    </w:p>
    <w:p>
      <w:pPr>
        <w:adjustRightInd w:val="0"/>
        <w:snapToGrid w:val="0"/>
        <w:spacing w:line="56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青岛市星级农药经营门店服务规范</w:t>
      </w:r>
    </w:p>
    <w:p>
      <w:pPr>
        <w:spacing w:line="560" w:lineRule="exact"/>
        <w:rPr>
          <w:color w:val="000000"/>
        </w:rPr>
      </w:pP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依据《农药管理条例》《农药经营许可管理办法》《肥料登记管理办法》《农用薄膜管理办法》《农作物种子生产经营许可管理办法 》及配套规章，为提升青岛市农药经营门店（包括兼营肥料、种子、农膜等）服务水平，制定本规范。</w:t>
      </w:r>
    </w:p>
    <w:p>
      <w:pPr>
        <w:pStyle w:val="11"/>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一、场所安全化</w:t>
      </w:r>
    </w:p>
    <w:p>
      <w:pPr>
        <w:adjustRightInd w:val="0"/>
        <w:snapToGrid w:val="0"/>
        <w:spacing w:line="560" w:lineRule="exact"/>
        <w:ind w:firstLine="640" w:firstLineChars="200"/>
        <w:rPr>
          <w:rFonts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（一）</w:t>
      </w:r>
      <w:r>
        <w:rPr>
          <w:rFonts w:hint="eastAsia" w:ascii="仿宋_GB2312" w:hAnsi="仿宋_GB2312" w:eastAsia="仿宋_GB2312" w:cs="仿宋_GB2312"/>
          <w:color w:val="000000"/>
          <w:kern w:val="0"/>
          <w:sz w:val="32"/>
          <w:szCs w:val="32"/>
        </w:rPr>
        <w:t>经营场所和仓库的面积与所经营的农药品种、规模相适应，农药</w:t>
      </w:r>
      <w:r>
        <w:rPr>
          <w:rFonts w:hint="eastAsia" w:ascii="仿宋_GB2312" w:hAnsi="仿宋_GB2312" w:eastAsia="仿宋_GB2312" w:cs="仿宋_GB2312"/>
          <w:bCs/>
          <w:color w:val="000000"/>
          <w:sz w:val="32"/>
          <w:szCs w:val="32"/>
          <w:shd w:val="clear" w:color="auto" w:fill="FFFFFF"/>
        </w:rPr>
        <w:t>经营场所不少于30㎡，仓储场所不少于50㎡。</w:t>
      </w:r>
      <w:r>
        <w:rPr>
          <w:rFonts w:hint="eastAsia" w:ascii="仿宋_GB2312" w:hAnsi="仿宋_GB2312" w:eastAsia="仿宋_GB2312" w:cs="仿宋_GB2312"/>
          <w:color w:val="000000"/>
          <w:kern w:val="0"/>
          <w:sz w:val="32"/>
          <w:szCs w:val="32"/>
        </w:rPr>
        <w:t>农药经营场所和仓库布局合理，应分别与生活区域、</w:t>
      </w:r>
      <w:r>
        <w:rPr>
          <w:rFonts w:hint="eastAsia" w:ascii="仿宋_GB2312" w:hAnsi="仿宋_GB2312" w:eastAsia="仿宋_GB2312" w:cs="仿宋_GB2312"/>
          <w:bCs/>
          <w:color w:val="000000"/>
          <w:sz w:val="32"/>
          <w:szCs w:val="32"/>
          <w:shd w:val="clear" w:color="auto" w:fill="FFFFFF"/>
        </w:rPr>
        <w:t>饮用水源有效隔离</w:t>
      </w:r>
      <w:r>
        <w:rPr>
          <w:rFonts w:hint="eastAsia" w:ascii="仿宋_GB2312" w:hAnsi="仿宋_GB2312" w:eastAsia="仿宋_GB2312" w:cs="仿宋_GB2312"/>
          <w:color w:val="000000"/>
          <w:kern w:val="0"/>
          <w:sz w:val="32"/>
          <w:szCs w:val="32"/>
        </w:rPr>
        <w:t>，经营场所和仓库应相对独立，不能同室混用。</w:t>
      </w:r>
      <w:r>
        <w:rPr>
          <w:rFonts w:hint="eastAsia" w:ascii="仿宋_GB2312" w:hAnsi="仿宋_GB2312" w:eastAsia="仿宋_GB2312" w:cs="仿宋_GB2312"/>
          <w:bCs/>
          <w:color w:val="000000"/>
          <w:sz w:val="32"/>
          <w:szCs w:val="32"/>
          <w:shd w:val="clear" w:color="auto" w:fill="FFFFFF"/>
        </w:rPr>
        <w:t>兼营肥料、种子、农膜等其他农业投入品的，应当与农药经营区域相对独立。</w:t>
      </w:r>
    </w:p>
    <w:p>
      <w:pPr>
        <w:adjustRightInd w:val="0"/>
        <w:snapToGrid w:val="0"/>
        <w:spacing w:line="560" w:lineRule="exact"/>
        <w:ind w:firstLine="640" w:firstLineChars="200"/>
        <w:rPr>
          <w:rFonts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rPr>
        <w:t>（二）经营</w:t>
      </w:r>
      <w:r>
        <w:rPr>
          <w:rFonts w:hint="eastAsia" w:ascii="仿宋_GB2312" w:hAnsi="仿宋_GB2312" w:eastAsia="仿宋_GB2312" w:cs="仿宋_GB2312"/>
          <w:bCs/>
          <w:color w:val="000000"/>
          <w:sz w:val="32"/>
          <w:szCs w:val="32"/>
          <w:shd w:val="clear" w:color="auto" w:fill="FFFFFF"/>
        </w:rPr>
        <w:t>场所和仓储场所应当配备通风、消防、预防中毒等设施器材</w:t>
      </w:r>
      <w:r>
        <w:rPr>
          <w:rFonts w:hint="eastAsia" w:ascii="仿宋_GB2312" w:hAnsi="仿宋_GB2312" w:eastAsia="仿宋_GB2312" w:cs="仿宋_GB2312"/>
          <w:color w:val="000000"/>
          <w:sz w:val="32"/>
          <w:szCs w:val="32"/>
        </w:rPr>
        <w:t>并定期检验、维护，</w:t>
      </w:r>
      <w:r>
        <w:rPr>
          <w:rFonts w:hint="eastAsia" w:ascii="仿宋_GB2312" w:hAnsi="仿宋_GB2312" w:eastAsia="仿宋_GB2312" w:cs="仿宋_GB2312"/>
          <w:bCs/>
          <w:color w:val="000000"/>
          <w:sz w:val="32"/>
          <w:szCs w:val="32"/>
          <w:shd w:val="clear" w:color="auto" w:fill="FFFFFF"/>
        </w:rPr>
        <w:t>有与所经营农药品种、类别相适应的货架、柜台等展示陈列的设施设备。</w:t>
      </w:r>
    </w:p>
    <w:p>
      <w:pPr>
        <w:adjustRightInd w:val="0"/>
        <w:snapToGrid w:val="0"/>
        <w:spacing w:line="560" w:lineRule="exact"/>
        <w:ind w:firstLine="640" w:firstLineChars="200"/>
        <w:rPr>
          <w:color w:val="000000"/>
          <w:sz w:val="32"/>
          <w:szCs w:val="32"/>
        </w:rPr>
      </w:pPr>
      <w:r>
        <w:rPr>
          <w:rFonts w:hint="eastAsia" w:ascii="仿宋_GB2312" w:eastAsia="仿宋_GB2312" w:cs="仿宋_GB2312"/>
          <w:color w:val="000000"/>
          <w:sz w:val="32"/>
          <w:szCs w:val="32"/>
        </w:rPr>
        <w:t>（三）</w:t>
      </w:r>
      <w:r>
        <w:rPr>
          <w:rFonts w:hint="eastAsia" w:ascii="仿宋_GB2312" w:hAnsi="仿宋_GB2312" w:eastAsia="仿宋_GB2312" w:cs="仿宋_GB2312"/>
          <w:bCs/>
          <w:color w:val="000000"/>
          <w:sz w:val="32"/>
          <w:szCs w:val="32"/>
          <w:shd w:val="clear" w:color="auto" w:fill="FFFFFF"/>
        </w:rPr>
        <w:t>经营</w:t>
      </w:r>
      <w:r>
        <w:rPr>
          <w:rFonts w:hint="eastAsia" w:ascii="仿宋_GB2312" w:hAnsi="仿宋_GB2312" w:eastAsia="仿宋_GB2312" w:cs="仿宋_GB2312"/>
          <w:bCs/>
          <w:color w:val="000000"/>
          <w:sz w:val="32"/>
          <w:szCs w:val="32"/>
        </w:rPr>
        <w:t>限制使用农药的，应符合省级农业农村部门制定的定点经营布局，应设专区或专柜，单独隔离存放在不容易接触到的地方，并设置醒目标识，上锁；</w:t>
      </w:r>
      <w:r>
        <w:rPr>
          <w:rFonts w:hint="eastAsia" w:ascii="仿宋_GB2312" w:eastAsia="仿宋_GB2312" w:cs="仿宋_GB2312"/>
          <w:color w:val="000000"/>
          <w:sz w:val="32"/>
          <w:szCs w:val="32"/>
        </w:rPr>
        <w:t>经营卫生用农药的，应当将卫生用农药与其他商品分柜销售；经营其他农药的，不得在农药经营场所内经营食品、食用农产品、饲料等。</w:t>
      </w:r>
    </w:p>
    <w:p>
      <w:pPr>
        <w:adjustRightInd w:val="0"/>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二、环境卫生化</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w:t>
      </w:r>
      <w:r>
        <w:rPr>
          <w:rFonts w:hint="eastAsia" w:ascii="仿宋_GB2312" w:hAnsi="仿宋_GB2312" w:eastAsia="仿宋_GB2312" w:cs="仿宋_GB2312"/>
          <w:bCs/>
          <w:color w:val="000000"/>
          <w:sz w:val="32"/>
          <w:szCs w:val="32"/>
        </w:rPr>
        <w:t>经营场所</w:t>
      </w:r>
      <w:r>
        <w:rPr>
          <w:rFonts w:hint="eastAsia" w:ascii="仿宋_GB2312" w:hAnsi="仿宋_GB2312" w:eastAsia="仿宋_GB2312" w:cs="仿宋_GB2312"/>
          <w:color w:val="000000"/>
          <w:sz w:val="32"/>
          <w:szCs w:val="32"/>
        </w:rPr>
        <w:t>保持良好的通风和照明，店内店外干净整洁、环境美观、无杂物堆放。地面、墙壁、顶棚等内表面应当平整、光洁，门窗结构严密、易清洁。经营场所内设置住宿、厨卫等功能的，经营区与生活区要有效隔离。</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w:t>
      </w:r>
      <w:r>
        <w:rPr>
          <w:rFonts w:hint="eastAsia" w:ascii="仿宋_GB2312" w:hAnsi="仿宋_GB2312" w:eastAsia="仿宋_GB2312" w:cs="仿宋_GB2312"/>
          <w:bCs/>
          <w:color w:val="000000"/>
          <w:sz w:val="32"/>
          <w:szCs w:val="32"/>
          <w:shd w:val="clear" w:color="auto" w:fill="FFFFFF"/>
        </w:rPr>
        <w:t>仓储场所</w:t>
      </w:r>
      <w:r>
        <w:rPr>
          <w:rFonts w:hint="eastAsia" w:ascii="仿宋_GB2312" w:hAnsi="仿宋_GB2312" w:eastAsia="仿宋_GB2312" w:cs="仿宋_GB2312"/>
          <w:bCs/>
          <w:color w:val="000000"/>
          <w:sz w:val="32"/>
          <w:szCs w:val="32"/>
        </w:rPr>
        <w:t>不应设置在地下室、窑洞等易积水、受潮或者通道不畅通的地方。应设置排水、通风、照明、防虫、防鼠等基础设施。应设置过期或不合格农药存放专区。</w:t>
      </w:r>
    </w:p>
    <w:p>
      <w:pPr>
        <w:pStyle w:val="1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三、经营规范化</w:t>
      </w:r>
    </w:p>
    <w:p>
      <w:pPr>
        <w:pStyle w:val="10"/>
        <w:spacing w:line="560" w:lineRule="exact"/>
        <w:ind w:firstLine="640" w:firstLineChars="200"/>
        <w:rPr>
          <w:rFonts w:hAnsi="仿宋_GB2312" w:cs="仿宋_GB2312"/>
          <w:bCs/>
          <w:color w:val="000000"/>
          <w:sz w:val="32"/>
          <w:szCs w:val="32"/>
          <w:shd w:val="clear" w:color="auto" w:fill="FFFFFF"/>
        </w:rPr>
      </w:pPr>
      <w:r>
        <w:rPr>
          <w:rFonts w:hint="eastAsia" w:hAnsi="仿宋_GB2312" w:cs="仿宋_GB2312"/>
          <w:color w:val="000000"/>
          <w:sz w:val="32"/>
          <w:szCs w:val="32"/>
        </w:rPr>
        <w:t>（六）依法取得农药经营许可证，经营范围与经营许可证范围相符；</w:t>
      </w:r>
      <w:r>
        <w:rPr>
          <w:rFonts w:hint="eastAsia" w:hAnsi="仿宋_GB2312" w:cs="仿宋_GB2312"/>
          <w:bCs/>
          <w:color w:val="000000"/>
          <w:sz w:val="32"/>
          <w:szCs w:val="32"/>
          <w:shd w:val="clear" w:color="auto" w:fill="FFFFFF"/>
        </w:rPr>
        <w:t>有固定经营场所，与营业执照的注册地址一致</w:t>
      </w:r>
      <w:r>
        <w:rPr>
          <w:rFonts w:hAnsi="宋体" w:cs="仿宋_GB2312"/>
          <w:color w:val="000000"/>
          <w:kern w:val="0"/>
          <w:sz w:val="32"/>
          <w:szCs w:val="32"/>
          <w:lang w:bidi="ar"/>
        </w:rPr>
        <w:t>。相关证照、管理制度牌、承诺书等</w:t>
      </w:r>
      <w:r>
        <w:rPr>
          <w:rFonts w:hint="eastAsia" w:hAnsi="宋体" w:cs="仿宋_GB2312"/>
          <w:color w:val="000000"/>
          <w:kern w:val="0"/>
          <w:sz w:val="32"/>
          <w:szCs w:val="32"/>
          <w:lang w:bidi="ar"/>
        </w:rPr>
        <w:t>悬挂在明显位置。产品进货渠道正规，销售产品全部进货查验，包装标识、产品标签符合有关规定，不得</w:t>
      </w:r>
      <w:r>
        <w:rPr>
          <w:rFonts w:hint="eastAsia" w:hAnsi="仿宋_GB2312" w:cs="仿宋_GB2312"/>
          <w:bCs/>
          <w:color w:val="000000"/>
          <w:sz w:val="32"/>
          <w:szCs w:val="32"/>
          <w:shd w:val="clear" w:color="auto" w:fill="FFFFFF"/>
        </w:rPr>
        <w:t>销售</w:t>
      </w:r>
      <w:r>
        <w:rPr>
          <w:rFonts w:hint="eastAsia" w:hAnsi="宋体" w:cs="仿宋_GB2312"/>
          <w:color w:val="000000"/>
          <w:kern w:val="0"/>
          <w:sz w:val="32"/>
          <w:szCs w:val="32"/>
          <w:lang w:bidi="ar"/>
        </w:rPr>
        <w:t>“三无产品”、过期产品及包装标识不符合规</w:t>
      </w:r>
      <w:r>
        <w:rPr>
          <w:rFonts w:hint="eastAsia" w:hAnsi="仿宋_GB2312" w:cs="仿宋_GB2312"/>
          <w:bCs/>
          <w:color w:val="000000"/>
          <w:sz w:val="32"/>
          <w:szCs w:val="32"/>
          <w:shd w:val="clear" w:color="auto" w:fill="FFFFFF"/>
        </w:rPr>
        <w:t>定产品。不得销售未经登记或备案的肥料，不得销售国家明令禁止或者不符合强制性国家标准的农用薄膜。</w:t>
      </w:r>
    </w:p>
    <w:p>
      <w:pPr>
        <w:pStyle w:val="10"/>
        <w:spacing w:line="560" w:lineRule="exact"/>
        <w:ind w:firstLine="640" w:firstLineChars="200"/>
        <w:rPr>
          <w:rFonts w:hAnsi="仿宋_GB2312" w:cs="仿宋_GB2312"/>
          <w:color w:val="000000"/>
          <w:sz w:val="32"/>
          <w:szCs w:val="32"/>
        </w:rPr>
      </w:pPr>
      <w:r>
        <w:rPr>
          <w:rFonts w:hint="eastAsia" w:hAnsi="仿宋_GB2312" w:cs="仿宋_GB2312"/>
          <w:color w:val="000000"/>
          <w:sz w:val="32"/>
          <w:szCs w:val="32"/>
        </w:rPr>
        <w:t>（七）配备与经营农药相适应的货架、货柜，商品分类陈列、标识规范，杀虫剂、杀菌剂、除草剂、植物生长调节剂等农药分类摆放整齐，明码标价。不得加工、分装农药，不得在农药中添加任何物质，不得采购、销售包装和标签不符合规定，未附具产品质量检验合格证，未取得有关许可证明文件的农药。</w:t>
      </w:r>
    </w:p>
    <w:p>
      <w:pPr>
        <w:widowControl/>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shd w:val="clear" w:color="auto" w:fill="FFFFFF"/>
        </w:rPr>
        <w:t>（</w:t>
      </w:r>
      <w:r>
        <w:rPr>
          <w:rFonts w:hint="eastAsia" w:ascii="仿宋_GB2312" w:hAnsi="仿宋_GB2312" w:eastAsia="仿宋_GB2312" w:cs="仿宋_GB2312"/>
          <w:color w:val="000000"/>
          <w:sz w:val="32"/>
          <w:szCs w:val="32"/>
        </w:rPr>
        <w:t>八</w:t>
      </w:r>
      <w:r>
        <w:rPr>
          <w:rFonts w:hint="eastAsia" w:ascii="仿宋_GB2312" w:hAnsi="仿宋_GB2312" w:eastAsia="仿宋_GB2312" w:cs="仿宋_GB2312"/>
          <w:bCs/>
          <w:color w:val="000000"/>
          <w:sz w:val="32"/>
          <w:szCs w:val="32"/>
          <w:shd w:val="clear" w:color="auto" w:fill="FFFFFF"/>
        </w:rPr>
        <w:t>）</w:t>
      </w:r>
      <w:r>
        <w:rPr>
          <w:rFonts w:hint="eastAsia" w:ascii="仿宋_GB2312" w:hAnsi="仿宋_GB2312" w:eastAsia="仿宋_GB2312" w:cs="仿宋_GB2312"/>
          <w:color w:val="000000"/>
          <w:sz w:val="32"/>
          <w:szCs w:val="32"/>
        </w:rPr>
        <w:t>建立实名购买、溯源管理制度。销售限制使用农药的，应当确认购买人的真实身份，询问其使用目的与产品标注的使用范围是否相符，做到“对症开方、照方卖药”，不得误导购买人。</w:t>
      </w:r>
    </w:p>
    <w:p>
      <w:pPr>
        <w:pStyle w:val="11"/>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四、服务优质化</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sz w:val="32"/>
          <w:szCs w:val="32"/>
          <w:shd w:val="clear" w:color="auto" w:fill="FFFFFF"/>
        </w:rPr>
        <w:t>九</w:t>
      </w:r>
      <w:r>
        <w:rPr>
          <w:rFonts w:hint="eastAsia" w:ascii="仿宋_GB2312" w:hAnsi="仿宋_GB2312" w:eastAsia="仿宋_GB2312" w:cs="仿宋_GB2312"/>
          <w:color w:val="000000"/>
          <w:sz w:val="32"/>
          <w:szCs w:val="32"/>
        </w:rPr>
        <w:t>）有1名以上具备病虫草害防治、农药使用、农药管理等方面专业知识的在店销售人员，熟练掌握相关法律法规，熟知当地农作物生产、病虫草害种类、标签标注内容、使用技术及注意事项，</w:t>
      </w:r>
      <w:r>
        <w:rPr>
          <w:rFonts w:hint="eastAsia" w:ascii="仿宋_GB2312" w:eastAsia="仿宋_GB2312" w:cs="仿宋_GB2312"/>
          <w:color w:val="000000"/>
          <w:sz w:val="32"/>
          <w:szCs w:val="32"/>
        </w:rPr>
        <w:t>向购买人</w:t>
      </w:r>
      <w:r>
        <w:rPr>
          <w:rFonts w:hint="eastAsia" w:ascii="仿宋_GB2312" w:hAnsi="仿宋_GB2312" w:eastAsia="仿宋_GB2312" w:cs="仿宋_GB2312"/>
          <w:color w:val="000000"/>
          <w:sz w:val="32"/>
          <w:szCs w:val="32"/>
          <w:shd w:val="clear" w:color="auto" w:fill="FFFFFF"/>
        </w:rPr>
        <w:t>说明产品的性能、用法、用量和注意事项，并提供销售凭证。</w:t>
      </w:r>
      <w:r>
        <w:rPr>
          <w:rFonts w:hint="eastAsia" w:ascii="仿宋_GB2312" w:eastAsia="仿宋_GB2312" w:cs="仿宋_GB2312"/>
          <w:color w:val="000000"/>
          <w:sz w:val="32"/>
          <w:szCs w:val="32"/>
        </w:rPr>
        <w:t>根据病虫害发生情况等实际需要科学推荐产品，必要时应当实地查看病虫害发生情况等，</w:t>
      </w:r>
      <w:r>
        <w:rPr>
          <w:rFonts w:hint="eastAsia" w:ascii="仿宋_GB2312" w:hAnsi="仿宋_GB2312" w:eastAsia="仿宋_GB2312" w:cs="仿宋_GB2312"/>
          <w:color w:val="000000"/>
          <w:sz w:val="32"/>
          <w:szCs w:val="32"/>
        </w:rPr>
        <w:t>指导农民安全合理用药、施肥、用种。</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做好售后服务，及时处理客户意见和建议，妥善处理药害、肥害、种子事故。坚决反对恶性竞争、掺杂使假、哄抬药价等扰乱市场秩序的不正当行为和违法行为，主动向当地监管、执法部门举报周边或同行存在的违法违规行为。</w:t>
      </w:r>
    </w:p>
    <w:p>
      <w:pPr>
        <w:pStyle w:val="10"/>
        <w:spacing w:line="560" w:lineRule="exact"/>
        <w:ind w:firstLine="640" w:firstLineChars="200"/>
        <w:rPr>
          <w:rFonts w:hAnsi="仿宋_GB2312" w:cs="仿宋_GB2312"/>
          <w:color w:val="000000"/>
          <w:sz w:val="32"/>
          <w:szCs w:val="32"/>
        </w:rPr>
      </w:pPr>
      <w:r>
        <w:rPr>
          <w:rFonts w:hint="eastAsia" w:hAnsi="仿宋_GB2312" w:cs="仿宋_GB2312"/>
          <w:color w:val="000000"/>
          <w:sz w:val="32"/>
          <w:szCs w:val="32"/>
        </w:rPr>
        <w:t>（十一）积极拓展业务范围，发挥自身农资品种全、成本低、质量好的优势，以托管、半托管等方式为农户提供病虫害防控整体解决方案和测土配方服务等，逐步由“</w:t>
      </w:r>
      <w:r>
        <w:rPr>
          <w:rFonts w:hint="eastAsia"/>
          <w:color w:val="000000"/>
          <w:sz w:val="32"/>
          <w:szCs w:val="32"/>
        </w:rPr>
        <w:t>卖农</w:t>
      </w:r>
      <w:r>
        <w:rPr>
          <w:rFonts w:hint="eastAsia" w:hAnsi="仿宋_GB2312" w:cs="仿宋_GB2312"/>
          <w:color w:val="000000"/>
          <w:sz w:val="32"/>
          <w:szCs w:val="32"/>
        </w:rPr>
        <w:t>资”向“</w:t>
      </w:r>
      <w:r>
        <w:rPr>
          <w:rFonts w:hint="eastAsia"/>
          <w:color w:val="000000"/>
          <w:sz w:val="32"/>
          <w:szCs w:val="32"/>
        </w:rPr>
        <w:t>卖农</w:t>
      </w:r>
      <w:r>
        <w:rPr>
          <w:rFonts w:hint="eastAsia" w:hAnsi="仿宋_GB2312" w:cs="仿宋_GB2312"/>
          <w:color w:val="000000"/>
          <w:sz w:val="32"/>
          <w:szCs w:val="32"/>
        </w:rPr>
        <w:t>资+卖服务”转变。</w:t>
      </w:r>
    </w:p>
    <w:p>
      <w:pPr>
        <w:adjustRightInd w:val="0"/>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五、管理数字化</w:t>
      </w:r>
    </w:p>
    <w:p>
      <w:pPr>
        <w:pStyle w:val="10"/>
        <w:spacing w:line="560" w:lineRule="exact"/>
        <w:ind w:firstLine="640" w:firstLineChars="200"/>
        <w:rPr>
          <w:rFonts w:hAnsi="仿宋_GB2312" w:cs="仿宋_GB2312"/>
          <w:sz w:val="32"/>
          <w:szCs w:val="32"/>
        </w:rPr>
      </w:pPr>
      <w:r>
        <w:rPr>
          <w:rFonts w:hint="eastAsia" w:hAnsi="仿宋_GB2312" w:cs="仿宋_GB2312"/>
          <w:color w:val="000000"/>
          <w:sz w:val="32"/>
          <w:szCs w:val="32"/>
        </w:rPr>
        <w:t>（十二）配备电脑</w:t>
      </w:r>
      <w:r>
        <w:rPr>
          <w:rFonts w:hint="eastAsia" w:hAnsi="仿宋_GB2312" w:cs="仿宋_GB2312"/>
          <w:sz w:val="32"/>
          <w:szCs w:val="32"/>
        </w:rPr>
        <w:t>、网络、可追溯电子信息码扫描识别设备，网络流畅、扫描工具使用状态良好，销售记录及时上传农药经营信息化平台，平台上传率达到100%。</w:t>
      </w:r>
    </w:p>
    <w:p>
      <w:pPr>
        <w:pStyle w:val="5"/>
        <w:widowControl/>
        <w:spacing w:before="0" w:beforeAutospacing="0" w:after="0" w:afterAutospacing="0" w:line="560" w:lineRule="exact"/>
        <w:ind w:firstLine="645"/>
        <w:jc w:val="both"/>
        <w:rPr>
          <w:rFonts w:ascii="仿宋_GB2312" w:eastAsia="仿宋_GB2312" w:cs="仿宋_GB2312"/>
          <w:sz w:val="32"/>
          <w:szCs w:val="32"/>
        </w:rPr>
      </w:pPr>
      <w:r>
        <w:rPr>
          <w:rFonts w:hint="eastAsia" w:ascii="仿宋_GB2312" w:hAnsi="仿宋_GB2312" w:eastAsia="仿宋_GB2312" w:cs="仿宋_GB2312"/>
          <w:sz w:val="32"/>
          <w:szCs w:val="32"/>
        </w:rPr>
        <w:t>（十三）建立产品购销档案（记录、台账），</w:t>
      </w:r>
      <w:r>
        <w:rPr>
          <w:rFonts w:hint="eastAsia" w:ascii="仿宋_GB2312" w:eastAsia="仿宋_GB2312" w:cs="仿宋_GB2312"/>
          <w:sz w:val="32"/>
          <w:szCs w:val="32"/>
        </w:rPr>
        <w:t>如实记录农药、肥料、种子、农膜等农业投入品的名称、规格、批号、价格、进货数量（销售数量）、生产企业、供货人（购买人）、进货日期（销售日期）及联系方式等内</w:t>
      </w:r>
      <w:r>
        <w:rPr>
          <w:rFonts w:hint="eastAsia" w:ascii="仿宋_GB2312" w:hAnsi="仿宋_GB2312" w:eastAsia="仿宋_GB2312" w:cs="仿宋_GB2312"/>
          <w:sz w:val="32"/>
          <w:szCs w:val="32"/>
        </w:rPr>
        <w:t>容，相关台账保存两</w:t>
      </w:r>
      <w:r>
        <w:rPr>
          <w:rFonts w:hint="eastAsia" w:ascii="仿宋_GB2312" w:eastAsia="仿宋_GB2312" w:cs="仿宋_GB2312"/>
          <w:sz w:val="32"/>
          <w:szCs w:val="32"/>
        </w:rPr>
        <w:t>年以上。鼓励将纸质台账转换为电子台账，以方便保存。</w:t>
      </w:r>
    </w:p>
    <w:p>
      <w:pPr>
        <w:adjustRightInd w:val="0"/>
        <w:snapToGrid w:val="0"/>
        <w:spacing w:line="560" w:lineRule="exact"/>
        <w:ind w:firstLine="640" w:firstLineChars="200"/>
        <w:rPr>
          <w:rFonts w:ascii="仿宋_GB2312" w:hAnsi="宋体" w:eastAsia="仿宋_GB2312" w:cs="仿宋_GB2312"/>
          <w:kern w:val="0"/>
          <w:sz w:val="32"/>
          <w:szCs w:val="32"/>
          <w:lang w:bidi="ar"/>
        </w:rPr>
      </w:pPr>
      <w:r>
        <w:rPr>
          <w:rFonts w:hint="eastAsia" w:ascii="仿宋_GB2312" w:hAnsi="仿宋_GB2312" w:eastAsia="仿宋_GB2312" w:cs="仿宋_GB2312"/>
          <w:sz w:val="32"/>
          <w:szCs w:val="32"/>
        </w:rPr>
        <w:t>（十四）从事电子商务经营农药的，应当在互联网</w:t>
      </w:r>
      <w:r>
        <w:rPr>
          <w:rFonts w:ascii="仿宋_GB2312" w:hAnsi="宋体" w:eastAsia="仿宋_GB2312" w:cs="仿宋_GB2312"/>
          <w:kern w:val="0"/>
          <w:sz w:val="32"/>
          <w:szCs w:val="32"/>
          <w:lang w:bidi="ar"/>
        </w:rPr>
        <w:t>平台醒目标注营业执照、农药经营许可证等信息，自觉接受</w:t>
      </w:r>
      <w:r>
        <w:rPr>
          <w:rFonts w:hint="eastAsia" w:ascii="仿宋_GB2312" w:hAnsi="宋体" w:eastAsia="仿宋_GB2312" w:cs="仿宋_GB2312"/>
          <w:kern w:val="0"/>
          <w:sz w:val="32"/>
          <w:szCs w:val="32"/>
          <w:lang w:bidi="ar"/>
        </w:rPr>
        <w:t>社会监督。</w:t>
      </w:r>
      <w:r>
        <w:rPr>
          <w:rFonts w:ascii="仿宋_GB2312" w:hAnsi="宋体" w:eastAsia="仿宋_GB2312" w:cs="仿宋_GB2312"/>
          <w:kern w:val="0"/>
          <w:sz w:val="32"/>
          <w:szCs w:val="32"/>
          <w:lang w:bidi="ar"/>
        </w:rPr>
        <w:t>限制使用农药不得利用互联网经营</w:t>
      </w:r>
      <w:r>
        <w:rPr>
          <w:rFonts w:hint="eastAsia" w:ascii="仿宋_GB2312" w:hAnsi="宋体" w:eastAsia="仿宋_GB2312" w:cs="仿宋_GB2312"/>
          <w:kern w:val="0"/>
          <w:sz w:val="32"/>
          <w:szCs w:val="32"/>
          <w:lang w:bidi="ar"/>
        </w:rPr>
        <w:t>。</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六、回收无害化</w:t>
      </w:r>
    </w:p>
    <w:p>
      <w:pPr>
        <w:tabs>
          <w:tab w:val="left" w:pos="1680"/>
        </w:tabs>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切实履行回收义务，设置农药包装废弃物回收桶（箱）等，加强相关设施设备、场所的管理和维护，注意做好防雨防漏和失窃等工作。建立健全回收台账，回收台账保存两年以上，不得拒收其销售农药的包装废弃物，努力做到应收尽收。</w:t>
      </w:r>
    </w:p>
    <w:p>
      <w:pPr>
        <w:tabs>
          <w:tab w:val="left" w:pos="1680"/>
        </w:tabs>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积极主动宣传农药包装废弃物回收法律法规，增强农民环境保护意识。对收集的农药包装废弃物进行妥善贮存，不得擅自倾倒、堆放、遗撒，及时转运至镇街回收点。做好个人防护，防止残留农药对人体造成伤害。</w:t>
      </w:r>
    </w:p>
    <w:p>
      <w:pPr>
        <w:rPr>
          <w:rFonts w:ascii="黑体" w:hAnsi="黑体" w:eastAsia="黑体" w:cs="黑体"/>
          <w:bCs/>
          <w:sz w:val="32"/>
          <w:szCs w:val="32"/>
        </w:rPr>
      </w:pPr>
    </w:p>
    <w:p>
      <w:pPr>
        <w:rPr>
          <w:rFonts w:ascii="黑体" w:hAnsi="黑体" w:eastAsia="黑体" w:cs="黑体"/>
          <w:bCs/>
          <w:sz w:val="32"/>
          <w:szCs w:val="32"/>
        </w:rPr>
      </w:pPr>
    </w:p>
    <w:p>
      <w:pPr>
        <w:rPr>
          <w:rFonts w:ascii="黑体" w:hAnsi="黑体" w:eastAsia="黑体" w:cs="黑体"/>
          <w:bCs/>
          <w:sz w:val="32"/>
          <w:szCs w:val="32"/>
        </w:rPr>
      </w:pPr>
    </w:p>
    <w:p>
      <w:pPr>
        <w:pStyle w:val="2"/>
        <w:widowControl w:val="0"/>
        <w:adjustRightInd w:val="0"/>
        <w:snapToGrid w:val="0"/>
        <w:spacing w:after="0" w:line="560" w:lineRule="exact"/>
        <w:ind w:left="0" w:firstLine="0"/>
        <w:jc w:val="both"/>
        <w:rPr>
          <w:rFonts w:hint="default" w:hAnsi="黑体" w:cs="黑体"/>
          <w:bCs/>
          <w:color w:val="auto"/>
          <w:szCs w:val="32"/>
        </w:rPr>
      </w:pPr>
      <w:r>
        <w:rPr>
          <w:rFonts w:hAnsi="黑体" w:cs="黑体"/>
          <w:bCs/>
          <w:color w:val="auto"/>
          <w:szCs w:val="32"/>
        </w:rPr>
        <w:t xml:space="preserve">附件3 </w:t>
      </w:r>
    </w:p>
    <w:p>
      <w:pPr>
        <w:spacing w:line="560" w:lineRule="exact"/>
        <w:jc w:val="center"/>
        <w:rPr>
          <w:rFonts w:ascii="方正小标宋简体" w:eastAsia="方正小标宋简体"/>
          <w:sz w:val="44"/>
          <w:szCs w:val="44"/>
        </w:rPr>
      </w:pPr>
    </w:p>
    <w:p>
      <w:pPr>
        <w:adjustRightInd w:val="0"/>
        <w:snapToGrid w:val="0"/>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青岛市星级兽药经营门店服务规范</w:t>
      </w:r>
    </w:p>
    <w:p>
      <w:pPr>
        <w:spacing w:line="560" w:lineRule="exact"/>
        <w:ind w:firstLine="707" w:firstLineChars="221"/>
        <w:rPr>
          <w:rFonts w:ascii="黑体" w:hAnsi="黑体" w:eastAsia="黑体"/>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依据《兽药管理条例》《饲料和饲料添加剂管理条例》《兽药经营质量管理规范》及配套规章，为提升青岛市兽药经营门店（包括兼营饲料和饲料添加剂等）服务水平，制定本规范。</w:t>
      </w:r>
    </w:p>
    <w:p>
      <w:pPr>
        <w:pStyle w:val="11"/>
        <w:spacing w:line="560" w:lineRule="exact"/>
        <w:ind w:firstLine="640" w:firstLineChars="200"/>
      </w:pPr>
      <w:r>
        <w:rPr>
          <w:rFonts w:hint="eastAsia" w:ascii="黑体" w:hAnsi="黑体" w:eastAsia="黑体" w:cs="黑体"/>
          <w:sz w:val="32"/>
          <w:szCs w:val="32"/>
        </w:rPr>
        <w:t>一、场所安全化</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经营场所和仓库布局合理、相对独立，不能同室混用，并应分别与生活、居住区域独立设置。兽药经营门店兼营饲料等非兽药产品或从事动物诊疗活动的，兽药经营区域应独立设置，有独立的出入口，不能与动物诊疗共用一个营业场所，防止交叉污染。经营或存放兽用精神药品、毒性药品、麻醉药品、放射性药品、易制毒化学药品等的，应配备保险柜</w:t>
      </w:r>
      <w:r>
        <w:rPr>
          <w:rFonts w:hint="eastAsia" w:ascii="仿宋_GB2312" w:hAnsi="仿宋_GB2312" w:eastAsia="仿宋_GB2312" w:cs="仿宋_GB2312"/>
          <w:color w:val="000000"/>
          <w:kern w:val="0"/>
          <w:sz w:val="32"/>
          <w:szCs w:val="32"/>
        </w:rPr>
        <w:t>和</w:t>
      </w:r>
      <w:r>
        <w:rPr>
          <w:rFonts w:hint="eastAsia" w:ascii="仿宋_GB2312" w:hAnsi="仿宋_GB2312" w:eastAsia="仿宋_GB2312" w:cs="仿宋_GB2312"/>
          <w:kern w:val="0"/>
          <w:sz w:val="32"/>
          <w:szCs w:val="32"/>
        </w:rPr>
        <w:t>安全监控设施设备，并配置相应的消防安全设施。</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（二）经营场所和仓库的面积与所经营的兽药品种、规模相适应。经营场所不少于20㎡、仓库面积不少于30㎡，兼营兽用生物制品的经营面积不少于30㎡，其中用于存放冷冻库</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柜</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、冷藏库</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柜</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的总面积不少于10㎡。从事连锁经营的兽药经营企业，总部仓储面积不少于100㎡。</w:t>
      </w:r>
    </w:p>
    <w:p>
      <w:pPr>
        <w:adjustRightInd w:val="0"/>
        <w:snapToGrid w:val="0"/>
        <w:spacing w:line="560" w:lineRule="exact"/>
        <w:ind w:firstLine="640" w:firstLineChars="200"/>
        <w:rPr>
          <w:rFonts w:eastAsia="仿宋_GB2312"/>
          <w:kern w:val="0"/>
          <w:sz w:val="32"/>
          <w:szCs w:val="32"/>
        </w:rPr>
      </w:pPr>
      <w:r>
        <w:rPr>
          <w:rFonts w:hint="eastAsia" w:ascii="仿宋_GB2312" w:hAnsi="仿宋_GB2312" w:eastAsia="仿宋_GB2312" w:cs="仿宋_GB2312"/>
          <w:kern w:val="0"/>
          <w:sz w:val="32"/>
          <w:szCs w:val="32"/>
        </w:rPr>
        <w:t>（三）经营场所和仓库应当配置与经营品种、规模相适应的货架、柜台，以及常温库、阴凉库、冷冻库（柜）、冷藏库（柜</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等设施设备，并根据所经营兽药品种的储存要求，设置合乎标准的温度湿度。仓库内应设置待检区、合格区、不合格（退货）区等各类区域，并有明显标识。经营兽用生物制品的，应有真空检测仪以及温度监控系统等设施设备，或具有相关产品停电后的保温办法。</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二、环境卫生化</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bCs/>
          <w:sz w:val="32"/>
          <w:szCs w:val="32"/>
        </w:rPr>
        <w:t>经营场所</w:t>
      </w:r>
      <w:r>
        <w:rPr>
          <w:rFonts w:hint="eastAsia" w:ascii="仿宋_GB2312" w:hAnsi="仿宋_GB2312" w:eastAsia="仿宋_GB2312" w:cs="仿宋_GB2312"/>
          <w:sz w:val="32"/>
          <w:szCs w:val="32"/>
        </w:rPr>
        <w:t>保持良好的通风和照明，店内店外干净整洁、环境美观、无杂物堆放。地面、墙壁、顶棚等内表面应当平整、光洁，门窗结构严密、易清洁。经营场所内设置住宿、厨卫等功能的，经营区与生活区要有效隔离。</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bCs/>
          <w:sz w:val="32"/>
          <w:szCs w:val="32"/>
          <w:shd w:val="clear" w:color="auto" w:fill="FFFFFF"/>
        </w:rPr>
        <w:t>仓储场所</w:t>
      </w:r>
      <w:r>
        <w:rPr>
          <w:rFonts w:hint="eastAsia" w:ascii="仿宋_GB2312" w:hAnsi="仿宋_GB2312" w:eastAsia="仿宋_GB2312" w:cs="仿宋_GB2312"/>
          <w:bCs/>
          <w:sz w:val="32"/>
          <w:szCs w:val="32"/>
        </w:rPr>
        <w:t>不应设置在地下室、窑洞等易积水、受潮或者通道不畅通的地方。应设置排水、通风、照明、</w:t>
      </w:r>
      <w:r>
        <w:rPr>
          <w:rFonts w:hint="eastAsia" w:ascii="仿宋_GB2312" w:hAnsi="仿宋_GB2312" w:eastAsia="仿宋_GB2312" w:cs="仿宋_GB2312"/>
          <w:kern w:val="0"/>
          <w:sz w:val="32"/>
          <w:szCs w:val="32"/>
        </w:rPr>
        <w:t>防潮、防霉、</w:t>
      </w:r>
      <w:r>
        <w:rPr>
          <w:rFonts w:hint="eastAsia" w:ascii="仿宋_GB2312" w:hAnsi="仿宋_GB2312" w:eastAsia="仿宋_GB2312" w:cs="仿宋_GB2312"/>
          <w:bCs/>
          <w:sz w:val="32"/>
          <w:szCs w:val="32"/>
        </w:rPr>
        <w:t>防虫、防鼠、</w:t>
      </w:r>
      <w:r>
        <w:rPr>
          <w:rFonts w:hint="eastAsia" w:ascii="仿宋_GB2312" w:hAnsi="仿宋_GB2312" w:eastAsia="仿宋_GB2312" w:cs="仿宋_GB2312"/>
          <w:kern w:val="0"/>
          <w:sz w:val="32"/>
          <w:szCs w:val="32"/>
        </w:rPr>
        <w:t>防冻、防污染</w:t>
      </w:r>
      <w:r>
        <w:rPr>
          <w:rFonts w:hint="eastAsia" w:ascii="仿宋_GB2312" w:hAnsi="仿宋_GB2312" w:eastAsia="仿宋_GB2312" w:cs="仿宋_GB2312"/>
          <w:bCs/>
          <w:sz w:val="32"/>
          <w:szCs w:val="32"/>
        </w:rPr>
        <w:t>等基础设施，应设置过期或不合格兽药存放专区。</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（六）经营场所的货架、柜台及相关设施设备齐全、整洁、完好，兽药分类摆放整齐。经营兽用中</w:t>
      </w:r>
      <w:r>
        <w:rPr>
          <w:rFonts w:hint="eastAsia" w:ascii="仿宋_GB2312" w:eastAsia="仿宋_GB2312"/>
          <w:sz w:val="32"/>
          <w:szCs w:val="32"/>
        </w:rPr>
        <w:t>药材的，应当设置</w:t>
      </w:r>
      <w:r>
        <w:rPr>
          <w:rFonts w:hint="eastAsia" w:ascii="仿宋_GB2312" w:hAnsi="仿宋_GB2312" w:eastAsia="仿宋_GB2312" w:cs="仿宋_GB2312"/>
          <w:sz w:val="32"/>
          <w:szCs w:val="32"/>
        </w:rPr>
        <w:t>中药材专柜并注明产地；经</w:t>
      </w:r>
      <w:r>
        <w:rPr>
          <w:rFonts w:hint="eastAsia" w:ascii="仿宋_GB2312" w:eastAsia="仿宋_GB2312"/>
          <w:sz w:val="32"/>
          <w:szCs w:val="32"/>
        </w:rPr>
        <w:t>营固体氯制消毒剂的，应当</w:t>
      </w:r>
      <w:r>
        <w:rPr>
          <w:rFonts w:hint="eastAsia" w:ascii="仿宋_GB2312" w:hAnsi="仿宋_GB2312" w:eastAsia="仿宋_GB2312" w:cs="仿宋_GB2312"/>
          <w:sz w:val="32"/>
          <w:szCs w:val="32"/>
        </w:rPr>
        <w:t>设置相对独立的专库，并保持阴凉、避光、通风和干燥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兽药存储</w:t>
      </w:r>
      <w:r>
        <w:rPr>
          <w:rFonts w:ascii="仿宋_GB2312" w:hAnsi="仿宋_GB2312" w:eastAsia="仿宋_GB2312" w:cs="仿宋_GB2312"/>
          <w:sz w:val="32"/>
          <w:szCs w:val="32"/>
        </w:rPr>
        <w:t>时不得</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兽药存放在食品、饮料等易受污染的物品附近，也不得将兽药与食品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饲料混放或</w:t>
      </w:r>
      <w:r>
        <w:rPr>
          <w:rFonts w:hint="eastAsia" w:ascii="仿宋_GB2312" w:hAnsi="仿宋_GB2312" w:eastAsia="仿宋_GB2312" w:cs="仿宋_GB2312"/>
          <w:sz w:val="32"/>
          <w:szCs w:val="32"/>
        </w:rPr>
        <w:t>混</w:t>
      </w:r>
      <w:r>
        <w:rPr>
          <w:rFonts w:ascii="仿宋_GB2312" w:hAnsi="仿宋_GB2312" w:eastAsia="仿宋_GB2312" w:cs="仿宋_GB2312"/>
          <w:sz w:val="32"/>
          <w:szCs w:val="32"/>
        </w:rPr>
        <w:t>存。</w:t>
      </w:r>
    </w:p>
    <w:p>
      <w:pPr>
        <w:pStyle w:val="1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三、经营规范化</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依法取得兽药经营许可证和营业执照，经营范围与经营许可证范围相符；有固定经营场所，与营业执照的注册地址一致；在经营场所显著位置悬挂《兽药经营许可证》和《营业执照》。不得销售标识不清、外包装破损、超过有效期限的兽药，不得拆开最小销售单元，禁止经营人用药品和假劣兽药。兼营饲料和饲料添加剂的，不得销售无产品标签、无生产许可证、无产品质量标准、无产品质量检验合格证的饲料、饲料添加剂；不得销售无产品批准文号的饲料添加剂、添加剂预混合饲料；不得销售未取得饲料、饲料添加剂进口登记证的进口饲料、进口饲料添加剂。</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（八）购进兽药</w:t>
      </w:r>
      <w:r>
        <w:rPr>
          <w:rFonts w:hint="eastAsia" w:ascii="仿宋_GB2312" w:hAnsi="仿宋_GB2312" w:eastAsia="仿宋_GB2312" w:cs="仿宋_GB2312"/>
          <w:sz w:val="32"/>
          <w:szCs w:val="32"/>
        </w:rPr>
        <w:t>要加强质量验收，包括：兽药产品合格证、兽药标签、兽药产品电子追溯二维码等。</w:t>
      </w:r>
      <w:r>
        <w:rPr>
          <w:rFonts w:hint="eastAsia" w:ascii="仿宋_GB2312" w:hAnsi="仿宋_GB2312" w:eastAsia="仿宋_GB2312" w:cs="仿宋_GB2312"/>
          <w:kern w:val="0"/>
          <w:sz w:val="32"/>
          <w:szCs w:val="32"/>
        </w:rPr>
        <w:t>应确定供货单位的资质和信誉，审核所购兽药的合法性和质量可靠性，审核兽药产品供货单位销售人员的合法资格，签订有明确质量保证条款的采购合同。对首次经营品种进行合法性和质量情况审核，包括：兽药产品批准文号批件、兽药质量标准、产品检验报告单等。</w:t>
      </w:r>
    </w:p>
    <w:p>
      <w:pPr>
        <w:adjustRightInd w:val="0"/>
        <w:snapToGrid w:val="0"/>
        <w:spacing w:line="560" w:lineRule="exact"/>
        <w:ind w:firstLine="640" w:firstLineChars="200"/>
        <w:rPr>
          <w:rFonts w:eastAsia="仿宋_GB2312"/>
          <w:kern w:val="0"/>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kern w:val="0"/>
          <w:sz w:val="32"/>
          <w:szCs w:val="32"/>
        </w:rPr>
        <w:t>做好库房温度、湿度的监测和管理，每天应当定时记录温度、湿度。库房温度、湿度超出</w:t>
      </w:r>
      <w:r>
        <w:rPr>
          <w:rFonts w:eastAsia="仿宋_GB2312"/>
          <w:kern w:val="0"/>
          <w:sz w:val="32"/>
          <w:szCs w:val="32"/>
        </w:rPr>
        <w:t>规定范围后应及时采取措施，并做好记录。</w:t>
      </w:r>
      <w:r>
        <w:rPr>
          <w:rFonts w:hint="eastAsia" w:ascii="仿宋_GB2312" w:eastAsia="仿宋_GB2312"/>
          <w:sz w:val="32"/>
          <w:szCs w:val="32"/>
        </w:rPr>
        <w:t>兽用生物制品冷链贮存、运输全过程应当处于规定的贮藏温度环境下，在冷链运输过程中，应配备使用可全程记录温度的设备，并建立冷链运输记录。</w:t>
      </w:r>
    </w:p>
    <w:p>
      <w:pPr>
        <w:pStyle w:val="11"/>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四、服务优质化</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设立固定、合理的兽药质量管理、采购、保管、销售等责任人员，各责任人员职责明确。从事质量管理人员应具有兽药、兽医、水产等相关专业大专以上学历，或具有执业兽医资格证书，或具有兽药、兽医、水产等相关专业中级以上技术职称；从事兽药采购、保管、销售、技术服务等工作的人员，应具有高中（或中专）以上学历，并具有能满足本岗位需要的相关专业知识。兽药质量管理人员不得在本企业以外的其他单位兼职。</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按照产品标签、说明书及其他规定进行宣传，不得误导购买者；应当向购买者提供技术咨询服务，详细说明兽药的功能主治、用法、用量和注意事项，并应客户要求提供上门服务。在经营场所明示服务公约和质量承诺，指导购买者科学、安全、合理使用兽药。发现假劣兽药和质量可疑兽药以及严重兽药不良反应时，应当及时向当地有关部门报告并做好相关工作。</w:t>
      </w:r>
    </w:p>
    <w:p>
      <w:pPr>
        <w:adjustRightInd w:val="0"/>
        <w:snapToGrid w:val="0"/>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（十二）兽用处方药应凭兽医处方销售，留存处方并保存至少两年。经营场所在明显位置悬挂或者张贴“兽用处</w:t>
      </w:r>
      <w:r>
        <w:rPr>
          <w:rFonts w:hint="eastAsia" w:ascii="仿宋_GB2312" w:eastAsia="仿宋_GB2312"/>
          <w:sz w:val="32"/>
          <w:szCs w:val="32"/>
        </w:rPr>
        <w:t>方药必须凭兽医处方购买”的提示语。兽用</w:t>
      </w:r>
      <w:r>
        <w:rPr>
          <w:rFonts w:hint="eastAsia" w:ascii="仿宋_GB2312" w:hAnsi="仿宋_GB2312" w:eastAsia="仿宋_GB2312" w:cs="仿宋_GB2312"/>
          <w:sz w:val="32"/>
          <w:szCs w:val="32"/>
        </w:rPr>
        <w:t>处方药应与非处方药分区或分柜摆放。</w:t>
      </w:r>
      <w:r>
        <w:rPr>
          <w:rFonts w:hint="eastAsia" w:ascii="仿宋_GB2312" w:eastAsia="仿宋_GB2312"/>
          <w:sz w:val="32"/>
          <w:szCs w:val="32"/>
        </w:rPr>
        <w:t>兽用</w:t>
      </w:r>
      <w:r>
        <w:rPr>
          <w:rFonts w:hint="eastAsia" w:ascii="仿宋_GB2312" w:hAnsi="仿宋_GB2312" w:eastAsia="仿宋_GB2312" w:cs="仿宋_GB2312"/>
          <w:sz w:val="32"/>
          <w:szCs w:val="32"/>
        </w:rPr>
        <w:t>处方药不得采用开架自选方式销售。</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五、管理数字化</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配备电脑、网络、可追溯电子信息码扫描识别设备，网络流畅、扫描工具使用状态良好，熟练使用国家兽药产品追溯系统，出入库信息录入率和上传率达到100%。在采购与验收中进行电子追溯二维码核验，核对物料来源和数量等信息，</w:t>
      </w:r>
      <w:r>
        <w:fldChar w:fldCharType="begin"/>
      </w:r>
      <w:r>
        <w:instrText xml:space="preserve"> HYPERLINK "http://www.baidu.com/baidu.php?url=af0000KpxzUee8WytQ9w2H7cym0qzu6Jp7XaOHdP_mxaDWuGoiA5zFFdtl2nAepEBDlvwyHj9ozeh4jMariCpgEZr8Y-PXTLo6bVygYrBngp7ylDjh5FBUFJtCdWyARYQBjrrxraa0HW_P6oKhtrW53g_2Vjs7q9O5UmHsR5hooQIqdh5VwiEzVa9AVYMIStYhTMaNqNCBEDwhm7Zy8OHl3G-KDd.7Y_NR2Ar5Od663rj6toQ2tMAETBji1D1JHGH7f6e5ZG4q3eCp5UBmq84r5veVTIXeFzqDLzxeXNmhrMFuELNvIMQvTXNzI5QIJyAp7WIgbePB6.U1Yk0ZDqVXxgYqXLzqvvO_l_s88lzqZG0ZKGm1Ys0ZK1pyI85y7-nyf1PjNhnH6zujDdmHPhm1K-PWIhmHm3nHubPHub0ZfqVEeronQodexQLTQo0A-V5HczPfKM5yq-TZnk0ZNG5yF9pywdUAY0TA-b5Hcd0APGujYznjc0UgfqnH0krNtknjDLg1csPH7xnW0vn-t1PW0k0AVG5H00TMfqrjcY0AFG5HDdr7tznjwxPH010AdW5HDsnH-xnH0kPdtznjRkg1D3n1RknjbkP1Tkg100TgKGujYs0Z7Wpyfqn0KzuLw9u1Ys0A7B5HKxn0K-ThTqn0KsTjYs0A4vTjYsQW0snj0snj0s0AdYTjYs0AwbUL0qn0KzpWYs0Aw-IWdsmsKhIjYs0ZKC5H00ULnqn0KBI1Ykn0K8IjYs0ZPl5fK9TdqGuAnqTZnVmvY0pywW5R9awfKspZw45fKYmgFMugfqn17xn1Dkg160IZN15HDvPWnkPWD1rHcdnWmYrHmYP1Ds0ZF-TgfqnHm4nHfvPHDLPHDYn6K1pyfquHfkmvm1PAnsnjKBmWmkPsKWTvYqnYnkwW0vrHRsnRwjf1R4nsK9m1Yk0ZK85H00TydY5H00Tyd15H00XMfqn0KVmdqhThqV5HKxn7tsg1Kxn0Kbmy4dmhNxTAk9Uh-bT1Ysg1Kxn7tsg100TA7Ygvu_myTqn0Kbmv-b5H00ugwGujYVnfK9TLKWm1Ys0ZNspy4Wm1Ys0Z7VuWYs0AuWIgfqn0KGTvP_5H00mywhUA7M5HD0UAuW5H00uAPWujY0IZF9uARqPHDsn10k0AFbpyfqwHIAwj0zPbNDnDf1f1mdnj6zfWbdfRD1n1bsrjFanWD0mMfqn0KEmgwL5H00ULfqn0KETMKY5H0WnanWnansc10Wna3snj0snj0WnaPDw-fWnanVc108nj0snj0sc1D8nj0snj0sc10WnansQW0snj0snans0AF9UhV9mvnqnansc10Wn0K3TLwd5HDsnjDYnjm30Z7xIWYsQWf1g108njKxna3sn7tsQWnkg108njPxn7tsQW01g100mMPxTZFEuA-b5H00ThqGuhk9u1Ys0APv5fKGTdqWTADqn0KWTjYs0AN1IjYs0APzm1Ykn1b4n0&amp;us=newvui&amp;xst=mWd7PYuDnjcvwRfswjPjPWRsrjFarHNKfHn1rH03nbcznf715HDvPjnLnW6snWfLP1n4nWb4n1Rkg1czPNts0gTqVEeronQodexQLTQo0gDqVXxgYqXLzqvvO_l_s88lzqZG0gRqnH0snHfsPW6KIjYkPWbkPjmdnHTd0ydk5H0an0cV0yPC5yuWgLKW0ykd5H0Kmv3qPWcsrHRknjwxPjPxUvNVgvwM0HD1PWfYPHcs&amp;cegduid=nH0snHfsPW6&amp;solutionId=5569187&amp;word=&amp;ck=8814.58.3.343.195.324.156.1788&amp;shh=www.baidu.com&amp;sht=62095104_43_oem_dg&amp;wd=" \t "https://www.baidu.com/_blank" </w:instrText>
      </w:r>
      <w:r>
        <w:fldChar w:fldCharType="separate"/>
      </w:r>
      <w:r>
        <w:rPr>
          <w:rFonts w:hint="eastAsia" w:ascii="仿宋_GB2312" w:hAnsi="仿宋_GB2312" w:eastAsia="仿宋_GB2312" w:cs="仿宋_GB2312"/>
          <w:sz w:val="32"/>
          <w:szCs w:val="32"/>
        </w:rPr>
        <w:t>实现产品溯源、质量追溯。</w:t>
      </w:r>
      <w:r>
        <w:rPr>
          <w:rFonts w:hint="eastAsia" w:ascii="仿宋_GB2312" w:hAnsi="仿宋_GB2312" w:eastAsia="仿宋_GB2312" w:cs="仿宋_GB2312"/>
          <w:sz w:val="32"/>
          <w:szCs w:val="32"/>
        </w:rPr>
        <w:fldChar w:fldCharType="end"/>
      </w:r>
    </w:p>
    <w:p>
      <w:pPr>
        <w:adjustRightInd w:val="0"/>
        <w:snapToGrid w:val="0"/>
        <w:spacing w:line="560" w:lineRule="exact"/>
        <w:ind w:firstLine="640" w:firstLineChars="200"/>
        <w:rPr>
          <w:rFonts w:ascii="黑体" w:hAnsi="黑体" w:eastAsia="黑体" w:cs="黑体"/>
          <w:bCs/>
          <w:color w:val="000000"/>
          <w:sz w:val="32"/>
          <w:szCs w:val="32"/>
        </w:rPr>
      </w:pPr>
      <w:r>
        <w:rPr>
          <w:rFonts w:hint="eastAsia" w:ascii="仿宋_GB2312" w:hAnsi="仿宋_GB2312" w:eastAsia="仿宋_GB2312" w:cs="仿宋_GB2312"/>
          <w:sz w:val="32"/>
          <w:szCs w:val="32"/>
        </w:rPr>
        <w:t>（十四）建立产品购销档案（记录、台账），</w:t>
      </w:r>
      <w:r>
        <w:rPr>
          <w:rFonts w:hint="eastAsia" w:ascii="仿宋_GB2312" w:eastAsia="仿宋_GB2312" w:cs="仿宋_GB2312"/>
          <w:sz w:val="32"/>
          <w:szCs w:val="32"/>
        </w:rPr>
        <w:t>如实记录</w:t>
      </w:r>
      <w:r>
        <w:rPr>
          <w:rFonts w:hint="eastAsia" w:ascii="仿宋_GB2312" w:hAnsi="仿宋_GB2312" w:eastAsia="仿宋_GB2312" w:cs="仿宋_GB2312"/>
          <w:sz w:val="32"/>
          <w:szCs w:val="32"/>
        </w:rPr>
        <w:t>兽药、</w:t>
      </w:r>
      <w:r>
        <w:rPr>
          <w:rFonts w:hint="eastAsia" w:ascii="仿宋_GB2312" w:hAnsi="仿宋_GB2312" w:eastAsia="仿宋_GB2312" w:cs="仿宋_GB2312"/>
          <w:sz w:val="32"/>
          <w:szCs w:val="32"/>
          <w:shd w:val="clear" w:color="auto" w:fill="FFFFFF"/>
        </w:rPr>
        <w:t>饲料、饲料添加剂等</w:t>
      </w:r>
      <w:r>
        <w:rPr>
          <w:rFonts w:hint="eastAsia" w:ascii="仿宋_GB2312" w:eastAsia="仿宋_GB2312" w:cs="仿宋_GB2312"/>
          <w:sz w:val="32"/>
          <w:szCs w:val="32"/>
        </w:rPr>
        <w:t>的名称、规格、批号、</w:t>
      </w:r>
      <w:r>
        <w:rPr>
          <w:rFonts w:hint="eastAsia" w:ascii="仿宋_GB2312" w:hAnsi="仿宋_GB2312" w:eastAsia="仿宋_GB2312" w:cs="仿宋_GB2312"/>
          <w:sz w:val="32"/>
          <w:szCs w:val="32"/>
          <w:shd w:val="clear" w:color="auto" w:fill="FFFFFF"/>
        </w:rPr>
        <w:t>剂型、</w:t>
      </w:r>
      <w:r>
        <w:rPr>
          <w:rFonts w:hint="eastAsia" w:ascii="仿宋_GB2312" w:eastAsia="仿宋_GB2312" w:cs="仿宋_GB2312"/>
          <w:sz w:val="32"/>
          <w:szCs w:val="32"/>
        </w:rPr>
        <w:t>价格、进货数量（销售数量）、生产企业、供货人（购买人）</w:t>
      </w:r>
      <w:r>
        <w:rPr>
          <w:rFonts w:hint="eastAsia" w:ascii="仿宋_GB2312" w:eastAsia="仿宋_GB2312" w:cs="仿宋_GB2312"/>
          <w:color w:val="000000"/>
          <w:sz w:val="32"/>
          <w:szCs w:val="32"/>
        </w:rPr>
        <w:t>、进货日期（销售日期）及联系方式等内</w:t>
      </w:r>
      <w:r>
        <w:rPr>
          <w:rFonts w:hint="eastAsia" w:ascii="仿宋_GB2312" w:hAnsi="仿宋_GB2312" w:eastAsia="仿宋_GB2312" w:cs="仿宋_GB2312"/>
          <w:color w:val="000000"/>
          <w:sz w:val="32"/>
          <w:szCs w:val="32"/>
        </w:rPr>
        <w:t>容。相关记录均应保存两年以上。鼓励将纸质档案转换为电子档案，以方便保存。从事电子商务经营兽药的，应当在互联网平台醒目标注营业执照、兽药经营许可证等信息，国家兽药产品追溯系统及时完整录入出入库数据。</w:t>
      </w:r>
    </w:p>
    <w:p>
      <w:pPr>
        <w:adjustRightInd w:val="0"/>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六、回收无害化</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（十五）鼓励兽药经营门店在显著位置设立兽药包装废弃物回收桶（箱）等，加强相关设施设备、场所的管理和维护，注意做好防雨防漏和失窃等工作。鼓励建立健全回收台账。</w:t>
      </w:r>
    </w:p>
    <w:p>
      <w:pPr>
        <w:adjustRightInd w:val="0"/>
        <w:snapToGrid w:val="0"/>
        <w:spacing w:line="560" w:lineRule="exact"/>
        <w:ind w:firstLine="640" w:firstLineChars="200"/>
        <w:rPr>
          <w:color w:val="000000"/>
        </w:rPr>
      </w:pPr>
      <w:r>
        <w:rPr>
          <w:rFonts w:hint="eastAsia" w:ascii="仿宋_GB2312" w:hAnsi="仿宋_GB2312" w:eastAsia="仿宋_GB2312" w:cs="仿宋_GB2312"/>
          <w:color w:val="000000"/>
          <w:sz w:val="32"/>
          <w:szCs w:val="32"/>
        </w:rPr>
        <w:t xml:space="preserve">（十六）积极开展宣传，鼓励兽药使用者和养殖户及时交回兽药包装废弃物。对收集的兽药包装废弃物进行妥善贮存，依法依规进行处置。做好个人防护，防止残留疫苗、兽药对人体造成伤害。 </w:t>
      </w:r>
    </w:p>
    <w:p/>
    <w:p/>
    <w:p/>
    <w:p/>
    <w:p>
      <w:pPr>
        <w:pStyle w:val="10"/>
        <w:adjustRightInd w:val="0"/>
        <w:snapToGrid w:val="0"/>
        <w:spacing w:line="240" w:lineRule="auto"/>
        <w:rPr>
          <w:rFonts w:ascii="黑体" w:hAnsi="黑体" w:eastAsia="黑体" w:cs="黑体"/>
          <w:bCs/>
          <w:sz w:val="32"/>
          <w:szCs w:val="32"/>
        </w:rPr>
        <w:sectPr>
          <w:footerReference r:id="rId3" w:type="default"/>
          <w:footerReference r:id="rId4" w:type="even"/>
          <w:pgSz w:w="11906" w:h="16838"/>
          <w:pgMar w:top="2098" w:right="1474" w:bottom="1984" w:left="1587" w:header="340" w:footer="454" w:gutter="0"/>
          <w:pgNumType w:fmt="numberInDash"/>
          <w:cols w:space="720" w:num="1"/>
          <w:docGrid w:type="lines" w:linePitch="560" w:charSpace="0"/>
        </w:sectPr>
      </w:pPr>
    </w:p>
    <w:p>
      <w:pPr>
        <w:pStyle w:val="10"/>
        <w:adjustRightInd w:val="0"/>
        <w:snapToGrid w:val="0"/>
        <w:spacing w:line="240" w:lineRule="auto"/>
        <w:rPr>
          <w:rFonts w:ascii="黑体" w:hAnsi="黑体" w:eastAsia="黑体" w:cs="黑体"/>
          <w:bCs/>
          <w:sz w:val="32"/>
          <w:szCs w:val="32"/>
        </w:rPr>
      </w:pPr>
      <w:r>
        <w:rPr>
          <w:rFonts w:hint="eastAsia" w:ascii="黑体" w:hAnsi="黑体" w:eastAsia="黑体" w:cs="黑体"/>
          <w:bCs/>
          <w:sz w:val="32"/>
          <w:szCs w:val="32"/>
        </w:rPr>
        <w:t>附件4</w:t>
      </w:r>
    </w:p>
    <w:p>
      <w:pPr>
        <w:pStyle w:val="10"/>
        <w:adjustRightInd w:val="0"/>
        <w:snapToGrid w:val="0"/>
        <w:spacing w:line="560" w:lineRule="exact"/>
        <w:jc w:val="center"/>
        <w:rPr>
          <w:rFonts w:ascii="方正小标宋_GBK" w:hAnsi="方正小标宋_GBK" w:eastAsia="方正小标宋_GBK" w:cs="方正小标宋_GBK"/>
          <w:sz w:val="44"/>
          <w:szCs w:val="44"/>
        </w:rPr>
      </w:pPr>
    </w:p>
    <w:p>
      <w:pPr>
        <w:pStyle w:val="10"/>
        <w:adjustRightInd w:val="0"/>
        <w:snapToGrid w:val="0"/>
        <w:spacing w:after="560" w:afterLines="100"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青岛市星级农资经营门店创建申请表</w:t>
      </w:r>
    </w:p>
    <w:p>
      <w:pPr>
        <w:spacing w:line="400" w:lineRule="exact"/>
        <w:ind w:right="136" w:firstLine="640" w:firstLineChars="200"/>
        <w:rPr>
          <w:rFonts w:eastAsia="黑体"/>
          <w:bCs/>
          <w:sz w:val="32"/>
          <w:szCs w:val="32"/>
        </w:rPr>
      </w:pPr>
      <w:r>
        <w:rPr>
          <w:rFonts w:hint="eastAsia" w:ascii="黑体" w:hAnsi="黑体" w:eastAsia="黑体"/>
          <w:bCs/>
          <w:sz w:val="32"/>
          <w:szCs w:val="32"/>
        </w:rPr>
        <w:t>一、申请单位基本情况</w:t>
      </w:r>
    </w:p>
    <w:tbl>
      <w:tblPr>
        <w:tblStyle w:val="7"/>
        <w:tblW w:w="9445" w:type="dxa"/>
        <w:jc w:val="center"/>
        <w:tblLayout w:type="fixed"/>
        <w:tblCellMar>
          <w:top w:w="0" w:type="dxa"/>
          <w:left w:w="108" w:type="dxa"/>
          <w:bottom w:w="0" w:type="dxa"/>
          <w:right w:w="108" w:type="dxa"/>
        </w:tblCellMar>
      </w:tblPr>
      <w:tblGrid>
        <w:gridCol w:w="1990"/>
        <w:gridCol w:w="2606"/>
        <w:gridCol w:w="132"/>
        <w:gridCol w:w="2305"/>
        <w:gridCol w:w="2412"/>
      </w:tblGrid>
      <w:tr>
        <w:tblPrEx>
          <w:tblCellMar>
            <w:top w:w="0" w:type="dxa"/>
            <w:left w:w="108" w:type="dxa"/>
            <w:bottom w:w="0" w:type="dxa"/>
            <w:right w:w="108" w:type="dxa"/>
          </w:tblCellMar>
        </w:tblPrEx>
        <w:trPr>
          <w:trHeight w:val="857" w:hRule="atLeast"/>
          <w:jc w:val="center"/>
        </w:trPr>
        <w:tc>
          <w:tcPr>
            <w:tcW w:w="19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8"/>
                <w:szCs w:val="28"/>
              </w:rPr>
            </w:pPr>
            <w:r>
              <w:rPr>
                <w:rFonts w:hint="eastAsia" w:ascii="仿宋_GB2312" w:hAnsi="宋体" w:eastAsia="仿宋_GB2312"/>
                <w:sz w:val="28"/>
                <w:szCs w:val="28"/>
              </w:rPr>
              <w:t>经营门店名称</w:t>
            </w:r>
          </w:p>
        </w:tc>
        <w:tc>
          <w:tcPr>
            <w:tcW w:w="7455" w:type="dxa"/>
            <w:gridSpan w:val="4"/>
            <w:tcBorders>
              <w:top w:val="single" w:color="auto" w:sz="4" w:space="0"/>
              <w:left w:val="nil"/>
              <w:bottom w:val="single" w:color="auto" w:sz="4" w:space="0"/>
              <w:right w:val="single" w:color="auto" w:sz="4" w:space="0"/>
            </w:tcBorders>
            <w:noWrap w:val="0"/>
            <w:vAlign w:val="center"/>
          </w:tcPr>
          <w:p>
            <w:pPr>
              <w:ind w:firstLine="560" w:firstLineChars="200"/>
              <w:jc w:val="left"/>
              <w:rPr>
                <w:rFonts w:ascii="仿宋_GB2312" w:hAnsi="宋体" w:eastAsia="仿宋_GB2312"/>
                <w:sz w:val="28"/>
                <w:szCs w:val="28"/>
              </w:rPr>
            </w:pPr>
            <w:r>
              <w:rPr>
                <w:rFonts w:hint="eastAsia" w:ascii="仿宋_GB2312" w:hAnsi="宋体" w:eastAsia="仿宋_GB2312"/>
                <w:sz w:val="28"/>
                <w:szCs w:val="28"/>
              </w:rPr>
              <w:t>（注：填写营业执照名称）          （公章）</w:t>
            </w:r>
          </w:p>
        </w:tc>
      </w:tr>
      <w:tr>
        <w:tblPrEx>
          <w:tblCellMar>
            <w:top w:w="0" w:type="dxa"/>
            <w:left w:w="108" w:type="dxa"/>
            <w:bottom w:w="0" w:type="dxa"/>
            <w:right w:w="108" w:type="dxa"/>
          </w:tblCellMar>
        </w:tblPrEx>
        <w:trPr>
          <w:trHeight w:val="646" w:hRule="atLeast"/>
          <w:jc w:val="center"/>
        </w:trPr>
        <w:tc>
          <w:tcPr>
            <w:tcW w:w="19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8"/>
                <w:szCs w:val="28"/>
              </w:rPr>
            </w:pPr>
            <w:r>
              <w:rPr>
                <w:rFonts w:hint="eastAsia" w:ascii="仿宋_GB2312" w:hAnsi="宋体" w:eastAsia="仿宋_GB2312"/>
                <w:sz w:val="28"/>
                <w:szCs w:val="28"/>
              </w:rPr>
              <w:t>地 址</w:t>
            </w:r>
          </w:p>
        </w:tc>
        <w:tc>
          <w:tcPr>
            <w:tcW w:w="7455" w:type="dxa"/>
            <w:gridSpan w:val="4"/>
            <w:tcBorders>
              <w:top w:val="single" w:color="auto" w:sz="4" w:space="0"/>
              <w:left w:val="nil"/>
              <w:bottom w:val="single" w:color="auto" w:sz="4" w:space="0"/>
              <w:right w:val="single" w:color="auto" w:sz="4" w:space="0"/>
            </w:tcBorders>
            <w:noWrap w:val="0"/>
            <w:vAlign w:val="center"/>
          </w:tcPr>
          <w:p>
            <w:pPr>
              <w:ind w:firstLine="560" w:firstLineChars="200"/>
              <w:rPr>
                <w:rFonts w:ascii="仿宋_GB2312" w:hAnsi="宋体" w:eastAsia="仿宋_GB2312"/>
                <w:sz w:val="28"/>
                <w:szCs w:val="28"/>
              </w:rPr>
            </w:pPr>
          </w:p>
        </w:tc>
      </w:tr>
      <w:tr>
        <w:tblPrEx>
          <w:tblCellMar>
            <w:top w:w="0" w:type="dxa"/>
            <w:left w:w="108" w:type="dxa"/>
            <w:bottom w:w="0" w:type="dxa"/>
            <w:right w:w="108" w:type="dxa"/>
          </w:tblCellMar>
        </w:tblPrEx>
        <w:trPr>
          <w:trHeight w:val="759" w:hRule="atLeast"/>
          <w:jc w:val="center"/>
        </w:trPr>
        <w:tc>
          <w:tcPr>
            <w:tcW w:w="199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统一社会</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信用代码</w:t>
            </w:r>
          </w:p>
        </w:tc>
        <w:tc>
          <w:tcPr>
            <w:tcW w:w="2738" w:type="dxa"/>
            <w:gridSpan w:val="2"/>
            <w:tcBorders>
              <w:top w:val="single" w:color="auto" w:sz="4" w:space="0"/>
              <w:left w:val="nil"/>
              <w:bottom w:val="single" w:color="auto" w:sz="4" w:space="0"/>
              <w:right w:val="single" w:color="auto" w:sz="4" w:space="0"/>
            </w:tcBorders>
            <w:noWrap w:val="0"/>
            <w:vAlign w:val="center"/>
          </w:tcPr>
          <w:p>
            <w:pPr>
              <w:spacing w:line="340" w:lineRule="exact"/>
              <w:ind w:firstLine="560" w:firstLineChars="200"/>
              <w:jc w:val="center"/>
              <w:rPr>
                <w:rFonts w:ascii="仿宋_GB2312" w:hAnsi="宋体" w:eastAsia="仿宋_GB2312"/>
                <w:sz w:val="28"/>
                <w:szCs w:val="28"/>
              </w:rPr>
            </w:pPr>
          </w:p>
        </w:tc>
        <w:tc>
          <w:tcPr>
            <w:tcW w:w="2305"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上年营业收入</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（万元）</w:t>
            </w:r>
          </w:p>
        </w:tc>
        <w:tc>
          <w:tcPr>
            <w:tcW w:w="2412"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sz w:val="28"/>
                <w:szCs w:val="28"/>
              </w:rPr>
            </w:pPr>
          </w:p>
        </w:tc>
      </w:tr>
      <w:tr>
        <w:tblPrEx>
          <w:tblCellMar>
            <w:top w:w="0" w:type="dxa"/>
            <w:left w:w="108" w:type="dxa"/>
            <w:bottom w:w="0" w:type="dxa"/>
            <w:right w:w="108" w:type="dxa"/>
          </w:tblCellMar>
        </w:tblPrEx>
        <w:trPr>
          <w:trHeight w:val="758" w:hRule="atLeast"/>
          <w:jc w:val="center"/>
        </w:trPr>
        <w:tc>
          <w:tcPr>
            <w:tcW w:w="199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固定资产</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（万元）</w:t>
            </w:r>
          </w:p>
        </w:tc>
        <w:tc>
          <w:tcPr>
            <w:tcW w:w="2738" w:type="dxa"/>
            <w:gridSpan w:val="2"/>
            <w:tcBorders>
              <w:top w:val="single" w:color="auto" w:sz="4" w:space="0"/>
              <w:left w:val="nil"/>
              <w:bottom w:val="single" w:color="auto" w:sz="4" w:space="0"/>
              <w:right w:val="single" w:color="auto" w:sz="4" w:space="0"/>
            </w:tcBorders>
            <w:noWrap w:val="0"/>
            <w:vAlign w:val="center"/>
          </w:tcPr>
          <w:p>
            <w:pPr>
              <w:spacing w:line="340" w:lineRule="exact"/>
              <w:ind w:right="560" w:firstLine="560" w:firstLineChars="200"/>
              <w:jc w:val="center"/>
              <w:rPr>
                <w:rFonts w:ascii="仿宋_GB2312" w:hAnsi="宋体" w:eastAsia="仿宋_GB2312"/>
                <w:sz w:val="28"/>
                <w:szCs w:val="28"/>
              </w:rPr>
            </w:pPr>
          </w:p>
        </w:tc>
        <w:tc>
          <w:tcPr>
            <w:tcW w:w="2305"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注册资金</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（万元）</w:t>
            </w:r>
          </w:p>
        </w:tc>
        <w:tc>
          <w:tcPr>
            <w:tcW w:w="2412" w:type="dxa"/>
            <w:tcBorders>
              <w:top w:val="single" w:color="auto" w:sz="4" w:space="0"/>
              <w:left w:val="nil"/>
              <w:bottom w:val="single" w:color="auto" w:sz="4" w:space="0"/>
              <w:right w:val="single" w:color="auto" w:sz="4" w:space="0"/>
            </w:tcBorders>
            <w:noWrap w:val="0"/>
            <w:vAlign w:val="center"/>
          </w:tcPr>
          <w:p>
            <w:pPr>
              <w:spacing w:line="320" w:lineRule="exact"/>
              <w:ind w:right="561"/>
              <w:jc w:val="center"/>
              <w:rPr>
                <w:rFonts w:ascii="仿宋_GB2312" w:hAnsi="宋体" w:eastAsia="仿宋_GB2312"/>
                <w:sz w:val="28"/>
                <w:szCs w:val="28"/>
              </w:rPr>
            </w:pPr>
          </w:p>
        </w:tc>
      </w:tr>
      <w:tr>
        <w:tblPrEx>
          <w:tblCellMar>
            <w:top w:w="0" w:type="dxa"/>
            <w:left w:w="108" w:type="dxa"/>
            <w:bottom w:w="0" w:type="dxa"/>
            <w:right w:w="108" w:type="dxa"/>
          </w:tblCellMar>
        </w:tblPrEx>
        <w:trPr>
          <w:trHeight w:val="725" w:hRule="atLeast"/>
          <w:jc w:val="center"/>
        </w:trPr>
        <w:tc>
          <w:tcPr>
            <w:tcW w:w="199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法定代表人</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（负责人）</w:t>
            </w:r>
          </w:p>
        </w:tc>
        <w:tc>
          <w:tcPr>
            <w:tcW w:w="2738" w:type="dxa"/>
            <w:gridSpan w:val="2"/>
            <w:tcBorders>
              <w:top w:val="single" w:color="auto" w:sz="4" w:space="0"/>
              <w:left w:val="nil"/>
              <w:bottom w:val="single" w:color="auto" w:sz="4" w:space="0"/>
              <w:right w:val="single" w:color="auto" w:sz="4" w:space="0"/>
            </w:tcBorders>
            <w:noWrap w:val="0"/>
            <w:vAlign w:val="center"/>
          </w:tcPr>
          <w:p>
            <w:pPr>
              <w:spacing w:line="340" w:lineRule="exact"/>
              <w:ind w:firstLine="560" w:firstLineChars="200"/>
              <w:jc w:val="center"/>
              <w:rPr>
                <w:rFonts w:ascii="仿宋_GB2312" w:hAnsi="宋体" w:eastAsia="仿宋_GB2312"/>
                <w:sz w:val="28"/>
                <w:szCs w:val="28"/>
              </w:rPr>
            </w:pPr>
          </w:p>
        </w:tc>
        <w:tc>
          <w:tcPr>
            <w:tcW w:w="2305"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电 话</w:t>
            </w:r>
          </w:p>
        </w:tc>
        <w:tc>
          <w:tcPr>
            <w:tcW w:w="2412"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hAnsi="宋体" w:eastAsia="仿宋_GB2312"/>
                <w:sz w:val="28"/>
                <w:szCs w:val="28"/>
              </w:rPr>
            </w:pPr>
          </w:p>
        </w:tc>
      </w:tr>
      <w:tr>
        <w:tblPrEx>
          <w:tblCellMar>
            <w:top w:w="0" w:type="dxa"/>
            <w:left w:w="108" w:type="dxa"/>
            <w:bottom w:w="0" w:type="dxa"/>
            <w:right w:w="108" w:type="dxa"/>
          </w:tblCellMar>
        </w:tblPrEx>
        <w:trPr>
          <w:trHeight w:val="535" w:hRule="atLeast"/>
          <w:jc w:val="center"/>
        </w:trPr>
        <w:tc>
          <w:tcPr>
            <w:tcW w:w="1990" w:type="dxa"/>
            <w:vMerge w:val="restart"/>
            <w:tcBorders>
              <w:top w:val="nil"/>
              <w:left w:val="single" w:color="auto" w:sz="4" w:space="0"/>
              <w:bottom w:val="single" w:color="auto" w:sz="4" w:space="0"/>
              <w:right w:val="single" w:color="auto" w:sz="4" w:space="0"/>
            </w:tcBorders>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联系人</w:t>
            </w:r>
          </w:p>
        </w:tc>
        <w:tc>
          <w:tcPr>
            <w:tcW w:w="2738" w:type="dxa"/>
            <w:gridSpan w:val="2"/>
            <w:vMerge w:val="restart"/>
            <w:tcBorders>
              <w:top w:val="nil"/>
              <w:left w:val="nil"/>
              <w:bottom w:val="single" w:color="auto" w:sz="4" w:space="0"/>
              <w:right w:val="single" w:color="auto" w:sz="4" w:space="0"/>
            </w:tcBorders>
            <w:noWrap w:val="0"/>
            <w:vAlign w:val="center"/>
          </w:tcPr>
          <w:p>
            <w:pPr>
              <w:spacing w:line="340" w:lineRule="exact"/>
              <w:jc w:val="center"/>
              <w:rPr>
                <w:rFonts w:ascii="仿宋_GB2312" w:hAnsi="宋体" w:eastAsia="仿宋_GB2312"/>
                <w:sz w:val="28"/>
                <w:szCs w:val="28"/>
              </w:rPr>
            </w:pPr>
          </w:p>
        </w:tc>
        <w:tc>
          <w:tcPr>
            <w:tcW w:w="2305"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固定电话</w:t>
            </w:r>
          </w:p>
        </w:tc>
        <w:tc>
          <w:tcPr>
            <w:tcW w:w="2412"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hAnsi="宋体" w:eastAsia="仿宋_GB2312"/>
                <w:sz w:val="28"/>
                <w:szCs w:val="28"/>
              </w:rPr>
            </w:pPr>
          </w:p>
        </w:tc>
      </w:tr>
      <w:tr>
        <w:tblPrEx>
          <w:tblCellMar>
            <w:top w:w="0" w:type="dxa"/>
            <w:left w:w="108" w:type="dxa"/>
            <w:bottom w:w="0" w:type="dxa"/>
            <w:right w:w="108" w:type="dxa"/>
          </w:tblCellMar>
        </w:tblPrEx>
        <w:trPr>
          <w:trHeight w:val="495" w:hRule="atLeast"/>
          <w:jc w:val="center"/>
        </w:trPr>
        <w:tc>
          <w:tcPr>
            <w:tcW w:w="1990" w:type="dxa"/>
            <w:vMerge w:val="continue"/>
            <w:tcBorders>
              <w:top w:val="nil"/>
              <w:left w:val="single" w:color="auto" w:sz="4" w:space="0"/>
              <w:bottom w:val="single" w:color="auto" w:sz="4" w:space="0"/>
              <w:right w:val="single" w:color="auto" w:sz="4" w:space="0"/>
            </w:tcBorders>
            <w:noWrap w:val="0"/>
            <w:vAlign w:val="center"/>
          </w:tcPr>
          <w:p>
            <w:pPr>
              <w:spacing w:line="340" w:lineRule="exact"/>
              <w:rPr>
                <w:rFonts w:ascii="仿宋_GB2312" w:hAnsi="宋体" w:eastAsia="仿宋_GB2312"/>
                <w:sz w:val="28"/>
                <w:szCs w:val="28"/>
              </w:rPr>
            </w:pPr>
          </w:p>
        </w:tc>
        <w:tc>
          <w:tcPr>
            <w:tcW w:w="2738" w:type="dxa"/>
            <w:gridSpan w:val="2"/>
            <w:vMerge w:val="continue"/>
            <w:tcBorders>
              <w:top w:val="nil"/>
              <w:left w:val="nil"/>
              <w:bottom w:val="single" w:color="auto" w:sz="4" w:space="0"/>
              <w:right w:val="single" w:color="auto" w:sz="4" w:space="0"/>
            </w:tcBorders>
            <w:noWrap w:val="0"/>
            <w:vAlign w:val="center"/>
          </w:tcPr>
          <w:p>
            <w:pPr>
              <w:spacing w:line="340" w:lineRule="exact"/>
              <w:rPr>
                <w:rFonts w:ascii="仿宋_GB2312" w:hAnsi="宋体" w:eastAsia="仿宋_GB2312"/>
                <w:sz w:val="28"/>
                <w:szCs w:val="28"/>
              </w:rPr>
            </w:pPr>
          </w:p>
        </w:tc>
        <w:tc>
          <w:tcPr>
            <w:tcW w:w="2305"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移动电话</w:t>
            </w:r>
          </w:p>
        </w:tc>
        <w:tc>
          <w:tcPr>
            <w:tcW w:w="2412"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hAnsi="宋体" w:eastAsia="仿宋_GB2312"/>
                <w:sz w:val="28"/>
                <w:szCs w:val="28"/>
              </w:rPr>
            </w:pPr>
          </w:p>
        </w:tc>
      </w:tr>
      <w:tr>
        <w:tblPrEx>
          <w:tblCellMar>
            <w:top w:w="0" w:type="dxa"/>
            <w:left w:w="108" w:type="dxa"/>
            <w:bottom w:w="0" w:type="dxa"/>
            <w:right w:w="108" w:type="dxa"/>
          </w:tblCellMar>
        </w:tblPrEx>
        <w:trPr>
          <w:trHeight w:val="926" w:hRule="atLeast"/>
          <w:jc w:val="center"/>
        </w:trPr>
        <w:tc>
          <w:tcPr>
            <w:tcW w:w="19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获得荣誉情况</w:t>
            </w:r>
          </w:p>
        </w:tc>
        <w:tc>
          <w:tcPr>
            <w:tcW w:w="7455" w:type="dxa"/>
            <w:gridSpan w:val="4"/>
            <w:tcBorders>
              <w:top w:val="single" w:color="auto" w:sz="4" w:space="0"/>
              <w:left w:val="nil"/>
              <w:bottom w:val="single" w:color="auto" w:sz="4" w:space="0"/>
              <w:right w:val="single" w:color="auto" w:sz="4" w:space="0"/>
            </w:tcBorders>
            <w:noWrap w:val="0"/>
            <w:vAlign w:val="center"/>
          </w:tcPr>
          <w:p>
            <w:pPr>
              <w:spacing w:line="360" w:lineRule="exact"/>
              <w:rPr>
                <w:rFonts w:ascii="仿宋_GB2312" w:hAnsi="宋体" w:eastAsia="仿宋_GB2312"/>
                <w:sz w:val="28"/>
                <w:szCs w:val="28"/>
              </w:rPr>
            </w:pPr>
            <w:r>
              <w:rPr>
                <w:rFonts w:hint="eastAsia" w:ascii="仿宋_GB2312" w:hAnsi="宋体" w:eastAsia="仿宋_GB2312"/>
                <w:sz w:val="28"/>
                <w:szCs w:val="28"/>
              </w:rPr>
              <w:t>（注：只填写跟农资经营相关荣誉称号，并注明获得时间）</w:t>
            </w:r>
          </w:p>
          <w:p>
            <w:pPr>
              <w:spacing w:line="360" w:lineRule="exact"/>
              <w:rPr>
                <w:rFonts w:ascii="仿宋_GB2312" w:hAnsi="宋体" w:eastAsia="仿宋_GB2312"/>
                <w:sz w:val="28"/>
                <w:szCs w:val="28"/>
              </w:rPr>
            </w:pPr>
            <w:r>
              <w:rPr>
                <w:rFonts w:hint="eastAsia" w:ascii="仿宋_GB2312" w:hAnsi="宋体" w:eastAsia="仿宋_GB2312"/>
                <w:sz w:val="28"/>
                <w:szCs w:val="28"/>
              </w:rPr>
              <w:t>示例：山东省农药经营门店标准化管理服务试点（2021年）</w:t>
            </w:r>
          </w:p>
        </w:tc>
      </w:tr>
      <w:tr>
        <w:tblPrEx>
          <w:tblCellMar>
            <w:top w:w="0" w:type="dxa"/>
            <w:left w:w="108" w:type="dxa"/>
            <w:bottom w:w="0" w:type="dxa"/>
            <w:right w:w="108" w:type="dxa"/>
          </w:tblCellMar>
        </w:tblPrEx>
        <w:trPr>
          <w:trHeight w:val="2412" w:hRule="atLeast"/>
          <w:jc w:val="center"/>
        </w:trPr>
        <w:tc>
          <w:tcPr>
            <w:tcW w:w="19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基本情况</w:t>
            </w:r>
          </w:p>
        </w:tc>
        <w:tc>
          <w:tcPr>
            <w:tcW w:w="7455" w:type="dxa"/>
            <w:gridSpan w:val="4"/>
            <w:tcBorders>
              <w:top w:val="single" w:color="auto" w:sz="4" w:space="0"/>
              <w:left w:val="nil"/>
              <w:bottom w:val="single" w:color="auto" w:sz="4" w:space="0"/>
              <w:right w:val="single" w:color="auto" w:sz="4" w:space="0"/>
            </w:tcBorders>
            <w:noWrap w:val="0"/>
            <w:vAlign w:val="center"/>
          </w:tcPr>
          <w:p>
            <w:pPr>
              <w:spacing w:line="560" w:lineRule="exact"/>
              <w:rPr>
                <w:rFonts w:ascii="仿宋_GB2312" w:hAnsi="宋体" w:eastAsia="仿宋_GB2312"/>
                <w:sz w:val="28"/>
                <w:szCs w:val="28"/>
              </w:rPr>
            </w:pPr>
            <w:r>
              <w:rPr>
                <w:rFonts w:hint="eastAsia" w:ascii="仿宋_GB2312" w:hAnsi="宋体" w:eastAsia="仿宋_GB2312"/>
                <w:sz w:val="28"/>
                <w:szCs w:val="28"/>
              </w:rPr>
              <w:t>（注：包括成立时间、经营品种、营业面积，以及落实“六化”要求情况等，避免与表格已有内容重复，不超过400字）</w:t>
            </w:r>
          </w:p>
          <w:p>
            <w:pPr>
              <w:ind w:firstLine="560" w:firstLineChars="200"/>
              <w:rPr>
                <w:rFonts w:ascii="仿宋_GB2312" w:hAnsi="宋体" w:eastAsia="仿宋_GB2312"/>
                <w:sz w:val="28"/>
                <w:szCs w:val="28"/>
              </w:rPr>
            </w:pPr>
          </w:p>
        </w:tc>
      </w:tr>
      <w:tr>
        <w:tblPrEx>
          <w:tblCellMar>
            <w:top w:w="0" w:type="dxa"/>
            <w:left w:w="108" w:type="dxa"/>
            <w:bottom w:w="0" w:type="dxa"/>
            <w:right w:w="108" w:type="dxa"/>
          </w:tblCellMar>
        </w:tblPrEx>
        <w:trPr>
          <w:trHeight w:val="2031" w:hRule="atLeast"/>
          <w:jc w:val="center"/>
        </w:trPr>
        <w:tc>
          <w:tcPr>
            <w:tcW w:w="459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28"/>
                <w:szCs w:val="28"/>
              </w:rPr>
            </w:pPr>
          </w:p>
          <w:p>
            <w:pPr>
              <w:adjustRightInd w:val="0"/>
              <w:snapToGrid w:val="0"/>
              <w:rPr>
                <w:rFonts w:ascii="仿宋_GB2312" w:hAnsi="宋体" w:eastAsia="仿宋_GB2312"/>
                <w:sz w:val="28"/>
                <w:szCs w:val="28"/>
              </w:rPr>
            </w:pPr>
            <w:r>
              <w:rPr>
                <w:rFonts w:hint="eastAsia" w:ascii="仿宋_GB2312" w:hAnsi="宋体" w:eastAsia="仿宋_GB2312"/>
                <w:sz w:val="28"/>
                <w:szCs w:val="28"/>
              </w:rPr>
              <w:t>区市农业农村部门审核意见：</w:t>
            </w:r>
          </w:p>
          <w:p>
            <w:pPr>
              <w:spacing w:line="320" w:lineRule="exact"/>
              <w:jc w:val="center"/>
              <w:rPr>
                <w:rFonts w:ascii="仿宋_GB2312" w:hAnsi="宋体" w:eastAsia="仿宋_GB2312"/>
                <w:sz w:val="28"/>
                <w:szCs w:val="28"/>
              </w:rPr>
            </w:pPr>
          </w:p>
          <w:p>
            <w:pPr>
              <w:spacing w:line="320" w:lineRule="exact"/>
              <w:jc w:val="center"/>
              <w:rPr>
                <w:rFonts w:ascii="仿宋_GB2312" w:hAnsi="宋体" w:eastAsia="仿宋_GB2312"/>
                <w:sz w:val="28"/>
                <w:szCs w:val="28"/>
              </w:rPr>
            </w:pPr>
            <w:r>
              <w:rPr>
                <w:rFonts w:hint="eastAsia" w:ascii="仿宋_GB2312" w:hAnsi="宋体" w:eastAsia="仿宋_GB2312"/>
                <w:sz w:val="28"/>
                <w:szCs w:val="28"/>
              </w:rPr>
              <w:t>（注：重点审核一票否决情况）</w:t>
            </w:r>
          </w:p>
          <w:p>
            <w:pPr>
              <w:ind w:firstLine="2520" w:firstLineChars="900"/>
              <w:rPr>
                <w:rFonts w:ascii="仿宋_GB2312" w:hAnsi="宋体" w:eastAsia="仿宋_GB2312"/>
                <w:sz w:val="28"/>
                <w:szCs w:val="28"/>
              </w:rPr>
            </w:pPr>
            <w:r>
              <w:rPr>
                <w:rFonts w:hint="eastAsia" w:ascii="仿宋_GB2312" w:hAnsi="宋体" w:eastAsia="仿宋_GB2312"/>
                <w:sz w:val="28"/>
                <w:szCs w:val="28"/>
              </w:rPr>
              <w:t xml:space="preserve"> （公章）</w:t>
            </w:r>
          </w:p>
        </w:tc>
        <w:tc>
          <w:tcPr>
            <w:tcW w:w="484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宋体" w:eastAsia="仿宋_GB2312"/>
                <w:sz w:val="28"/>
                <w:szCs w:val="28"/>
              </w:rPr>
            </w:pPr>
          </w:p>
          <w:p>
            <w:pPr>
              <w:spacing w:line="320" w:lineRule="exact"/>
              <w:rPr>
                <w:rFonts w:ascii="仿宋_GB2312" w:hAnsi="宋体" w:eastAsia="仿宋_GB2312"/>
                <w:sz w:val="28"/>
                <w:szCs w:val="28"/>
              </w:rPr>
            </w:pPr>
            <w:r>
              <w:rPr>
                <w:rFonts w:hint="eastAsia" w:ascii="仿宋_GB2312" w:hAnsi="宋体" w:eastAsia="仿宋_GB2312"/>
                <w:sz w:val="28"/>
                <w:szCs w:val="28"/>
              </w:rPr>
              <w:t>市农业农村部门审定意见：</w:t>
            </w:r>
          </w:p>
          <w:p>
            <w:pPr>
              <w:spacing w:line="320" w:lineRule="exact"/>
              <w:jc w:val="center"/>
              <w:rPr>
                <w:rFonts w:ascii="仿宋_GB2312" w:hAnsi="宋体" w:eastAsia="仿宋_GB2312"/>
                <w:sz w:val="28"/>
                <w:szCs w:val="28"/>
              </w:rPr>
            </w:pPr>
          </w:p>
          <w:p>
            <w:pPr>
              <w:spacing w:line="320" w:lineRule="exact"/>
              <w:jc w:val="center"/>
              <w:rPr>
                <w:rFonts w:ascii="仿宋_GB2312" w:hAnsi="宋体" w:eastAsia="仿宋_GB2312"/>
                <w:sz w:val="28"/>
                <w:szCs w:val="28"/>
              </w:rPr>
            </w:pPr>
          </w:p>
          <w:p>
            <w:pPr>
              <w:spacing w:line="320" w:lineRule="exact"/>
              <w:jc w:val="center"/>
              <w:rPr>
                <w:rFonts w:ascii="仿宋_GB2312" w:hAnsi="宋体" w:eastAsia="仿宋_GB2312"/>
                <w:sz w:val="28"/>
                <w:szCs w:val="28"/>
              </w:rPr>
            </w:pPr>
          </w:p>
          <w:p>
            <w:pPr>
              <w:spacing w:line="320" w:lineRule="exact"/>
              <w:jc w:val="center"/>
              <w:rPr>
                <w:rFonts w:ascii="仿宋_GB2312" w:hAnsi="宋体" w:eastAsia="仿宋_GB2312"/>
                <w:sz w:val="28"/>
                <w:szCs w:val="28"/>
              </w:rPr>
            </w:pPr>
            <w:r>
              <w:rPr>
                <w:rFonts w:hint="eastAsia" w:ascii="仿宋_GB2312" w:hAnsi="宋体" w:eastAsia="仿宋_GB2312"/>
                <w:sz w:val="28"/>
                <w:szCs w:val="28"/>
              </w:rPr>
              <w:t xml:space="preserve">                （公章）</w:t>
            </w:r>
          </w:p>
        </w:tc>
      </w:tr>
    </w:tbl>
    <w:p>
      <w:pPr>
        <w:snapToGrid w:val="0"/>
        <w:rPr>
          <w:rFonts w:ascii="黑体" w:hAnsi="黑体" w:eastAsia="黑体"/>
          <w:bCs/>
          <w:sz w:val="32"/>
          <w:szCs w:val="32"/>
        </w:rPr>
        <w:sectPr>
          <w:pgSz w:w="11906" w:h="16838"/>
          <w:pgMar w:top="2098" w:right="1474" w:bottom="1984" w:left="1587" w:header="340" w:footer="454" w:gutter="0"/>
          <w:pgNumType w:fmt="numberInDash"/>
          <w:cols w:space="720" w:num="1"/>
          <w:docGrid w:type="lines" w:linePitch="560" w:charSpace="0"/>
        </w:sectPr>
      </w:pPr>
    </w:p>
    <w:p>
      <w:pPr>
        <w:snapToGrid w:val="0"/>
        <w:rPr>
          <w:rFonts w:eastAsia="黑体"/>
          <w:bCs/>
          <w:sz w:val="32"/>
          <w:szCs w:val="32"/>
        </w:rPr>
      </w:pPr>
      <w:r>
        <w:rPr>
          <w:rFonts w:hint="eastAsia" w:ascii="黑体" w:hAnsi="黑体" w:eastAsia="黑体"/>
          <w:bCs/>
          <w:sz w:val="32"/>
          <w:szCs w:val="32"/>
        </w:rPr>
        <w:t>二、提交材料清单</w:t>
      </w:r>
    </w:p>
    <w:tbl>
      <w:tblPr>
        <w:tblStyle w:val="7"/>
        <w:tblW w:w="9239" w:type="dxa"/>
        <w:jc w:val="center"/>
        <w:tblLayout w:type="fixed"/>
        <w:tblCellMar>
          <w:top w:w="0" w:type="dxa"/>
          <w:left w:w="108" w:type="dxa"/>
          <w:bottom w:w="0" w:type="dxa"/>
          <w:right w:w="108" w:type="dxa"/>
        </w:tblCellMar>
      </w:tblPr>
      <w:tblGrid>
        <w:gridCol w:w="5640"/>
        <w:gridCol w:w="2383"/>
        <w:gridCol w:w="1216"/>
      </w:tblGrid>
      <w:tr>
        <w:trPr>
          <w:trHeight w:val="1083"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hAnsi="黑体" w:eastAsia="黑体"/>
                <w:sz w:val="28"/>
                <w:szCs w:val="28"/>
              </w:rPr>
            </w:pPr>
            <w:r>
              <w:rPr>
                <w:rFonts w:hint="eastAsia" w:ascii="黑体" w:hAnsi="黑体" w:eastAsia="黑体"/>
                <w:sz w:val="28"/>
                <w:szCs w:val="28"/>
              </w:rPr>
              <w:t>材料名称</w:t>
            </w:r>
          </w:p>
        </w:tc>
        <w:tc>
          <w:tcPr>
            <w:tcW w:w="2383" w:type="dxa"/>
            <w:tcBorders>
              <w:top w:val="single" w:color="auto" w:sz="4" w:space="0"/>
              <w:left w:val="nil"/>
              <w:bottom w:val="single" w:color="auto" w:sz="4" w:space="0"/>
              <w:right w:val="single" w:color="auto" w:sz="4" w:space="0"/>
            </w:tcBorders>
            <w:noWrap w:val="0"/>
            <w:vAlign w:val="center"/>
          </w:tcPr>
          <w:p>
            <w:pPr>
              <w:spacing w:line="400" w:lineRule="exact"/>
              <w:rPr>
                <w:rFonts w:ascii="黑体" w:hAnsi="黑体" w:eastAsia="黑体"/>
                <w:sz w:val="28"/>
                <w:szCs w:val="28"/>
              </w:rPr>
            </w:pPr>
            <w:r>
              <w:rPr>
                <w:rFonts w:hint="eastAsia" w:ascii="黑体" w:hAnsi="黑体" w:eastAsia="黑体"/>
                <w:sz w:val="28"/>
                <w:szCs w:val="28"/>
              </w:rPr>
              <w:t>是否提交（在相应栏目中打“√”）</w:t>
            </w:r>
          </w:p>
        </w:tc>
        <w:tc>
          <w:tcPr>
            <w:tcW w:w="121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黑体" w:hAnsi="黑体" w:eastAsia="黑体"/>
                <w:sz w:val="28"/>
                <w:szCs w:val="28"/>
              </w:rPr>
            </w:pPr>
            <w:r>
              <w:rPr>
                <w:rFonts w:hint="eastAsia" w:ascii="黑体" w:hAnsi="黑体" w:eastAsia="黑体"/>
                <w:sz w:val="28"/>
                <w:szCs w:val="28"/>
              </w:rPr>
              <w:t>备注</w:t>
            </w:r>
          </w:p>
        </w:tc>
      </w:tr>
      <w:tr>
        <w:tblPrEx>
          <w:tblCellMar>
            <w:top w:w="0" w:type="dxa"/>
            <w:left w:w="108" w:type="dxa"/>
            <w:bottom w:w="0" w:type="dxa"/>
            <w:right w:w="108" w:type="dxa"/>
          </w:tblCellMar>
        </w:tblPrEx>
        <w:trPr>
          <w:trHeight w:val="1020" w:hRule="exac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宋体" w:eastAsia="仿宋_GB2312"/>
                <w:sz w:val="28"/>
                <w:szCs w:val="28"/>
              </w:rPr>
            </w:pPr>
            <w:r>
              <w:rPr>
                <w:rFonts w:hint="eastAsia" w:ascii="仿宋_GB2312" w:hAnsi="宋体" w:eastAsia="仿宋_GB2312"/>
                <w:sz w:val="28"/>
                <w:szCs w:val="28"/>
              </w:rPr>
              <w:t>1.企业营业执照复印件。</w:t>
            </w:r>
          </w:p>
        </w:tc>
        <w:tc>
          <w:tcPr>
            <w:tcW w:w="2383"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8"/>
                <w:szCs w:val="28"/>
              </w:rPr>
            </w:pPr>
          </w:p>
        </w:tc>
        <w:tc>
          <w:tcPr>
            <w:tcW w:w="1216"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8"/>
                <w:szCs w:val="28"/>
              </w:rPr>
            </w:pPr>
          </w:p>
        </w:tc>
      </w:tr>
      <w:tr>
        <w:tblPrEx>
          <w:tblCellMar>
            <w:top w:w="0" w:type="dxa"/>
            <w:left w:w="108" w:type="dxa"/>
            <w:bottom w:w="0" w:type="dxa"/>
            <w:right w:w="108" w:type="dxa"/>
          </w:tblCellMar>
        </w:tblPrEx>
        <w:trPr>
          <w:trHeight w:val="1020" w:hRule="exac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宋体" w:eastAsia="仿宋_GB2312"/>
                <w:sz w:val="28"/>
                <w:szCs w:val="28"/>
              </w:rPr>
            </w:pPr>
            <w:r>
              <w:rPr>
                <w:rFonts w:hint="eastAsia" w:ascii="仿宋_GB2312" w:hAnsi="宋体" w:eastAsia="仿宋_GB2312"/>
                <w:sz w:val="28"/>
                <w:szCs w:val="28"/>
              </w:rPr>
              <w:t>2.法定代表人（负责人）身份证明复印件。</w:t>
            </w:r>
          </w:p>
        </w:tc>
        <w:tc>
          <w:tcPr>
            <w:tcW w:w="2383"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8"/>
                <w:szCs w:val="28"/>
              </w:rPr>
            </w:pPr>
          </w:p>
        </w:tc>
        <w:tc>
          <w:tcPr>
            <w:tcW w:w="1216"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8"/>
                <w:szCs w:val="28"/>
              </w:rPr>
            </w:pPr>
          </w:p>
        </w:tc>
      </w:tr>
      <w:tr>
        <w:tblPrEx>
          <w:tblCellMar>
            <w:top w:w="0" w:type="dxa"/>
            <w:left w:w="108" w:type="dxa"/>
            <w:bottom w:w="0" w:type="dxa"/>
            <w:right w:w="108" w:type="dxa"/>
          </w:tblCellMar>
        </w:tblPrEx>
        <w:trPr>
          <w:trHeight w:val="1020" w:hRule="exac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宋体" w:eastAsia="仿宋_GB2312"/>
                <w:sz w:val="28"/>
                <w:szCs w:val="28"/>
              </w:rPr>
            </w:pPr>
            <w:r>
              <w:rPr>
                <w:rFonts w:hint="eastAsia" w:ascii="仿宋_GB2312" w:hAnsi="宋体" w:eastAsia="仿宋_GB2312"/>
                <w:sz w:val="28"/>
                <w:szCs w:val="28"/>
              </w:rPr>
              <w:t>3.经营许可证复印件（与经营品类一致）。</w:t>
            </w:r>
          </w:p>
        </w:tc>
        <w:tc>
          <w:tcPr>
            <w:tcW w:w="2383"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8"/>
                <w:szCs w:val="28"/>
              </w:rPr>
            </w:pPr>
          </w:p>
        </w:tc>
        <w:tc>
          <w:tcPr>
            <w:tcW w:w="1216"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8"/>
                <w:szCs w:val="28"/>
              </w:rPr>
            </w:pPr>
          </w:p>
        </w:tc>
      </w:tr>
      <w:tr>
        <w:tblPrEx>
          <w:tblCellMar>
            <w:top w:w="0" w:type="dxa"/>
            <w:left w:w="108" w:type="dxa"/>
            <w:bottom w:w="0" w:type="dxa"/>
            <w:right w:w="108" w:type="dxa"/>
          </w:tblCellMar>
        </w:tblPrEx>
        <w:trPr>
          <w:trHeight w:val="1020" w:hRule="exac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宋体" w:eastAsia="仿宋_GB2312"/>
                <w:sz w:val="28"/>
                <w:szCs w:val="28"/>
              </w:rPr>
            </w:pPr>
            <w:r>
              <w:rPr>
                <w:rFonts w:hint="eastAsia" w:ascii="仿宋_GB2312" w:hAnsi="宋体" w:eastAsia="仿宋_GB2312"/>
                <w:sz w:val="28"/>
                <w:szCs w:val="28"/>
              </w:rPr>
              <w:t>4.经营人员的学历或者培训证明复印件。</w:t>
            </w:r>
          </w:p>
        </w:tc>
        <w:tc>
          <w:tcPr>
            <w:tcW w:w="2383"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8"/>
                <w:szCs w:val="28"/>
              </w:rPr>
            </w:pPr>
          </w:p>
        </w:tc>
        <w:tc>
          <w:tcPr>
            <w:tcW w:w="1216"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8"/>
                <w:szCs w:val="28"/>
              </w:rPr>
            </w:pPr>
          </w:p>
        </w:tc>
      </w:tr>
      <w:tr>
        <w:tblPrEx>
          <w:tblCellMar>
            <w:top w:w="0" w:type="dxa"/>
            <w:left w:w="108" w:type="dxa"/>
            <w:bottom w:w="0" w:type="dxa"/>
            <w:right w:w="108" w:type="dxa"/>
          </w:tblCellMar>
        </w:tblPrEx>
        <w:trPr>
          <w:trHeight w:val="1020" w:hRule="exac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宋体" w:eastAsia="仿宋_GB2312"/>
                <w:sz w:val="28"/>
                <w:szCs w:val="28"/>
              </w:rPr>
            </w:pPr>
            <w:r>
              <w:rPr>
                <w:rFonts w:hint="eastAsia" w:ascii="仿宋_GB2312" w:hAnsi="宋体" w:eastAsia="仿宋_GB2312"/>
                <w:sz w:val="28"/>
                <w:szCs w:val="28"/>
              </w:rPr>
              <w:t>5.营业场所和仓储场所地址、面积、平面图等说明材料及门头、场所照片。</w:t>
            </w:r>
          </w:p>
        </w:tc>
        <w:tc>
          <w:tcPr>
            <w:tcW w:w="2383"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8"/>
                <w:szCs w:val="28"/>
              </w:rPr>
            </w:pPr>
          </w:p>
        </w:tc>
        <w:tc>
          <w:tcPr>
            <w:tcW w:w="1216"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8"/>
                <w:szCs w:val="28"/>
              </w:rPr>
            </w:pPr>
          </w:p>
        </w:tc>
      </w:tr>
      <w:tr>
        <w:tblPrEx>
          <w:tblCellMar>
            <w:top w:w="0" w:type="dxa"/>
            <w:left w:w="108" w:type="dxa"/>
            <w:bottom w:w="0" w:type="dxa"/>
            <w:right w:w="108" w:type="dxa"/>
          </w:tblCellMar>
        </w:tblPrEx>
        <w:trPr>
          <w:trHeight w:val="1020" w:hRule="exac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宋体" w:eastAsia="仿宋_GB2312"/>
                <w:sz w:val="28"/>
                <w:szCs w:val="28"/>
              </w:rPr>
            </w:pPr>
            <w:r>
              <w:rPr>
                <w:rFonts w:hint="eastAsia" w:ascii="仿宋_GB2312" w:hAnsi="宋体" w:eastAsia="仿宋_GB2312"/>
                <w:sz w:val="28"/>
                <w:szCs w:val="28"/>
              </w:rPr>
              <w:t>6.营业场所和仓储场所产权证或租赁证明。</w:t>
            </w:r>
          </w:p>
        </w:tc>
        <w:tc>
          <w:tcPr>
            <w:tcW w:w="2383"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8"/>
                <w:szCs w:val="28"/>
              </w:rPr>
            </w:pPr>
          </w:p>
        </w:tc>
        <w:tc>
          <w:tcPr>
            <w:tcW w:w="1216"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8"/>
                <w:szCs w:val="28"/>
              </w:rPr>
            </w:pPr>
          </w:p>
        </w:tc>
      </w:tr>
      <w:tr>
        <w:tblPrEx>
          <w:tblCellMar>
            <w:top w:w="0" w:type="dxa"/>
            <w:left w:w="108" w:type="dxa"/>
            <w:bottom w:w="0" w:type="dxa"/>
            <w:right w:w="108" w:type="dxa"/>
          </w:tblCellMar>
        </w:tblPrEx>
        <w:trPr>
          <w:trHeight w:val="1020" w:hRule="exac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宋体" w:eastAsia="仿宋_GB2312"/>
                <w:sz w:val="28"/>
                <w:szCs w:val="28"/>
              </w:rPr>
            </w:pPr>
            <w:r>
              <w:rPr>
                <w:rFonts w:hint="eastAsia" w:ascii="仿宋_GB2312" w:hAnsi="宋体" w:eastAsia="仿宋_GB2312"/>
                <w:sz w:val="28"/>
                <w:szCs w:val="28"/>
              </w:rPr>
              <w:t>7.计算机管理系统、可追溯电子信息码扫描设备等清单及照片（含操作照片）。</w:t>
            </w:r>
          </w:p>
        </w:tc>
        <w:tc>
          <w:tcPr>
            <w:tcW w:w="2383"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8"/>
                <w:szCs w:val="28"/>
              </w:rPr>
            </w:pPr>
          </w:p>
        </w:tc>
        <w:tc>
          <w:tcPr>
            <w:tcW w:w="1216" w:type="dxa"/>
            <w:tcBorders>
              <w:top w:val="single" w:color="auto" w:sz="4" w:space="0"/>
              <w:left w:val="nil"/>
              <w:bottom w:val="single" w:color="auto" w:sz="4" w:space="0"/>
              <w:right w:val="single" w:color="auto" w:sz="4" w:space="0"/>
            </w:tcBorders>
            <w:noWrap w:val="0"/>
            <w:vAlign w:val="center"/>
          </w:tcPr>
          <w:p>
            <w:pPr>
              <w:spacing w:line="400" w:lineRule="exact"/>
              <w:rPr>
                <w:sz w:val="28"/>
                <w:szCs w:val="28"/>
              </w:rPr>
            </w:pPr>
          </w:p>
        </w:tc>
      </w:tr>
      <w:tr>
        <w:tblPrEx>
          <w:tblCellMar>
            <w:top w:w="0" w:type="dxa"/>
            <w:left w:w="108" w:type="dxa"/>
            <w:bottom w:w="0" w:type="dxa"/>
            <w:right w:w="108" w:type="dxa"/>
          </w:tblCellMar>
        </w:tblPrEx>
        <w:trPr>
          <w:trHeight w:val="1020" w:hRule="exac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宋体" w:eastAsia="仿宋_GB2312"/>
                <w:sz w:val="28"/>
                <w:szCs w:val="28"/>
              </w:rPr>
            </w:pPr>
            <w:r>
              <w:rPr>
                <w:rFonts w:hint="eastAsia" w:ascii="仿宋_GB2312" w:hAnsi="宋体" w:eastAsia="仿宋_GB2312"/>
                <w:sz w:val="28"/>
                <w:szCs w:val="28"/>
              </w:rPr>
              <w:t>8.安全生产、消防设备、仓储设施等清单及照片。</w:t>
            </w:r>
          </w:p>
        </w:tc>
        <w:tc>
          <w:tcPr>
            <w:tcW w:w="2383"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8"/>
                <w:szCs w:val="28"/>
              </w:rPr>
            </w:pPr>
          </w:p>
        </w:tc>
        <w:tc>
          <w:tcPr>
            <w:tcW w:w="1216" w:type="dxa"/>
            <w:tcBorders>
              <w:top w:val="single" w:color="auto" w:sz="4" w:space="0"/>
              <w:left w:val="nil"/>
              <w:bottom w:val="single" w:color="auto" w:sz="4" w:space="0"/>
              <w:right w:val="single" w:color="auto" w:sz="4" w:space="0"/>
            </w:tcBorders>
            <w:noWrap w:val="0"/>
            <w:vAlign w:val="center"/>
          </w:tcPr>
          <w:p>
            <w:pPr>
              <w:spacing w:line="400" w:lineRule="exact"/>
              <w:rPr>
                <w:sz w:val="28"/>
                <w:szCs w:val="28"/>
              </w:rPr>
            </w:pPr>
          </w:p>
        </w:tc>
      </w:tr>
      <w:tr>
        <w:tblPrEx>
          <w:tblCellMar>
            <w:top w:w="0" w:type="dxa"/>
            <w:left w:w="108" w:type="dxa"/>
            <w:bottom w:w="0" w:type="dxa"/>
            <w:right w:w="108" w:type="dxa"/>
          </w:tblCellMar>
        </w:tblPrEx>
        <w:trPr>
          <w:trHeight w:val="1395" w:hRule="exac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宋体" w:eastAsia="仿宋_GB2312"/>
                <w:sz w:val="28"/>
                <w:szCs w:val="28"/>
              </w:rPr>
            </w:pPr>
            <w:r>
              <w:rPr>
                <w:rFonts w:hint="eastAsia" w:ascii="仿宋_GB2312" w:hAnsi="宋体" w:eastAsia="仿宋_GB2312"/>
                <w:sz w:val="28"/>
                <w:szCs w:val="28"/>
              </w:rPr>
              <w:t>9.经营活动证明材料：部分典型农（兽）药进销售等台账复印件；开展培训指导活动证明材料。</w:t>
            </w:r>
          </w:p>
        </w:tc>
        <w:tc>
          <w:tcPr>
            <w:tcW w:w="2383"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8"/>
                <w:szCs w:val="28"/>
              </w:rPr>
            </w:pPr>
          </w:p>
        </w:tc>
        <w:tc>
          <w:tcPr>
            <w:tcW w:w="1216" w:type="dxa"/>
            <w:tcBorders>
              <w:top w:val="single" w:color="auto" w:sz="4" w:space="0"/>
              <w:left w:val="nil"/>
              <w:bottom w:val="single" w:color="auto" w:sz="4" w:space="0"/>
              <w:right w:val="single" w:color="auto" w:sz="4" w:space="0"/>
            </w:tcBorders>
            <w:noWrap w:val="0"/>
            <w:vAlign w:val="center"/>
          </w:tcPr>
          <w:p>
            <w:pPr>
              <w:spacing w:line="400" w:lineRule="exact"/>
              <w:rPr>
                <w:sz w:val="28"/>
                <w:szCs w:val="28"/>
              </w:rPr>
            </w:pPr>
          </w:p>
        </w:tc>
      </w:tr>
      <w:tr>
        <w:tblPrEx>
          <w:tblCellMar>
            <w:top w:w="0" w:type="dxa"/>
            <w:left w:w="108" w:type="dxa"/>
            <w:bottom w:w="0" w:type="dxa"/>
            <w:right w:w="108" w:type="dxa"/>
          </w:tblCellMar>
        </w:tblPrEx>
        <w:trPr>
          <w:trHeight w:val="1212" w:hRule="exac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宋体" w:eastAsia="仿宋_GB2312"/>
                <w:sz w:val="28"/>
                <w:szCs w:val="28"/>
              </w:rPr>
            </w:pPr>
            <w:r>
              <w:rPr>
                <w:rFonts w:hint="eastAsia" w:ascii="仿宋_GB2312" w:hAnsi="宋体" w:eastAsia="仿宋_GB2312"/>
                <w:sz w:val="28"/>
                <w:szCs w:val="28"/>
              </w:rPr>
              <w:t>10.服务证明材料：售后服务、处方或解决方案示例。</w:t>
            </w:r>
          </w:p>
        </w:tc>
        <w:tc>
          <w:tcPr>
            <w:tcW w:w="2383"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8"/>
                <w:szCs w:val="28"/>
              </w:rPr>
            </w:pPr>
          </w:p>
        </w:tc>
        <w:tc>
          <w:tcPr>
            <w:tcW w:w="1216" w:type="dxa"/>
            <w:tcBorders>
              <w:top w:val="single" w:color="auto" w:sz="4" w:space="0"/>
              <w:left w:val="nil"/>
              <w:bottom w:val="single" w:color="auto" w:sz="4" w:space="0"/>
              <w:right w:val="single" w:color="auto" w:sz="4" w:space="0"/>
            </w:tcBorders>
            <w:noWrap w:val="0"/>
            <w:vAlign w:val="center"/>
          </w:tcPr>
          <w:p>
            <w:pPr>
              <w:spacing w:line="400" w:lineRule="exact"/>
              <w:rPr>
                <w:sz w:val="28"/>
                <w:szCs w:val="28"/>
              </w:rPr>
            </w:pPr>
          </w:p>
        </w:tc>
      </w:tr>
    </w:tbl>
    <w:p>
      <w:pPr>
        <w:pStyle w:val="10"/>
        <w:rPr>
          <w:rFonts w:ascii="黑体" w:hAnsi="黑体" w:eastAsia="黑体" w:cs="黑体"/>
          <w:bCs/>
          <w:sz w:val="32"/>
          <w:szCs w:val="32"/>
        </w:rPr>
      </w:pPr>
      <w:r>
        <w:rPr>
          <w:rFonts w:hint="eastAsia" w:ascii="黑体" w:hAnsi="黑体" w:eastAsia="黑体" w:cs="黑体"/>
          <w:bCs/>
          <w:sz w:val="32"/>
          <w:szCs w:val="32"/>
        </w:rPr>
        <w:t>附件5</w:t>
      </w:r>
    </w:p>
    <w:p>
      <w:pPr>
        <w:pStyle w:val="10"/>
        <w:spacing w:before="280" w:beforeLines="50" w:after="280" w:afterLines="50"/>
        <w:jc w:val="center"/>
        <w:rPr>
          <w:rFonts w:ascii="方正小标宋_GBK" w:hAnsi="方正小标宋_GBK" w:eastAsia="方正小标宋_GBK" w:cs="方正小标宋_GBK"/>
          <w:kern w:val="0"/>
          <w:sz w:val="44"/>
          <w:szCs w:val="44"/>
          <w:shd w:val="clear" w:color="auto" w:fill="FFFFFF"/>
          <w:lang w:bidi="ar"/>
        </w:rPr>
      </w:pPr>
      <w:r>
        <w:rPr>
          <w:rFonts w:hint="eastAsia" w:ascii="方正小标宋_GBK" w:hAnsi="方正小标宋_GBK" w:eastAsia="方正小标宋_GBK" w:cs="方正小标宋_GBK"/>
          <w:kern w:val="0"/>
          <w:sz w:val="44"/>
          <w:szCs w:val="44"/>
          <w:shd w:val="clear" w:color="auto" w:fill="FFFFFF"/>
          <w:lang w:bidi="ar"/>
        </w:rPr>
        <w:t>青岛市</w:t>
      </w:r>
      <w:r>
        <w:rPr>
          <w:rFonts w:hint="eastAsia" w:ascii="方正小标宋_GBK" w:hAnsi="方正小标宋_GBK" w:eastAsia="方正小标宋_GBK" w:cs="方正小标宋_GBK"/>
          <w:sz w:val="44"/>
          <w:szCs w:val="44"/>
        </w:rPr>
        <w:t>星级农药</w:t>
      </w:r>
      <w:r>
        <w:rPr>
          <w:rFonts w:hint="eastAsia" w:ascii="方正小标宋_GBK" w:hAnsi="方正小标宋_GBK" w:eastAsia="方正小标宋_GBK" w:cs="方正小标宋_GBK"/>
          <w:kern w:val="0"/>
          <w:sz w:val="44"/>
          <w:szCs w:val="44"/>
          <w:shd w:val="clear" w:color="auto" w:fill="FFFFFF"/>
          <w:lang w:bidi="ar"/>
        </w:rPr>
        <w:t>经营门店创建验收评分标准</w:t>
      </w:r>
    </w:p>
    <w:tbl>
      <w:tblPr>
        <w:tblStyle w:val="8"/>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5214"/>
        <w:gridCol w:w="885"/>
        <w:gridCol w:w="885"/>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800" w:type="dxa"/>
            <w:noWrap w:val="0"/>
            <w:vAlign w:val="center"/>
          </w:tcPr>
          <w:p>
            <w:pPr>
              <w:widowControl/>
              <w:wordWrap w:val="0"/>
              <w:spacing w:line="260" w:lineRule="exact"/>
              <w:jc w:val="center"/>
              <w:rPr>
                <w:rFonts w:ascii="黑体" w:hAnsi="黑体" w:eastAsia="黑体" w:cs="黑体"/>
              </w:rPr>
            </w:pPr>
            <w:r>
              <w:rPr>
                <w:rFonts w:hint="eastAsia" w:ascii="黑体" w:hAnsi="黑体" w:eastAsia="黑体" w:cs="黑体"/>
                <w:kern w:val="0"/>
                <w:sz w:val="24"/>
                <w:lang w:bidi="ar"/>
              </w:rPr>
              <w:t>项 目</w:t>
            </w:r>
          </w:p>
        </w:tc>
        <w:tc>
          <w:tcPr>
            <w:tcW w:w="5214" w:type="dxa"/>
            <w:noWrap w:val="0"/>
            <w:vAlign w:val="center"/>
          </w:tcPr>
          <w:p>
            <w:pPr>
              <w:widowControl/>
              <w:wordWrap w:val="0"/>
              <w:spacing w:line="260" w:lineRule="exact"/>
              <w:jc w:val="center"/>
              <w:rPr>
                <w:rFonts w:ascii="黑体" w:hAnsi="黑体" w:eastAsia="黑体" w:cs="黑体"/>
              </w:rPr>
            </w:pPr>
            <w:r>
              <w:rPr>
                <w:rFonts w:hint="eastAsia" w:ascii="黑体" w:hAnsi="黑体" w:eastAsia="黑体" w:cs="黑体"/>
                <w:kern w:val="0"/>
                <w:sz w:val="24"/>
                <w:lang w:bidi="ar"/>
              </w:rPr>
              <w:t>评分标准</w:t>
            </w:r>
          </w:p>
        </w:tc>
        <w:tc>
          <w:tcPr>
            <w:tcW w:w="885" w:type="dxa"/>
            <w:noWrap w:val="0"/>
            <w:vAlign w:val="center"/>
          </w:tcPr>
          <w:p>
            <w:pPr>
              <w:widowControl/>
              <w:wordWrap w:val="0"/>
              <w:spacing w:line="260" w:lineRule="exact"/>
              <w:jc w:val="center"/>
              <w:rPr>
                <w:rFonts w:ascii="黑体" w:hAnsi="黑体" w:eastAsia="黑体" w:cs="黑体"/>
                <w:kern w:val="0"/>
                <w:sz w:val="24"/>
                <w:lang w:bidi="ar"/>
              </w:rPr>
            </w:pPr>
            <w:r>
              <w:rPr>
                <w:rFonts w:hint="eastAsia" w:ascii="黑体" w:hAnsi="黑体" w:eastAsia="黑体" w:cs="黑体"/>
                <w:kern w:val="0"/>
                <w:sz w:val="24"/>
                <w:lang w:bidi="ar"/>
              </w:rPr>
              <w:t>初核得分</w:t>
            </w:r>
          </w:p>
        </w:tc>
        <w:tc>
          <w:tcPr>
            <w:tcW w:w="885" w:type="dxa"/>
            <w:noWrap w:val="0"/>
            <w:vAlign w:val="center"/>
          </w:tcPr>
          <w:p>
            <w:pPr>
              <w:widowControl/>
              <w:wordWrap w:val="0"/>
              <w:spacing w:line="260" w:lineRule="exact"/>
              <w:jc w:val="center"/>
              <w:rPr>
                <w:rFonts w:ascii="黑体" w:hAnsi="黑体" w:eastAsia="黑体" w:cs="黑体"/>
                <w:kern w:val="0"/>
                <w:sz w:val="24"/>
                <w:lang w:bidi="ar"/>
              </w:rPr>
            </w:pPr>
            <w:r>
              <w:rPr>
                <w:rFonts w:hint="eastAsia" w:ascii="黑体" w:hAnsi="黑体" w:eastAsia="黑体" w:cs="黑体"/>
                <w:kern w:val="0"/>
                <w:sz w:val="24"/>
                <w:lang w:bidi="ar"/>
              </w:rPr>
              <w:t>验收</w:t>
            </w:r>
          </w:p>
          <w:p>
            <w:pPr>
              <w:widowControl/>
              <w:wordWrap w:val="0"/>
              <w:spacing w:line="260" w:lineRule="exact"/>
              <w:jc w:val="center"/>
              <w:rPr>
                <w:rFonts w:ascii="黑体" w:hAnsi="黑体" w:eastAsia="黑体" w:cs="黑体"/>
                <w:kern w:val="0"/>
                <w:sz w:val="24"/>
                <w:lang w:bidi="ar"/>
              </w:rPr>
            </w:pPr>
            <w:r>
              <w:rPr>
                <w:rFonts w:hint="eastAsia" w:ascii="黑体" w:hAnsi="黑体" w:eastAsia="黑体" w:cs="黑体"/>
                <w:kern w:val="0"/>
                <w:sz w:val="24"/>
                <w:lang w:bidi="ar"/>
              </w:rPr>
              <w:t>得分</w:t>
            </w:r>
          </w:p>
        </w:tc>
        <w:tc>
          <w:tcPr>
            <w:tcW w:w="1169" w:type="dxa"/>
            <w:noWrap w:val="0"/>
            <w:vAlign w:val="center"/>
          </w:tcPr>
          <w:p>
            <w:pPr>
              <w:widowControl/>
              <w:wordWrap w:val="0"/>
              <w:spacing w:line="260" w:lineRule="exact"/>
              <w:jc w:val="center"/>
              <w:rPr>
                <w:rFonts w:ascii="黑体" w:hAnsi="黑体" w:eastAsia="黑体" w:cs="黑体"/>
                <w:kern w:val="0"/>
                <w:sz w:val="24"/>
                <w:lang w:bidi="ar"/>
              </w:rPr>
            </w:pPr>
            <w:r>
              <w:rPr>
                <w:rFonts w:hint="eastAsia" w:ascii="黑体" w:hAnsi="黑体" w:eastAsia="黑体" w:cs="黑体"/>
                <w:kern w:val="0"/>
                <w:sz w:val="24"/>
                <w:lang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800" w:type="dxa"/>
            <w:vMerge w:val="restart"/>
            <w:noWrap w:val="0"/>
            <w:vAlign w:val="center"/>
          </w:tcPr>
          <w:p>
            <w:pPr>
              <w:spacing w:line="360" w:lineRule="exact"/>
              <w:jc w:val="center"/>
              <w:rPr>
                <w:rFonts w:ascii="黑体" w:hAnsi="黑体" w:eastAsia="黑体" w:cs="黑体"/>
                <w:kern w:val="0"/>
                <w:sz w:val="28"/>
                <w:szCs w:val="28"/>
                <w:shd w:val="clear" w:color="auto" w:fill="FFFFFF"/>
                <w:lang w:bidi="ar"/>
              </w:rPr>
            </w:pPr>
            <w:r>
              <w:rPr>
                <w:rFonts w:hint="eastAsia" w:ascii="黑体" w:hAnsi="黑体" w:eastAsia="黑体" w:cs="黑体"/>
                <w:kern w:val="0"/>
                <w:sz w:val="28"/>
                <w:szCs w:val="28"/>
                <w:shd w:val="clear" w:color="auto" w:fill="FFFFFF"/>
                <w:lang w:bidi="ar"/>
              </w:rPr>
              <w:t>场所安全化（20分）</w:t>
            </w:r>
          </w:p>
        </w:tc>
        <w:tc>
          <w:tcPr>
            <w:tcW w:w="5214" w:type="dxa"/>
            <w:noWrap w:val="0"/>
            <w:vAlign w:val="center"/>
          </w:tcPr>
          <w:p>
            <w:pPr>
              <w:widowControl/>
              <w:wordWrap w:val="0"/>
              <w:spacing w:line="280" w:lineRule="exact"/>
              <w:rPr>
                <w:rFonts w:ascii="宋体" w:hAnsi="宋体" w:cs="宋体"/>
                <w:kern w:val="0"/>
                <w:szCs w:val="21"/>
                <w:lang w:bidi="ar"/>
              </w:rPr>
            </w:pPr>
            <w:r>
              <w:rPr>
                <w:rFonts w:hint="eastAsia" w:ascii="宋体" w:hAnsi="宋体" w:cs="宋体"/>
                <w:kern w:val="0"/>
                <w:szCs w:val="21"/>
                <w:lang w:bidi="ar"/>
              </w:rPr>
              <w:t>营业面积不少于30㎡（2分），仓储场所面积不少于</w:t>
            </w:r>
          </w:p>
          <w:p>
            <w:pPr>
              <w:widowControl/>
              <w:wordWrap w:val="0"/>
              <w:spacing w:line="280" w:lineRule="exact"/>
              <w:rPr>
                <w:rFonts w:ascii="宋体" w:hAnsi="宋体" w:cs="宋体"/>
                <w:kern w:val="0"/>
                <w:szCs w:val="21"/>
                <w:lang w:bidi="ar"/>
              </w:rPr>
            </w:pPr>
            <w:r>
              <w:rPr>
                <w:rFonts w:hint="eastAsia" w:ascii="宋体" w:hAnsi="宋体" w:cs="宋体"/>
                <w:kern w:val="0"/>
                <w:szCs w:val="21"/>
                <w:lang w:bidi="ar"/>
              </w:rPr>
              <w:t>50㎡（2分）。营业区与仓储区应当相对分隔（1分）。</w:t>
            </w: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1169"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800" w:type="dxa"/>
            <w:vMerge w:val="continue"/>
            <w:noWrap w:val="0"/>
            <w:vAlign w:val="center"/>
          </w:tcPr>
          <w:p>
            <w:pPr>
              <w:spacing w:line="360" w:lineRule="exact"/>
              <w:jc w:val="center"/>
              <w:rPr>
                <w:rFonts w:ascii="黑体" w:hAnsi="黑体" w:eastAsia="黑体" w:cs="黑体"/>
                <w:kern w:val="0"/>
                <w:sz w:val="28"/>
                <w:szCs w:val="28"/>
                <w:shd w:val="clear" w:color="auto" w:fill="FFFFFF"/>
                <w:lang w:bidi="ar"/>
              </w:rPr>
            </w:pPr>
          </w:p>
        </w:tc>
        <w:tc>
          <w:tcPr>
            <w:tcW w:w="5214" w:type="dxa"/>
            <w:noWrap w:val="0"/>
            <w:vAlign w:val="center"/>
          </w:tcPr>
          <w:p>
            <w:pPr>
              <w:widowControl/>
              <w:wordWrap w:val="0"/>
              <w:spacing w:line="280" w:lineRule="exact"/>
              <w:rPr>
                <w:rFonts w:ascii="宋体" w:hAnsi="宋体" w:cs="宋体"/>
                <w:kern w:val="0"/>
                <w:szCs w:val="21"/>
                <w:lang w:bidi="ar"/>
              </w:rPr>
            </w:pPr>
            <w:r>
              <w:rPr>
                <w:rFonts w:hint="eastAsia" w:ascii="宋体" w:hAnsi="宋体" w:cs="宋体"/>
                <w:kern w:val="0"/>
                <w:szCs w:val="21"/>
                <w:lang w:bidi="ar"/>
              </w:rPr>
              <w:t>经营场所和仓储场所应当配备通风（2分）、消防（2分）、预防中毒（2分）等设施器材并定期检验、维护（2分）；有与所经营农药品种、类别相适应的货架、柜台等展示、陈列的设施设备（2分）。</w:t>
            </w: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1169"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0" w:type="dxa"/>
            <w:vMerge w:val="continue"/>
            <w:noWrap w:val="0"/>
            <w:vAlign w:val="top"/>
          </w:tcPr>
          <w:p>
            <w:pPr>
              <w:spacing w:line="360" w:lineRule="exact"/>
              <w:rPr>
                <w:rFonts w:ascii="黑体" w:hAnsi="黑体" w:eastAsia="黑体" w:cs="黑体"/>
                <w:kern w:val="0"/>
                <w:sz w:val="28"/>
                <w:szCs w:val="28"/>
                <w:shd w:val="clear" w:color="auto" w:fill="FFFFFF"/>
                <w:lang w:bidi="ar"/>
              </w:rPr>
            </w:pPr>
          </w:p>
        </w:tc>
        <w:tc>
          <w:tcPr>
            <w:tcW w:w="5214" w:type="dxa"/>
            <w:noWrap w:val="0"/>
            <w:vAlign w:val="center"/>
          </w:tcPr>
          <w:p>
            <w:pPr>
              <w:widowControl/>
              <w:wordWrap w:val="0"/>
              <w:spacing w:line="280" w:lineRule="exact"/>
              <w:rPr>
                <w:rFonts w:ascii="宋体" w:hAnsi="宋体" w:cs="宋体"/>
                <w:kern w:val="0"/>
                <w:szCs w:val="21"/>
                <w:lang w:bidi="ar"/>
              </w:rPr>
            </w:pPr>
            <w:r>
              <w:rPr>
                <w:rFonts w:hint="eastAsia" w:ascii="宋体" w:hAnsi="宋体" w:cs="宋体"/>
                <w:kern w:val="0"/>
                <w:szCs w:val="21"/>
                <w:lang w:bidi="ar"/>
              </w:rPr>
              <w:t>经营限制使用农药，应设专区或专柜（2分），并设置醒目标识、上锁（2分），不得兼营食品、食用农产品、饲料等（1分）。</w:t>
            </w: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1169"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1800" w:type="dxa"/>
            <w:vMerge w:val="restart"/>
            <w:noWrap w:val="0"/>
            <w:vAlign w:val="center"/>
          </w:tcPr>
          <w:p>
            <w:pPr>
              <w:spacing w:line="360" w:lineRule="exact"/>
              <w:jc w:val="center"/>
              <w:rPr>
                <w:rFonts w:ascii="黑体" w:hAnsi="黑体" w:eastAsia="黑体" w:cs="黑体"/>
                <w:kern w:val="0"/>
                <w:sz w:val="28"/>
                <w:szCs w:val="28"/>
                <w:shd w:val="clear" w:color="auto" w:fill="FFFFFF"/>
                <w:lang w:bidi="ar"/>
              </w:rPr>
            </w:pPr>
            <w:r>
              <w:rPr>
                <w:rFonts w:hint="eastAsia" w:ascii="黑体" w:hAnsi="黑体" w:eastAsia="黑体" w:cs="黑体"/>
                <w:kern w:val="0"/>
                <w:sz w:val="28"/>
                <w:szCs w:val="28"/>
                <w:shd w:val="clear" w:color="auto" w:fill="FFFFFF"/>
                <w:lang w:bidi="ar"/>
              </w:rPr>
              <w:t>环境卫生化（10分）</w:t>
            </w:r>
          </w:p>
        </w:tc>
        <w:tc>
          <w:tcPr>
            <w:tcW w:w="5214" w:type="dxa"/>
            <w:noWrap w:val="0"/>
            <w:vAlign w:val="center"/>
          </w:tcPr>
          <w:p>
            <w:pPr>
              <w:widowControl/>
              <w:wordWrap w:val="0"/>
              <w:spacing w:line="280" w:lineRule="exact"/>
              <w:rPr>
                <w:rFonts w:ascii="宋体" w:hAnsi="宋体" w:cs="宋体"/>
                <w:kern w:val="0"/>
                <w:szCs w:val="21"/>
                <w:lang w:bidi="ar"/>
              </w:rPr>
            </w:pPr>
            <w:r>
              <w:rPr>
                <w:rFonts w:hint="eastAsia" w:ascii="宋体" w:hAnsi="宋体" w:cs="宋体"/>
                <w:kern w:val="0"/>
                <w:szCs w:val="21"/>
                <w:lang w:bidi="ar"/>
              </w:rPr>
              <w:t>店面干净整洁，有良好的通风和照明（2分）。</w:t>
            </w: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1169"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800" w:type="dxa"/>
            <w:vMerge w:val="continue"/>
            <w:noWrap w:val="0"/>
            <w:vAlign w:val="top"/>
          </w:tcPr>
          <w:p>
            <w:pPr>
              <w:spacing w:line="360" w:lineRule="exact"/>
              <w:rPr>
                <w:rFonts w:ascii="黑体" w:hAnsi="黑体" w:eastAsia="黑体" w:cs="黑体"/>
                <w:kern w:val="0"/>
                <w:sz w:val="28"/>
                <w:szCs w:val="28"/>
                <w:shd w:val="clear" w:color="auto" w:fill="FFFFFF"/>
                <w:lang w:bidi="ar"/>
              </w:rPr>
            </w:pPr>
          </w:p>
        </w:tc>
        <w:tc>
          <w:tcPr>
            <w:tcW w:w="5214" w:type="dxa"/>
            <w:noWrap w:val="0"/>
            <w:vAlign w:val="center"/>
          </w:tcPr>
          <w:p>
            <w:pPr>
              <w:widowControl/>
              <w:wordWrap w:val="0"/>
              <w:spacing w:line="280" w:lineRule="exact"/>
              <w:rPr>
                <w:rFonts w:ascii="宋体" w:hAnsi="宋体" w:cs="宋体"/>
                <w:kern w:val="0"/>
                <w:szCs w:val="21"/>
                <w:lang w:bidi="ar"/>
              </w:rPr>
            </w:pPr>
            <w:r>
              <w:rPr>
                <w:rFonts w:hint="eastAsia" w:ascii="宋体" w:hAnsi="宋体" w:cs="宋体"/>
                <w:kern w:val="0"/>
                <w:szCs w:val="21"/>
                <w:lang w:bidi="ar"/>
              </w:rPr>
              <w:t>地面、墙壁、顶棚等内表面应平整光洁，门窗结构严密、易清洁（1分），营业区与生活区有效隔离（1分）。</w:t>
            </w: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1169"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800" w:type="dxa"/>
            <w:vMerge w:val="continue"/>
            <w:noWrap w:val="0"/>
            <w:vAlign w:val="center"/>
          </w:tcPr>
          <w:p>
            <w:pPr>
              <w:spacing w:line="360" w:lineRule="exact"/>
              <w:jc w:val="center"/>
              <w:rPr>
                <w:rFonts w:ascii="黑体" w:hAnsi="黑体" w:eastAsia="黑体" w:cs="黑体"/>
                <w:kern w:val="0"/>
                <w:sz w:val="28"/>
                <w:szCs w:val="28"/>
                <w:shd w:val="clear" w:color="auto" w:fill="FFFFFF"/>
                <w:lang w:bidi="ar"/>
              </w:rPr>
            </w:pPr>
          </w:p>
        </w:tc>
        <w:tc>
          <w:tcPr>
            <w:tcW w:w="5214" w:type="dxa"/>
            <w:noWrap w:val="0"/>
            <w:vAlign w:val="center"/>
          </w:tcPr>
          <w:p>
            <w:pPr>
              <w:widowControl/>
              <w:wordWrap w:val="0"/>
              <w:spacing w:line="280" w:lineRule="exact"/>
              <w:rPr>
                <w:rFonts w:ascii="宋体" w:hAnsi="宋体" w:cs="宋体"/>
                <w:kern w:val="0"/>
                <w:szCs w:val="21"/>
                <w:lang w:bidi="ar"/>
              </w:rPr>
            </w:pPr>
            <w:r>
              <w:rPr>
                <w:rFonts w:hint="eastAsia" w:ascii="宋体" w:hAnsi="宋体" w:cs="宋体"/>
                <w:kern w:val="0"/>
                <w:szCs w:val="21"/>
                <w:lang w:bidi="ar"/>
              </w:rPr>
              <w:t>仓储场所不应设置在地下室、窑洞等易积水、受潮或者通道不畅通的地方（2分），应有排水、通风、照明、防虫、防鼠等设施（2分），设置过期或不合格农药存放专区（2分）。</w:t>
            </w: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1169"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0" w:type="dxa"/>
            <w:vMerge w:val="restart"/>
            <w:noWrap w:val="0"/>
            <w:vAlign w:val="center"/>
          </w:tcPr>
          <w:p>
            <w:pPr>
              <w:spacing w:line="360" w:lineRule="exact"/>
              <w:jc w:val="center"/>
              <w:rPr>
                <w:rFonts w:ascii="黑体" w:hAnsi="黑体" w:eastAsia="黑体" w:cs="黑体"/>
                <w:kern w:val="0"/>
                <w:sz w:val="28"/>
                <w:szCs w:val="28"/>
                <w:shd w:val="clear" w:color="auto" w:fill="FFFFFF"/>
                <w:lang w:bidi="ar"/>
              </w:rPr>
            </w:pPr>
            <w:r>
              <w:rPr>
                <w:rFonts w:hint="eastAsia" w:ascii="黑体" w:hAnsi="黑体" w:eastAsia="黑体" w:cs="黑体"/>
                <w:kern w:val="0"/>
                <w:sz w:val="28"/>
                <w:szCs w:val="28"/>
                <w:shd w:val="clear" w:color="auto" w:fill="FFFFFF"/>
                <w:lang w:bidi="ar"/>
              </w:rPr>
              <w:t>经营规范化（20分）</w:t>
            </w:r>
          </w:p>
        </w:tc>
        <w:tc>
          <w:tcPr>
            <w:tcW w:w="5214" w:type="dxa"/>
            <w:noWrap w:val="0"/>
            <w:vAlign w:val="center"/>
          </w:tcPr>
          <w:p>
            <w:pPr>
              <w:widowControl/>
              <w:wordWrap w:val="0"/>
              <w:spacing w:line="280" w:lineRule="exact"/>
              <w:rPr>
                <w:rFonts w:ascii="宋体" w:hAnsi="宋体" w:cs="宋体"/>
                <w:kern w:val="0"/>
                <w:szCs w:val="21"/>
                <w:lang w:bidi="ar"/>
              </w:rPr>
            </w:pPr>
            <w:r>
              <w:rPr>
                <w:rFonts w:hint="eastAsia" w:ascii="宋体" w:hAnsi="宋体" w:cs="宋体"/>
                <w:kern w:val="0"/>
                <w:szCs w:val="21"/>
                <w:lang w:bidi="ar"/>
              </w:rPr>
              <w:t>证明手续齐全，有关许可证和营业执照悬挂在店内明显位置（2分）；管理制度齐全，统一制作并张贴上墙（2分）；签订诚信守法经营承诺书（1分）。</w:t>
            </w: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1169"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00" w:type="dxa"/>
            <w:vMerge w:val="continue"/>
            <w:noWrap w:val="0"/>
            <w:vAlign w:val="top"/>
          </w:tcPr>
          <w:p>
            <w:pPr>
              <w:spacing w:line="260" w:lineRule="exact"/>
              <w:rPr>
                <w:rFonts w:ascii="黑体" w:hAnsi="黑体" w:eastAsia="黑体" w:cs="黑体"/>
                <w:kern w:val="0"/>
                <w:sz w:val="28"/>
                <w:szCs w:val="28"/>
                <w:shd w:val="clear" w:color="auto" w:fill="FFFFFF"/>
                <w:lang w:bidi="ar"/>
              </w:rPr>
            </w:pPr>
          </w:p>
        </w:tc>
        <w:tc>
          <w:tcPr>
            <w:tcW w:w="5214" w:type="dxa"/>
            <w:noWrap w:val="0"/>
            <w:vAlign w:val="center"/>
          </w:tcPr>
          <w:p>
            <w:pPr>
              <w:widowControl/>
              <w:wordWrap w:val="0"/>
              <w:spacing w:line="280" w:lineRule="exact"/>
              <w:rPr>
                <w:rFonts w:ascii="宋体" w:hAnsi="宋体" w:cs="宋体"/>
              </w:rPr>
            </w:pPr>
            <w:r>
              <w:rPr>
                <w:rFonts w:hint="eastAsia" w:ascii="宋体" w:hAnsi="宋体" w:cs="宋体"/>
                <w:kern w:val="0"/>
                <w:szCs w:val="21"/>
                <w:lang w:bidi="ar"/>
              </w:rPr>
              <w:t>农药产品标签符合有关规定，没有“三无产品”、过期产品及包装标识不符合规定的产品（5分）。</w:t>
            </w: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1169"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800" w:type="dxa"/>
            <w:vMerge w:val="continue"/>
            <w:noWrap w:val="0"/>
            <w:vAlign w:val="top"/>
          </w:tcPr>
          <w:p>
            <w:pPr>
              <w:spacing w:line="260" w:lineRule="exact"/>
              <w:rPr>
                <w:rFonts w:ascii="黑体" w:hAnsi="黑体" w:eastAsia="黑体" w:cs="黑体"/>
                <w:kern w:val="0"/>
                <w:sz w:val="28"/>
                <w:szCs w:val="28"/>
                <w:shd w:val="clear" w:color="auto" w:fill="FFFFFF"/>
                <w:lang w:bidi="ar"/>
              </w:rPr>
            </w:pPr>
          </w:p>
        </w:tc>
        <w:tc>
          <w:tcPr>
            <w:tcW w:w="5214" w:type="dxa"/>
            <w:noWrap w:val="0"/>
            <w:vAlign w:val="center"/>
          </w:tcPr>
          <w:p>
            <w:pPr>
              <w:spacing w:line="280" w:lineRule="exact"/>
              <w:rPr>
                <w:rFonts w:ascii="宋体" w:hAnsi="宋体" w:cs="宋体"/>
              </w:rPr>
            </w:pPr>
            <w:r>
              <w:rPr>
                <w:rFonts w:hint="eastAsia" w:ascii="宋体" w:hAnsi="宋体" w:cs="宋体"/>
                <w:kern w:val="0"/>
                <w:szCs w:val="21"/>
                <w:lang w:bidi="ar"/>
              </w:rPr>
              <w:t>配备相适应的货架、货柜，分类陈列、标识规范（2分），杀虫剂、杀菌剂、除草剂、植物生长调节剂等各类农药分类摆放整齐（2分），有价格牌（1分）。</w:t>
            </w: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1169"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00" w:type="dxa"/>
            <w:vMerge w:val="continue"/>
            <w:noWrap w:val="0"/>
            <w:vAlign w:val="top"/>
          </w:tcPr>
          <w:p>
            <w:pPr>
              <w:spacing w:line="260" w:lineRule="exact"/>
              <w:rPr>
                <w:rFonts w:ascii="黑体" w:hAnsi="黑体" w:eastAsia="黑体" w:cs="黑体"/>
                <w:kern w:val="0"/>
                <w:sz w:val="28"/>
                <w:szCs w:val="28"/>
                <w:shd w:val="clear" w:color="auto" w:fill="FFFFFF"/>
                <w:lang w:bidi="ar"/>
              </w:rPr>
            </w:pPr>
          </w:p>
        </w:tc>
        <w:tc>
          <w:tcPr>
            <w:tcW w:w="5214" w:type="dxa"/>
            <w:noWrap w:val="0"/>
            <w:vAlign w:val="center"/>
          </w:tcPr>
          <w:p>
            <w:pPr>
              <w:spacing w:line="280" w:lineRule="exact"/>
              <w:rPr>
                <w:rFonts w:ascii="宋体" w:hAnsi="宋体" w:cs="宋体"/>
                <w:kern w:val="0"/>
                <w:szCs w:val="21"/>
                <w:lang w:bidi="ar"/>
              </w:rPr>
            </w:pPr>
            <w:r>
              <w:rPr>
                <w:rFonts w:hint="eastAsia" w:ascii="宋体" w:hAnsi="宋体" w:cs="宋体"/>
                <w:kern w:val="0"/>
                <w:szCs w:val="21"/>
                <w:lang w:bidi="ar"/>
              </w:rPr>
              <w:t>建立实名购买、溯源管理制度（3分），销售限制使用农药时要确认购买人的真实身份，做到溯源管理（2分）。</w:t>
            </w: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1169"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800" w:type="dxa"/>
            <w:vMerge w:val="restart"/>
            <w:noWrap w:val="0"/>
            <w:vAlign w:val="center"/>
          </w:tcPr>
          <w:p>
            <w:pPr>
              <w:spacing w:line="360" w:lineRule="exact"/>
              <w:jc w:val="center"/>
              <w:rPr>
                <w:rFonts w:ascii="黑体" w:hAnsi="黑体" w:eastAsia="黑体" w:cs="黑体"/>
                <w:kern w:val="0"/>
                <w:sz w:val="28"/>
                <w:szCs w:val="28"/>
                <w:shd w:val="clear" w:color="auto" w:fill="FFFFFF"/>
                <w:lang w:bidi="ar"/>
              </w:rPr>
            </w:pPr>
            <w:r>
              <w:rPr>
                <w:rFonts w:hint="eastAsia" w:ascii="黑体" w:hAnsi="黑体" w:eastAsia="黑体" w:cs="黑体"/>
                <w:kern w:val="0"/>
                <w:sz w:val="28"/>
                <w:szCs w:val="28"/>
                <w:shd w:val="clear" w:color="auto" w:fill="FFFFFF"/>
                <w:lang w:bidi="ar"/>
              </w:rPr>
              <w:t>服务优质化（15分）</w:t>
            </w:r>
          </w:p>
        </w:tc>
        <w:tc>
          <w:tcPr>
            <w:tcW w:w="5214" w:type="dxa"/>
            <w:noWrap w:val="0"/>
            <w:vAlign w:val="center"/>
          </w:tcPr>
          <w:p>
            <w:pPr>
              <w:widowControl/>
              <w:wordWrap w:val="0"/>
              <w:spacing w:line="280" w:lineRule="exact"/>
              <w:rPr>
                <w:rFonts w:ascii="宋体" w:hAnsi="宋体" w:cs="宋体"/>
                <w:kern w:val="0"/>
                <w:szCs w:val="21"/>
                <w:lang w:bidi="ar"/>
              </w:rPr>
            </w:pPr>
            <w:r>
              <w:rPr>
                <w:rFonts w:hint="eastAsia" w:ascii="宋体" w:hAnsi="宋体" w:cs="宋体"/>
                <w:kern w:val="0"/>
                <w:szCs w:val="21"/>
                <w:lang w:bidi="ar"/>
              </w:rPr>
              <w:t>有专业的在店销售人员</w:t>
            </w:r>
            <w:r>
              <w:rPr>
                <w:rFonts w:hint="eastAsia" w:ascii="宋体" w:hAnsi="宋体" w:cs="宋体"/>
                <w:kern w:val="0"/>
                <w:szCs w:val="21"/>
                <w:lang w:eastAsia="zh-Hans" w:bidi="ar"/>
              </w:rPr>
              <w:t>（</w:t>
            </w:r>
            <w:r>
              <w:rPr>
                <w:rFonts w:hint="eastAsia" w:ascii="宋体" w:hAnsi="宋体" w:cs="宋体"/>
                <w:kern w:val="0"/>
                <w:szCs w:val="21"/>
                <w:lang w:bidi="ar"/>
              </w:rPr>
              <w:t>1分），可以向购买者提供技术咨询服务，指导购买者科学、安全、合理使用农药、施肥、用种</w:t>
            </w:r>
            <w:r>
              <w:rPr>
                <w:rFonts w:hint="eastAsia" w:ascii="宋体" w:hAnsi="宋体" w:cs="宋体"/>
                <w:kern w:val="0"/>
                <w:szCs w:val="21"/>
                <w:lang w:eastAsia="zh-Hans" w:bidi="ar"/>
              </w:rPr>
              <w:t>（</w:t>
            </w:r>
            <w:r>
              <w:rPr>
                <w:rFonts w:hint="eastAsia" w:ascii="宋体" w:hAnsi="宋体" w:cs="宋体"/>
                <w:kern w:val="0"/>
                <w:szCs w:val="21"/>
                <w:lang w:bidi="ar"/>
              </w:rPr>
              <w:t>2分），并对使用情况进行回访调查，建立记录</w:t>
            </w:r>
            <w:r>
              <w:rPr>
                <w:rFonts w:hint="eastAsia" w:ascii="宋体" w:hAnsi="宋体" w:cs="宋体"/>
                <w:kern w:val="0"/>
                <w:szCs w:val="21"/>
                <w:lang w:eastAsia="zh-Hans" w:bidi="ar"/>
              </w:rPr>
              <w:t>（</w:t>
            </w:r>
            <w:r>
              <w:rPr>
                <w:rFonts w:hint="eastAsia" w:ascii="宋体" w:hAnsi="宋体" w:cs="宋体"/>
                <w:kern w:val="0"/>
                <w:szCs w:val="21"/>
                <w:lang w:bidi="ar"/>
              </w:rPr>
              <w:t>2分）。</w:t>
            </w: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1169"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800" w:type="dxa"/>
            <w:vMerge w:val="continue"/>
            <w:noWrap w:val="0"/>
            <w:vAlign w:val="center"/>
          </w:tcPr>
          <w:p>
            <w:pPr>
              <w:spacing w:line="360" w:lineRule="exact"/>
              <w:jc w:val="center"/>
              <w:rPr>
                <w:rFonts w:ascii="黑体" w:hAnsi="黑体" w:eastAsia="黑体" w:cs="黑体"/>
                <w:kern w:val="0"/>
                <w:sz w:val="28"/>
                <w:szCs w:val="28"/>
                <w:shd w:val="clear" w:color="auto" w:fill="FFFFFF"/>
                <w:lang w:bidi="ar"/>
              </w:rPr>
            </w:pPr>
          </w:p>
        </w:tc>
        <w:tc>
          <w:tcPr>
            <w:tcW w:w="5214" w:type="dxa"/>
            <w:noWrap w:val="0"/>
            <w:vAlign w:val="center"/>
          </w:tcPr>
          <w:p>
            <w:pPr>
              <w:widowControl/>
              <w:wordWrap w:val="0"/>
              <w:spacing w:line="280" w:lineRule="exact"/>
              <w:rPr>
                <w:rFonts w:ascii="宋体" w:hAnsi="宋体" w:cs="宋体"/>
                <w:kern w:val="0"/>
                <w:szCs w:val="21"/>
                <w:lang w:bidi="ar"/>
              </w:rPr>
            </w:pPr>
            <w:r>
              <w:rPr>
                <w:rFonts w:hint="eastAsia" w:ascii="宋体" w:hAnsi="宋体" w:cs="宋体"/>
                <w:kern w:val="0"/>
                <w:szCs w:val="21"/>
                <w:lang w:bidi="ar"/>
              </w:rPr>
              <w:t>对农药投诉、质量咨询、用药事故等如实记录，做好售后服务，及时查明原因，采取有效的处理措施（5分）。</w:t>
            </w: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1169"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00" w:type="dxa"/>
            <w:vMerge w:val="continue"/>
            <w:noWrap w:val="0"/>
            <w:vAlign w:val="top"/>
          </w:tcPr>
          <w:p>
            <w:pPr>
              <w:spacing w:line="360" w:lineRule="exact"/>
              <w:rPr>
                <w:rFonts w:ascii="黑体" w:hAnsi="黑体" w:eastAsia="黑体" w:cs="黑体"/>
                <w:kern w:val="0"/>
                <w:sz w:val="28"/>
                <w:szCs w:val="28"/>
                <w:shd w:val="clear" w:color="auto" w:fill="FFFFFF"/>
                <w:lang w:bidi="ar"/>
              </w:rPr>
            </w:pPr>
          </w:p>
        </w:tc>
        <w:tc>
          <w:tcPr>
            <w:tcW w:w="5214" w:type="dxa"/>
            <w:noWrap w:val="0"/>
            <w:vAlign w:val="center"/>
          </w:tcPr>
          <w:p>
            <w:pPr>
              <w:widowControl/>
              <w:wordWrap w:val="0"/>
              <w:spacing w:line="280" w:lineRule="exact"/>
              <w:rPr>
                <w:rFonts w:ascii="宋体" w:hAnsi="宋体" w:cs="宋体"/>
                <w:kern w:val="0"/>
                <w:szCs w:val="21"/>
                <w:lang w:bidi="ar"/>
              </w:rPr>
            </w:pPr>
            <w:r>
              <w:rPr>
                <w:rFonts w:hint="eastAsia" w:ascii="宋体" w:hAnsi="宋体" w:cs="宋体"/>
                <w:kern w:val="0"/>
                <w:szCs w:val="21"/>
                <w:lang w:bidi="ar"/>
              </w:rPr>
              <w:t>拓展业务，能够为农户提供病虫防控整体解决方案和测土配方服务等，有服务记录（5分）。</w:t>
            </w: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p>
            <w:pPr>
              <w:spacing w:line="260" w:lineRule="exact"/>
              <w:rPr>
                <w:rFonts w:ascii="仿宋_GB2312" w:hAnsi="仿宋_GB2312" w:eastAsia="仿宋_GB2312" w:cs="仿宋_GB2312"/>
                <w:kern w:val="0"/>
                <w:sz w:val="28"/>
                <w:szCs w:val="28"/>
                <w:shd w:val="clear" w:color="auto" w:fill="FFFFFF"/>
                <w:lang w:bidi="ar"/>
              </w:rPr>
            </w:pP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p>
            <w:pPr>
              <w:spacing w:line="260" w:lineRule="exact"/>
              <w:rPr>
                <w:rFonts w:ascii="仿宋_GB2312" w:hAnsi="仿宋_GB2312" w:eastAsia="仿宋_GB2312" w:cs="仿宋_GB2312"/>
                <w:kern w:val="0"/>
                <w:sz w:val="28"/>
                <w:szCs w:val="28"/>
                <w:shd w:val="clear" w:color="auto" w:fill="FFFFFF"/>
                <w:lang w:bidi="ar"/>
              </w:rPr>
            </w:pPr>
          </w:p>
        </w:tc>
        <w:tc>
          <w:tcPr>
            <w:tcW w:w="1169"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p>
            <w:pPr>
              <w:spacing w:line="260" w:lineRule="exact"/>
              <w:rPr>
                <w:rFonts w:ascii="仿宋_GB2312" w:hAnsi="仿宋_GB2312" w:eastAsia="仿宋_GB2312" w:cs="仿宋_GB2312"/>
                <w:kern w:val="0"/>
                <w:sz w:val="28"/>
                <w:szCs w:val="28"/>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800" w:type="dxa"/>
            <w:noWrap w:val="0"/>
            <w:vAlign w:val="center"/>
          </w:tcPr>
          <w:p>
            <w:pPr>
              <w:widowControl/>
              <w:wordWrap w:val="0"/>
              <w:spacing w:line="260" w:lineRule="exact"/>
              <w:jc w:val="center"/>
              <w:rPr>
                <w:rFonts w:ascii="黑体" w:hAnsi="黑体" w:eastAsia="黑体" w:cs="黑体"/>
                <w:kern w:val="0"/>
                <w:sz w:val="28"/>
                <w:szCs w:val="28"/>
                <w:shd w:val="clear" w:color="auto" w:fill="FFFFFF"/>
                <w:lang w:bidi="ar"/>
              </w:rPr>
            </w:pPr>
            <w:r>
              <w:rPr>
                <w:rFonts w:hint="eastAsia" w:ascii="黑体" w:hAnsi="黑体" w:eastAsia="黑体" w:cs="黑体"/>
                <w:kern w:val="0"/>
                <w:sz w:val="24"/>
                <w:lang w:bidi="ar"/>
              </w:rPr>
              <w:t>项 目</w:t>
            </w:r>
          </w:p>
        </w:tc>
        <w:tc>
          <w:tcPr>
            <w:tcW w:w="5214" w:type="dxa"/>
            <w:noWrap w:val="0"/>
            <w:vAlign w:val="center"/>
          </w:tcPr>
          <w:p>
            <w:pPr>
              <w:widowControl/>
              <w:wordWrap w:val="0"/>
              <w:spacing w:line="260" w:lineRule="exact"/>
              <w:jc w:val="center"/>
              <w:rPr>
                <w:rFonts w:ascii="宋体" w:hAnsi="宋体" w:cs="宋体"/>
                <w:kern w:val="0"/>
                <w:szCs w:val="21"/>
                <w:lang w:bidi="ar"/>
              </w:rPr>
            </w:pPr>
            <w:r>
              <w:rPr>
                <w:rFonts w:hint="eastAsia" w:ascii="黑体" w:hAnsi="黑体" w:eastAsia="黑体" w:cs="黑体"/>
                <w:kern w:val="0"/>
                <w:sz w:val="24"/>
                <w:lang w:bidi="ar"/>
              </w:rPr>
              <w:t>评分标准</w:t>
            </w:r>
          </w:p>
        </w:tc>
        <w:tc>
          <w:tcPr>
            <w:tcW w:w="885" w:type="dxa"/>
            <w:noWrap w:val="0"/>
            <w:vAlign w:val="center"/>
          </w:tcPr>
          <w:p>
            <w:pPr>
              <w:widowControl/>
              <w:wordWrap w:val="0"/>
              <w:spacing w:line="260" w:lineRule="exact"/>
              <w:jc w:val="center"/>
              <w:rPr>
                <w:rFonts w:ascii="仿宋_GB2312" w:hAnsi="仿宋_GB2312" w:eastAsia="仿宋_GB2312" w:cs="仿宋_GB2312"/>
                <w:kern w:val="0"/>
                <w:sz w:val="28"/>
                <w:szCs w:val="28"/>
                <w:shd w:val="clear" w:color="auto" w:fill="FFFFFF"/>
                <w:lang w:bidi="ar"/>
              </w:rPr>
            </w:pPr>
            <w:r>
              <w:rPr>
                <w:rFonts w:hint="eastAsia" w:ascii="黑体" w:hAnsi="黑体" w:eastAsia="黑体" w:cs="黑体"/>
                <w:kern w:val="0"/>
                <w:sz w:val="24"/>
                <w:lang w:bidi="ar"/>
              </w:rPr>
              <w:t>初核得分</w:t>
            </w:r>
          </w:p>
        </w:tc>
        <w:tc>
          <w:tcPr>
            <w:tcW w:w="885" w:type="dxa"/>
            <w:noWrap w:val="0"/>
            <w:vAlign w:val="center"/>
          </w:tcPr>
          <w:p>
            <w:pPr>
              <w:widowControl/>
              <w:wordWrap w:val="0"/>
              <w:spacing w:line="260" w:lineRule="exact"/>
              <w:jc w:val="center"/>
              <w:rPr>
                <w:rFonts w:ascii="黑体" w:hAnsi="黑体" w:eastAsia="黑体" w:cs="黑体"/>
                <w:kern w:val="0"/>
                <w:sz w:val="24"/>
                <w:lang w:bidi="ar"/>
              </w:rPr>
            </w:pPr>
            <w:r>
              <w:rPr>
                <w:rFonts w:hint="eastAsia" w:ascii="黑体" w:hAnsi="黑体" w:eastAsia="黑体" w:cs="黑体"/>
                <w:kern w:val="0"/>
                <w:sz w:val="24"/>
                <w:lang w:bidi="ar"/>
              </w:rPr>
              <w:t>验收</w:t>
            </w:r>
          </w:p>
          <w:p>
            <w:pPr>
              <w:widowControl/>
              <w:wordWrap w:val="0"/>
              <w:spacing w:line="260" w:lineRule="exact"/>
              <w:jc w:val="center"/>
              <w:rPr>
                <w:rFonts w:ascii="仿宋_GB2312" w:hAnsi="仿宋_GB2312" w:eastAsia="仿宋_GB2312" w:cs="仿宋_GB2312"/>
                <w:kern w:val="0"/>
                <w:sz w:val="28"/>
                <w:szCs w:val="28"/>
                <w:shd w:val="clear" w:color="auto" w:fill="FFFFFF"/>
                <w:lang w:bidi="ar"/>
              </w:rPr>
            </w:pPr>
            <w:r>
              <w:rPr>
                <w:rFonts w:hint="eastAsia" w:ascii="黑体" w:hAnsi="黑体" w:eastAsia="黑体" w:cs="黑体"/>
                <w:kern w:val="0"/>
                <w:sz w:val="24"/>
                <w:lang w:bidi="ar"/>
              </w:rPr>
              <w:t>得分</w:t>
            </w:r>
          </w:p>
        </w:tc>
        <w:tc>
          <w:tcPr>
            <w:tcW w:w="1169" w:type="dxa"/>
            <w:noWrap w:val="0"/>
            <w:vAlign w:val="center"/>
          </w:tcPr>
          <w:p>
            <w:pPr>
              <w:widowControl/>
              <w:wordWrap w:val="0"/>
              <w:spacing w:line="260" w:lineRule="exact"/>
              <w:jc w:val="center"/>
              <w:rPr>
                <w:rFonts w:ascii="仿宋_GB2312" w:hAnsi="仿宋_GB2312" w:eastAsia="仿宋_GB2312" w:cs="仿宋_GB2312"/>
                <w:kern w:val="0"/>
                <w:sz w:val="28"/>
                <w:szCs w:val="28"/>
                <w:shd w:val="clear" w:color="auto" w:fill="FFFFFF"/>
                <w:lang w:bidi="ar"/>
              </w:rPr>
            </w:pPr>
            <w:r>
              <w:rPr>
                <w:rFonts w:hint="eastAsia" w:ascii="黑体" w:hAnsi="黑体" w:eastAsia="黑体" w:cs="黑体"/>
                <w:kern w:val="0"/>
                <w:sz w:val="24"/>
                <w:lang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00" w:type="dxa"/>
            <w:vMerge w:val="restart"/>
            <w:noWrap w:val="0"/>
            <w:vAlign w:val="center"/>
          </w:tcPr>
          <w:p>
            <w:pPr>
              <w:spacing w:line="360" w:lineRule="exact"/>
              <w:jc w:val="center"/>
              <w:rPr>
                <w:rFonts w:ascii="黑体" w:hAnsi="黑体" w:eastAsia="黑体" w:cs="黑体"/>
                <w:kern w:val="0"/>
                <w:sz w:val="28"/>
                <w:szCs w:val="28"/>
                <w:shd w:val="clear" w:color="auto" w:fill="FFFFFF"/>
                <w:lang w:bidi="ar"/>
              </w:rPr>
            </w:pPr>
            <w:r>
              <w:rPr>
                <w:rFonts w:hint="eastAsia" w:ascii="黑体" w:hAnsi="黑体" w:eastAsia="黑体" w:cs="黑体"/>
                <w:kern w:val="0"/>
                <w:sz w:val="28"/>
                <w:szCs w:val="28"/>
                <w:shd w:val="clear" w:color="auto" w:fill="FFFFFF"/>
                <w:lang w:bidi="ar"/>
              </w:rPr>
              <w:t>管理数字化（25分）</w:t>
            </w:r>
          </w:p>
        </w:tc>
        <w:tc>
          <w:tcPr>
            <w:tcW w:w="5214" w:type="dxa"/>
            <w:noWrap w:val="0"/>
            <w:vAlign w:val="center"/>
          </w:tcPr>
          <w:p>
            <w:pPr>
              <w:spacing w:line="280" w:lineRule="exact"/>
              <w:rPr>
                <w:rFonts w:ascii="宋体" w:hAnsi="宋体" w:cs="宋体"/>
                <w:kern w:val="0"/>
                <w:sz w:val="28"/>
                <w:szCs w:val="28"/>
                <w:shd w:val="clear" w:color="auto" w:fill="FFFFFF"/>
                <w:lang w:bidi="ar"/>
              </w:rPr>
            </w:pPr>
            <w:r>
              <w:rPr>
                <w:rFonts w:hint="eastAsia" w:ascii="宋体" w:hAnsi="宋体" w:cs="宋体"/>
                <w:kern w:val="0"/>
                <w:szCs w:val="21"/>
                <w:lang w:bidi="ar"/>
              </w:rPr>
              <w:t>具备信息化需要的硬件设备，如：计算机、可追溯电子信息码扫描识别设备等（2分），工具状态良好，网络通畅（1分）。已进入农业投入品监管平台开展质量追溯（3分），记录及时上传，熟练操作入库、销货、汇总功能（1分），平台上传率100%（1分）。</w:t>
            </w: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1169"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800" w:type="dxa"/>
            <w:vMerge w:val="continue"/>
            <w:noWrap w:val="0"/>
            <w:vAlign w:val="top"/>
          </w:tcPr>
          <w:p>
            <w:pPr>
              <w:spacing w:line="360" w:lineRule="exact"/>
              <w:rPr>
                <w:rFonts w:ascii="黑体" w:hAnsi="黑体" w:eastAsia="黑体" w:cs="黑体"/>
                <w:kern w:val="0"/>
                <w:sz w:val="28"/>
                <w:szCs w:val="28"/>
                <w:shd w:val="clear" w:color="auto" w:fill="FFFFFF"/>
                <w:lang w:bidi="ar"/>
              </w:rPr>
            </w:pPr>
          </w:p>
        </w:tc>
        <w:tc>
          <w:tcPr>
            <w:tcW w:w="5214" w:type="dxa"/>
            <w:noWrap w:val="0"/>
            <w:vAlign w:val="center"/>
          </w:tcPr>
          <w:p>
            <w:pPr>
              <w:spacing w:line="280" w:lineRule="exact"/>
              <w:rPr>
                <w:rFonts w:ascii="宋体" w:hAnsi="宋体" w:cs="宋体"/>
                <w:kern w:val="0"/>
                <w:szCs w:val="21"/>
                <w:lang w:bidi="ar"/>
              </w:rPr>
            </w:pPr>
            <w:r>
              <w:rPr>
                <w:rFonts w:hint="eastAsia" w:ascii="宋体" w:hAnsi="宋体" w:cs="宋体"/>
                <w:kern w:val="0"/>
                <w:szCs w:val="21"/>
                <w:lang w:bidi="ar"/>
              </w:rPr>
              <w:t>建立进销档案，实行可追溯制度（2分）。货物入库应有合法进货台账记录或票据，做到票账物相符（2分），票据和凭证按规定保存期限不得少于2年（1分）。</w:t>
            </w: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1169"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800" w:type="dxa"/>
            <w:vMerge w:val="continue"/>
            <w:noWrap w:val="0"/>
            <w:vAlign w:val="center"/>
          </w:tcPr>
          <w:p>
            <w:pPr>
              <w:spacing w:line="360" w:lineRule="exact"/>
              <w:jc w:val="center"/>
              <w:rPr>
                <w:rFonts w:ascii="黑体" w:hAnsi="黑体" w:eastAsia="黑体" w:cs="黑体"/>
                <w:kern w:val="0"/>
                <w:sz w:val="28"/>
                <w:szCs w:val="28"/>
                <w:shd w:val="clear" w:color="auto" w:fill="FFFFFF"/>
                <w:lang w:bidi="ar"/>
              </w:rPr>
            </w:pPr>
          </w:p>
        </w:tc>
        <w:tc>
          <w:tcPr>
            <w:tcW w:w="5214" w:type="dxa"/>
            <w:noWrap w:val="0"/>
            <w:vAlign w:val="center"/>
          </w:tcPr>
          <w:p>
            <w:pPr>
              <w:spacing w:line="280" w:lineRule="exact"/>
              <w:rPr>
                <w:rFonts w:ascii="宋体" w:hAnsi="宋体" w:cs="宋体"/>
                <w:kern w:val="0"/>
                <w:sz w:val="28"/>
                <w:szCs w:val="28"/>
                <w:shd w:val="clear" w:color="auto" w:fill="FFFFFF"/>
                <w:lang w:bidi="ar"/>
              </w:rPr>
            </w:pPr>
            <w:r>
              <w:rPr>
                <w:rFonts w:hint="eastAsia" w:ascii="宋体" w:hAnsi="宋体" w:cs="宋体"/>
                <w:kern w:val="0"/>
                <w:szCs w:val="21"/>
                <w:lang w:bidi="ar"/>
              </w:rPr>
              <w:t>购进台账要记录货物的名称、生产日期和批号、生产厂商、供货单位及联系方式、购进数量、购进日期等内容（3分），台账保存期限不得少于2年（2分）。</w:t>
            </w: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1169"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800" w:type="dxa"/>
            <w:vMerge w:val="continue"/>
            <w:noWrap w:val="0"/>
            <w:vAlign w:val="top"/>
          </w:tcPr>
          <w:p>
            <w:pPr>
              <w:spacing w:line="360" w:lineRule="exact"/>
              <w:rPr>
                <w:rFonts w:ascii="黑体" w:hAnsi="黑体" w:eastAsia="黑体" w:cs="黑体"/>
                <w:kern w:val="0"/>
                <w:sz w:val="28"/>
                <w:szCs w:val="28"/>
                <w:shd w:val="clear" w:color="auto" w:fill="FFFFFF"/>
                <w:lang w:bidi="ar"/>
              </w:rPr>
            </w:pPr>
          </w:p>
        </w:tc>
        <w:tc>
          <w:tcPr>
            <w:tcW w:w="5214" w:type="dxa"/>
            <w:noWrap w:val="0"/>
            <w:vAlign w:val="center"/>
          </w:tcPr>
          <w:p>
            <w:pPr>
              <w:widowControl/>
              <w:wordWrap w:val="0"/>
              <w:spacing w:line="280" w:lineRule="exact"/>
              <w:rPr>
                <w:rFonts w:ascii="宋体" w:hAnsi="宋体" w:cs="宋体"/>
                <w:kern w:val="0"/>
                <w:szCs w:val="21"/>
                <w:lang w:bidi="ar"/>
              </w:rPr>
            </w:pPr>
            <w:r>
              <w:rPr>
                <w:rFonts w:hint="eastAsia" w:ascii="宋体" w:hAnsi="宋体" w:cs="宋体"/>
                <w:kern w:val="0"/>
                <w:szCs w:val="21"/>
                <w:lang w:bidi="ar"/>
              </w:rPr>
              <w:t>销售台账要记录销售货物的名称、生产日期或批号、生产厂家、购买单位、个人及联系方式、销售数量、销售日期等内容（3分），票据的保存日期不得少于2年（2分）。</w:t>
            </w: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1169"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00" w:type="dxa"/>
            <w:vMerge w:val="continue"/>
            <w:noWrap w:val="0"/>
            <w:vAlign w:val="top"/>
          </w:tcPr>
          <w:p>
            <w:pPr>
              <w:spacing w:line="360" w:lineRule="exact"/>
              <w:rPr>
                <w:rFonts w:ascii="黑体" w:hAnsi="黑体" w:eastAsia="黑体" w:cs="黑体"/>
                <w:kern w:val="0"/>
                <w:sz w:val="28"/>
                <w:szCs w:val="28"/>
                <w:shd w:val="clear" w:color="auto" w:fill="FFFFFF"/>
                <w:lang w:bidi="ar"/>
              </w:rPr>
            </w:pPr>
          </w:p>
        </w:tc>
        <w:tc>
          <w:tcPr>
            <w:tcW w:w="5214" w:type="dxa"/>
            <w:noWrap w:val="0"/>
            <w:vAlign w:val="center"/>
          </w:tcPr>
          <w:p>
            <w:pPr>
              <w:widowControl/>
              <w:wordWrap w:val="0"/>
              <w:spacing w:line="280" w:lineRule="exact"/>
              <w:rPr>
                <w:rFonts w:ascii="宋体" w:hAnsi="宋体" w:cs="宋体"/>
                <w:kern w:val="0"/>
                <w:szCs w:val="21"/>
                <w:lang w:bidi="ar"/>
              </w:rPr>
            </w:pPr>
            <w:r>
              <w:rPr>
                <w:rFonts w:hint="eastAsia" w:ascii="宋体" w:hAnsi="宋体" w:cs="宋体"/>
                <w:kern w:val="0"/>
                <w:szCs w:val="21"/>
                <w:lang w:bidi="ar"/>
              </w:rPr>
              <w:t>从事电子商务经营的，应当在互联网醒目标注资质证明（2分）。</w:t>
            </w: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1169"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800" w:type="dxa"/>
            <w:vMerge w:val="restart"/>
            <w:noWrap w:val="0"/>
            <w:vAlign w:val="center"/>
          </w:tcPr>
          <w:p>
            <w:pPr>
              <w:spacing w:line="360" w:lineRule="exact"/>
              <w:jc w:val="center"/>
              <w:rPr>
                <w:rFonts w:ascii="黑体" w:hAnsi="黑体" w:eastAsia="黑体" w:cs="黑体"/>
                <w:kern w:val="0"/>
                <w:sz w:val="28"/>
                <w:szCs w:val="28"/>
                <w:shd w:val="clear" w:color="auto" w:fill="FFFFFF"/>
                <w:lang w:bidi="ar"/>
              </w:rPr>
            </w:pPr>
            <w:r>
              <w:rPr>
                <w:rFonts w:hint="eastAsia" w:ascii="黑体" w:hAnsi="黑体" w:eastAsia="黑体" w:cs="黑体"/>
                <w:kern w:val="0"/>
                <w:sz w:val="28"/>
                <w:szCs w:val="28"/>
                <w:shd w:val="clear" w:color="auto" w:fill="FFFFFF"/>
                <w:lang w:bidi="ar"/>
              </w:rPr>
              <w:t>回收无害化</w:t>
            </w:r>
          </w:p>
          <w:p>
            <w:pPr>
              <w:spacing w:line="360" w:lineRule="exact"/>
              <w:jc w:val="center"/>
              <w:rPr>
                <w:rFonts w:ascii="黑体" w:hAnsi="黑体" w:eastAsia="黑体" w:cs="黑体"/>
                <w:kern w:val="0"/>
                <w:sz w:val="28"/>
                <w:szCs w:val="28"/>
                <w:shd w:val="clear" w:color="auto" w:fill="FFFFFF"/>
                <w:lang w:bidi="ar"/>
              </w:rPr>
            </w:pPr>
            <w:r>
              <w:rPr>
                <w:rFonts w:hint="eastAsia" w:ascii="黑体" w:hAnsi="黑体" w:eastAsia="黑体" w:cs="黑体"/>
                <w:kern w:val="0"/>
                <w:sz w:val="28"/>
                <w:szCs w:val="28"/>
                <w:shd w:val="clear" w:color="auto" w:fill="FFFFFF"/>
                <w:lang w:bidi="ar"/>
              </w:rPr>
              <w:t>（10分）</w:t>
            </w:r>
          </w:p>
        </w:tc>
        <w:tc>
          <w:tcPr>
            <w:tcW w:w="5214" w:type="dxa"/>
            <w:noWrap w:val="0"/>
            <w:vAlign w:val="center"/>
          </w:tcPr>
          <w:p>
            <w:pPr>
              <w:widowControl/>
              <w:wordWrap w:val="0"/>
              <w:spacing w:line="280" w:lineRule="exact"/>
              <w:rPr>
                <w:rFonts w:ascii="宋体" w:hAnsi="宋体" w:cs="宋体"/>
                <w:kern w:val="0"/>
                <w:szCs w:val="21"/>
                <w:lang w:bidi="ar"/>
              </w:rPr>
            </w:pPr>
            <w:r>
              <w:rPr>
                <w:rFonts w:hint="eastAsia" w:ascii="宋体" w:hAnsi="宋体" w:cs="宋体"/>
                <w:kern w:val="0"/>
                <w:szCs w:val="21"/>
                <w:lang w:bidi="ar"/>
              </w:rPr>
              <w:t>有回收农药包装废弃物的桶（箱）等设施设备（2分），无残液遗撒，桶内无其他无关杂物（2分）。</w:t>
            </w: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1169"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800" w:type="dxa"/>
            <w:vMerge w:val="continue"/>
            <w:noWrap w:val="0"/>
            <w:vAlign w:val="top"/>
          </w:tcPr>
          <w:p>
            <w:pPr>
              <w:spacing w:line="360" w:lineRule="exact"/>
              <w:rPr>
                <w:rFonts w:ascii="黑体" w:hAnsi="黑体" w:eastAsia="黑体" w:cs="黑体"/>
                <w:kern w:val="0"/>
                <w:sz w:val="28"/>
                <w:szCs w:val="28"/>
                <w:shd w:val="clear" w:color="auto" w:fill="FFFFFF"/>
                <w:lang w:bidi="ar"/>
              </w:rPr>
            </w:pPr>
          </w:p>
        </w:tc>
        <w:tc>
          <w:tcPr>
            <w:tcW w:w="5214" w:type="dxa"/>
            <w:noWrap w:val="0"/>
            <w:vAlign w:val="center"/>
          </w:tcPr>
          <w:p>
            <w:pPr>
              <w:widowControl/>
              <w:wordWrap w:val="0"/>
              <w:spacing w:line="280" w:lineRule="exact"/>
              <w:rPr>
                <w:rFonts w:ascii="宋体" w:hAnsi="宋体" w:cs="宋体"/>
                <w:kern w:val="0"/>
                <w:szCs w:val="21"/>
                <w:lang w:bidi="ar"/>
              </w:rPr>
            </w:pPr>
            <w:r>
              <w:rPr>
                <w:rFonts w:hint="eastAsia" w:ascii="宋体" w:hAnsi="宋体" w:cs="宋体"/>
                <w:kern w:val="0"/>
                <w:szCs w:val="21"/>
                <w:lang w:bidi="ar"/>
              </w:rPr>
              <w:t>张贴有农药包装废弃物回收的明白纸、标语、横幅等宣传材料（2分），有详细完整的回收台账（2分），及时运转至回收点（2分）。</w:t>
            </w: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1169"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1800" w:type="dxa"/>
            <w:vMerge w:val="restart"/>
            <w:noWrap w:val="0"/>
            <w:vAlign w:val="center"/>
          </w:tcPr>
          <w:p>
            <w:pPr>
              <w:spacing w:line="360" w:lineRule="exact"/>
              <w:jc w:val="center"/>
              <w:rPr>
                <w:rFonts w:ascii="黑体" w:hAnsi="黑体" w:eastAsia="黑体" w:cs="黑体"/>
                <w:kern w:val="0"/>
                <w:sz w:val="28"/>
                <w:szCs w:val="28"/>
                <w:shd w:val="clear" w:color="auto" w:fill="FFFFFF"/>
                <w:lang w:bidi="ar"/>
              </w:rPr>
            </w:pPr>
            <w:r>
              <w:rPr>
                <w:rFonts w:hint="eastAsia" w:ascii="黑体" w:hAnsi="黑体" w:eastAsia="黑体" w:cs="黑体"/>
                <w:kern w:val="0"/>
                <w:sz w:val="28"/>
                <w:szCs w:val="28"/>
                <w:shd w:val="clear" w:color="auto" w:fill="FFFFFF"/>
                <w:lang w:bidi="ar"/>
              </w:rPr>
              <w:t>一票否决项</w:t>
            </w:r>
          </w:p>
        </w:tc>
        <w:tc>
          <w:tcPr>
            <w:tcW w:w="5214" w:type="dxa"/>
            <w:noWrap w:val="0"/>
            <w:vAlign w:val="center"/>
          </w:tcPr>
          <w:p>
            <w:pPr>
              <w:widowControl/>
              <w:wordWrap w:val="0"/>
              <w:spacing w:line="280" w:lineRule="exact"/>
              <w:rPr>
                <w:rFonts w:ascii="宋体" w:hAnsi="宋体" w:cs="宋体"/>
              </w:rPr>
            </w:pPr>
            <w:r>
              <w:rPr>
                <w:rFonts w:hint="eastAsia" w:ascii="宋体" w:hAnsi="宋体" w:cs="宋体"/>
                <w:kern w:val="0"/>
                <w:szCs w:val="21"/>
                <w:lang w:bidi="ar"/>
              </w:rPr>
              <w:t>未取得营业执照和经营许可证，或不在有效期内。</w:t>
            </w: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1169"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1800" w:type="dxa"/>
            <w:vMerge w:val="continue"/>
            <w:noWrap w:val="0"/>
            <w:vAlign w:val="top"/>
          </w:tcPr>
          <w:p>
            <w:pPr>
              <w:spacing w:line="360" w:lineRule="exact"/>
              <w:rPr>
                <w:rFonts w:ascii="黑体" w:hAnsi="黑体" w:eastAsia="黑体" w:cs="黑体"/>
                <w:kern w:val="0"/>
                <w:sz w:val="28"/>
                <w:szCs w:val="28"/>
                <w:shd w:val="clear" w:color="auto" w:fill="FFFFFF"/>
                <w:lang w:bidi="ar"/>
              </w:rPr>
            </w:pPr>
          </w:p>
        </w:tc>
        <w:tc>
          <w:tcPr>
            <w:tcW w:w="5214" w:type="dxa"/>
            <w:noWrap w:val="0"/>
            <w:vAlign w:val="center"/>
          </w:tcPr>
          <w:p>
            <w:pPr>
              <w:widowControl/>
              <w:wordWrap w:val="0"/>
              <w:spacing w:line="280" w:lineRule="exact"/>
              <w:rPr>
                <w:rFonts w:ascii="宋体" w:hAnsi="宋体" w:cs="宋体"/>
                <w:kern w:val="0"/>
                <w:szCs w:val="21"/>
                <w:lang w:bidi="ar"/>
              </w:rPr>
            </w:pPr>
            <w:r>
              <w:rPr>
                <w:rFonts w:hint="eastAsia" w:ascii="宋体" w:hAnsi="宋体" w:cs="宋体"/>
                <w:kern w:val="0"/>
                <w:szCs w:val="21"/>
                <w:lang w:bidi="ar"/>
              </w:rPr>
              <w:t>发生安全生产、产品质量和环境污染等事故。</w:t>
            </w: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1169"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1800" w:type="dxa"/>
            <w:vMerge w:val="continue"/>
            <w:noWrap w:val="0"/>
            <w:vAlign w:val="top"/>
          </w:tcPr>
          <w:p>
            <w:pPr>
              <w:spacing w:line="360" w:lineRule="exact"/>
              <w:rPr>
                <w:rFonts w:ascii="黑体" w:hAnsi="黑体" w:eastAsia="黑体" w:cs="黑体"/>
                <w:kern w:val="0"/>
                <w:sz w:val="28"/>
                <w:szCs w:val="28"/>
                <w:shd w:val="clear" w:color="auto" w:fill="FFFFFF"/>
                <w:lang w:bidi="ar"/>
              </w:rPr>
            </w:pPr>
          </w:p>
        </w:tc>
        <w:tc>
          <w:tcPr>
            <w:tcW w:w="5214" w:type="dxa"/>
            <w:noWrap w:val="0"/>
            <w:vAlign w:val="center"/>
          </w:tcPr>
          <w:p>
            <w:pPr>
              <w:widowControl/>
              <w:wordWrap w:val="0"/>
              <w:spacing w:line="280" w:lineRule="exact"/>
              <w:rPr>
                <w:rFonts w:ascii="宋体" w:hAnsi="宋体" w:cs="宋体"/>
                <w:kern w:val="0"/>
                <w:szCs w:val="21"/>
                <w:lang w:bidi="ar"/>
              </w:rPr>
            </w:pPr>
            <w:r>
              <w:rPr>
                <w:rFonts w:hint="eastAsia" w:ascii="宋体" w:hAnsi="宋体" w:cs="宋体"/>
                <w:kern w:val="0"/>
                <w:szCs w:val="21"/>
                <w:lang w:bidi="ar"/>
              </w:rPr>
              <w:t>产品质量抽检不合格或销售假劣产品。</w:t>
            </w:r>
          </w:p>
        </w:tc>
        <w:tc>
          <w:tcPr>
            <w:tcW w:w="885" w:type="dxa"/>
            <w:noWrap w:val="0"/>
            <w:vAlign w:val="top"/>
          </w:tcPr>
          <w:p>
            <w:pPr>
              <w:spacing w:line="260" w:lineRule="exact"/>
              <w:rPr>
                <w:kern w:val="0"/>
                <w:szCs w:val="21"/>
                <w:lang w:bidi="ar"/>
              </w:rPr>
            </w:pP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1169"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1800" w:type="dxa"/>
            <w:vMerge w:val="continue"/>
            <w:noWrap w:val="0"/>
            <w:vAlign w:val="top"/>
          </w:tcPr>
          <w:p>
            <w:pPr>
              <w:spacing w:line="360" w:lineRule="exact"/>
              <w:rPr>
                <w:rFonts w:ascii="黑体" w:hAnsi="黑体" w:eastAsia="黑体" w:cs="黑体"/>
                <w:kern w:val="0"/>
                <w:sz w:val="28"/>
                <w:szCs w:val="28"/>
                <w:shd w:val="clear" w:color="auto" w:fill="FFFFFF"/>
                <w:lang w:bidi="ar"/>
              </w:rPr>
            </w:pPr>
          </w:p>
        </w:tc>
        <w:tc>
          <w:tcPr>
            <w:tcW w:w="5214" w:type="dxa"/>
            <w:noWrap w:val="0"/>
            <w:vAlign w:val="center"/>
          </w:tcPr>
          <w:p>
            <w:pPr>
              <w:widowControl/>
              <w:wordWrap w:val="0"/>
              <w:spacing w:line="280" w:lineRule="exact"/>
              <w:rPr>
                <w:rFonts w:ascii="宋体" w:hAnsi="宋体" w:cs="宋体"/>
                <w:kern w:val="0"/>
                <w:szCs w:val="21"/>
                <w:lang w:bidi="ar"/>
              </w:rPr>
            </w:pPr>
            <w:r>
              <w:rPr>
                <w:rFonts w:hint="eastAsia" w:ascii="宋体" w:hAnsi="宋体" w:cs="宋体"/>
                <w:kern w:val="0"/>
                <w:szCs w:val="21"/>
                <w:lang w:bidi="ar"/>
              </w:rPr>
              <w:t>有偷税漏税等违法、失信不良记录，有坑农害农等负面舆情。</w:t>
            </w:r>
          </w:p>
          <w:p>
            <w:pPr>
              <w:widowControl/>
              <w:wordWrap w:val="0"/>
              <w:spacing w:line="280" w:lineRule="exact"/>
              <w:rPr>
                <w:rFonts w:ascii="宋体" w:hAnsi="宋体" w:cs="宋体"/>
                <w:kern w:val="0"/>
                <w:szCs w:val="21"/>
                <w:lang w:bidi="ar"/>
              </w:rPr>
            </w:pP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1169"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1800" w:type="dxa"/>
            <w:vMerge w:val="continue"/>
            <w:noWrap w:val="0"/>
            <w:vAlign w:val="top"/>
          </w:tcPr>
          <w:p>
            <w:pPr>
              <w:spacing w:line="360" w:lineRule="exact"/>
              <w:rPr>
                <w:rFonts w:ascii="黑体" w:hAnsi="黑体" w:eastAsia="黑体" w:cs="黑体"/>
                <w:kern w:val="0"/>
                <w:sz w:val="28"/>
                <w:szCs w:val="28"/>
                <w:shd w:val="clear" w:color="auto" w:fill="FFFFFF"/>
                <w:lang w:bidi="ar"/>
              </w:rPr>
            </w:pPr>
          </w:p>
        </w:tc>
        <w:tc>
          <w:tcPr>
            <w:tcW w:w="5214" w:type="dxa"/>
            <w:noWrap w:val="0"/>
            <w:vAlign w:val="center"/>
          </w:tcPr>
          <w:p>
            <w:pPr>
              <w:widowControl/>
              <w:wordWrap w:val="0"/>
              <w:spacing w:line="280" w:lineRule="exact"/>
              <w:rPr>
                <w:kern w:val="0"/>
                <w:szCs w:val="21"/>
                <w:lang w:bidi="ar"/>
              </w:rPr>
            </w:pPr>
            <w:r>
              <w:rPr>
                <w:rFonts w:hint="eastAsia"/>
                <w:kern w:val="0"/>
                <w:szCs w:val="21"/>
                <w:lang w:bidi="ar"/>
              </w:rPr>
              <w:t>未建立购销台账或未实现可追溯管理。</w:t>
            </w:r>
          </w:p>
        </w:tc>
        <w:tc>
          <w:tcPr>
            <w:tcW w:w="885" w:type="dxa"/>
            <w:vMerge w:val="restart"/>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885" w:type="dxa"/>
            <w:vMerge w:val="restart"/>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1169" w:type="dxa"/>
            <w:vMerge w:val="restart"/>
            <w:noWrap w:val="0"/>
            <w:vAlign w:val="top"/>
          </w:tcPr>
          <w:p>
            <w:pPr>
              <w:spacing w:line="260" w:lineRule="exact"/>
              <w:rPr>
                <w:rFonts w:ascii="仿宋_GB2312" w:hAnsi="仿宋_GB2312" w:eastAsia="仿宋_GB2312" w:cs="仿宋_GB2312"/>
                <w:kern w:val="0"/>
                <w:sz w:val="28"/>
                <w:szCs w:val="28"/>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1800" w:type="dxa"/>
            <w:vMerge w:val="continue"/>
            <w:noWrap w:val="0"/>
            <w:vAlign w:val="top"/>
          </w:tcPr>
          <w:p>
            <w:pPr>
              <w:spacing w:line="360" w:lineRule="exact"/>
              <w:rPr>
                <w:rFonts w:ascii="黑体" w:hAnsi="黑体" w:eastAsia="黑体" w:cs="黑体"/>
                <w:kern w:val="0"/>
                <w:sz w:val="28"/>
                <w:szCs w:val="28"/>
                <w:shd w:val="clear" w:color="auto" w:fill="FFFFFF"/>
                <w:lang w:bidi="ar"/>
              </w:rPr>
            </w:pPr>
          </w:p>
        </w:tc>
        <w:tc>
          <w:tcPr>
            <w:tcW w:w="5214" w:type="dxa"/>
            <w:noWrap w:val="0"/>
            <w:vAlign w:val="center"/>
          </w:tcPr>
          <w:p>
            <w:pPr>
              <w:widowControl/>
              <w:wordWrap w:val="0"/>
              <w:spacing w:line="280" w:lineRule="exact"/>
              <w:rPr>
                <w:kern w:val="0"/>
                <w:szCs w:val="21"/>
                <w:lang w:bidi="ar"/>
              </w:rPr>
            </w:pPr>
            <w:r>
              <w:rPr>
                <w:rFonts w:hint="eastAsia"/>
                <w:kern w:val="0"/>
                <w:szCs w:val="21"/>
                <w:lang w:bidi="ar"/>
              </w:rPr>
              <w:t>提供虚假材料骗取创建资格。</w:t>
            </w:r>
          </w:p>
        </w:tc>
        <w:tc>
          <w:tcPr>
            <w:tcW w:w="885" w:type="dxa"/>
            <w:vMerge w:val="continue"/>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885" w:type="dxa"/>
            <w:vMerge w:val="continue"/>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1169" w:type="dxa"/>
            <w:vMerge w:val="continue"/>
            <w:noWrap w:val="0"/>
            <w:vAlign w:val="top"/>
          </w:tcPr>
          <w:p>
            <w:pPr>
              <w:spacing w:line="260" w:lineRule="exact"/>
              <w:rPr>
                <w:rFonts w:ascii="仿宋_GB2312" w:hAnsi="仿宋_GB2312" w:eastAsia="仿宋_GB2312" w:cs="仿宋_GB2312"/>
                <w:kern w:val="0"/>
                <w:sz w:val="28"/>
                <w:szCs w:val="28"/>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1800" w:type="dxa"/>
            <w:noWrap w:val="0"/>
            <w:vAlign w:val="center"/>
          </w:tcPr>
          <w:p>
            <w:pPr>
              <w:spacing w:line="360" w:lineRule="exact"/>
              <w:jc w:val="center"/>
              <w:rPr>
                <w:rFonts w:ascii="黑体" w:hAnsi="黑体" w:eastAsia="黑体" w:cs="黑体"/>
                <w:kern w:val="0"/>
                <w:sz w:val="28"/>
                <w:szCs w:val="28"/>
                <w:shd w:val="clear" w:color="auto" w:fill="FFFFFF"/>
                <w:lang w:bidi="ar"/>
              </w:rPr>
            </w:pPr>
            <w:r>
              <w:rPr>
                <w:rFonts w:hint="eastAsia" w:ascii="黑体" w:hAnsi="黑体" w:eastAsia="黑体" w:cs="黑体"/>
                <w:kern w:val="0"/>
                <w:sz w:val="28"/>
                <w:szCs w:val="28"/>
                <w:shd w:val="clear" w:color="auto" w:fill="FFFFFF"/>
                <w:lang w:bidi="ar"/>
              </w:rPr>
              <w:t>总 分</w:t>
            </w:r>
          </w:p>
        </w:tc>
        <w:tc>
          <w:tcPr>
            <w:tcW w:w="5214" w:type="dxa"/>
            <w:noWrap w:val="0"/>
            <w:vAlign w:val="center"/>
          </w:tcPr>
          <w:p>
            <w:pPr>
              <w:spacing w:line="260" w:lineRule="exact"/>
              <w:jc w:val="center"/>
              <w:rPr>
                <w:kern w:val="0"/>
                <w:szCs w:val="21"/>
                <w:lang w:bidi="ar"/>
              </w:rPr>
            </w:pPr>
            <w:r>
              <w:rPr>
                <w:rFonts w:hint="eastAsia" w:ascii="Calibri" w:hAnsi="Calibri"/>
                <w:sz w:val="24"/>
              </w:rPr>
              <w:t>——</w:t>
            </w: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885"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c>
          <w:tcPr>
            <w:tcW w:w="1169" w:type="dxa"/>
            <w:noWrap w:val="0"/>
            <w:vAlign w:val="top"/>
          </w:tcPr>
          <w:p>
            <w:pPr>
              <w:spacing w:line="260" w:lineRule="exact"/>
              <w:rPr>
                <w:rFonts w:ascii="仿宋_GB2312" w:hAnsi="仿宋_GB2312" w:eastAsia="仿宋_GB2312" w:cs="仿宋_GB2312"/>
                <w:kern w:val="0"/>
                <w:sz w:val="28"/>
                <w:szCs w:val="28"/>
                <w:shd w:val="clear" w:color="auto" w:fill="FFFFFF"/>
                <w:lang w:bidi="ar"/>
              </w:rPr>
            </w:pPr>
          </w:p>
        </w:tc>
      </w:tr>
    </w:tbl>
    <w:p>
      <w:pPr>
        <w:widowControl/>
        <w:spacing w:before="280" w:beforeLines="50" w:line="480" w:lineRule="exact"/>
        <w:rPr>
          <w:rFonts w:ascii="仿宋_GB2312" w:hAnsi="仿宋_GB2312" w:eastAsia="仿宋_GB2312" w:cs="仿宋_GB2312"/>
          <w:kern w:val="0"/>
          <w:sz w:val="28"/>
          <w:szCs w:val="28"/>
          <w:shd w:val="clear" w:color="auto" w:fill="FFFFFF"/>
          <w:lang w:bidi="ar"/>
        </w:rPr>
      </w:pPr>
      <w:r>
        <w:rPr>
          <w:rFonts w:hint="eastAsia" w:ascii="仿宋_GB2312" w:hAnsi="仿宋_GB2312" w:eastAsia="仿宋_GB2312" w:cs="仿宋_GB2312"/>
          <w:kern w:val="0"/>
          <w:sz w:val="28"/>
          <w:szCs w:val="28"/>
          <w:shd w:val="clear" w:color="auto" w:fill="FFFFFF"/>
          <w:lang w:bidi="ar"/>
        </w:rPr>
        <w:t>门店负责人签字：                     验收人签字：</w:t>
      </w:r>
    </w:p>
    <w:p>
      <w:pPr>
        <w:pStyle w:val="10"/>
        <w:spacing w:line="360" w:lineRule="exact"/>
        <w:ind w:firstLine="5880" w:firstLineChars="2100"/>
        <w:rPr>
          <w:rFonts w:hAnsi="仿宋_GB2312" w:cs="仿宋_GB2312"/>
          <w:kern w:val="0"/>
          <w:shd w:val="clear" w:color="auto" w:fill="FFFFFF"/>
          <w:lang w:bidi="ar"/>
        </w:rPr>
      </w:pPr>
    </w:p>
    <w:p>
      <w:pPr>
        <w:pStyle w:val="10"/>
        <w:spacing w:line="480" w:lineRule="exact"/>
        <w:ind w:firstLine="5880" w:firstLineChars="2100"/>
      </w:pPr>
      <w:r>
        <w:rPr>
          <w:rFonts w:hint="eastAsia" w:hAnsi="仿宋_GB2312" w:cs="仿宋_GB2312"/>
          <w:kern w:val="0"/>
          <w:shd w:val="clear" w:color="auto" w:fill="FFFFFF"/>
          <w:lang w:bidi="ar"/>
        </w:rPr>
        <w:t>时间：   年  月   日</w:t>
      </w:r>
    </w:p>
    <w:p>
      <w:pPr>
        <w:pStyle w:val="10"/>
        <w:rPr>
          <w:rFonts w:ascii="黑体" w:hAnsi="黑体" w:eastAsia="黑体" w:cs="黑体"/>
          <w:bCs/>
          <w:sz w:val="32"/>
          <w:szCs w:val="32"/>
        </w:rPr>
      </w:pPr>
      <w:r>
        <w:rPr>
          <w:rFonts w:hint="eastAsia" w:ascii="黑体" w:hAnsi="黑体" w:eastAsia="黑体" w:cs="黑体"/>
          <w:bCs/>
          <w:sz w:val="32"/>
          <w:szCs w:val="32"/>
        </w:rPr>
        <w:t>附件6</w:t>
      </w:r>
    </w:p>
    <w:p>
      <w:pPr>
        <w:pStyle w:val="10"/>
        <w:spacing w:before="280" w:beforeLines="50" w:after="280" w:afterLines="50"/>
        <w:jc w:val="center"/>
        <w:rPr>
          <w:rFonts w:ascii="方正小标宋_GBK" w:hAnsi="方正小标宋_GBK" w:eastAsia="方正小标宋_GBK" w:cs="方正小标宋_GBK"/>
          <w:kern w:val="0"/>
          <w:sz w:val="44"/>
          <w:szCs w:val="44"/>
          <w:shd w:val="clear" w:color="auto" w:fill="FFFFFF"/>
          <w:lang w:bidi="ar"/>
        </w:rPr>
      </w:pPr>
      <w:r>
        <w:rPr>
          <w:rFonts w:hint="eastAsia" w:ascii="方正小标宋_GBK" w:hAnsi="方正小标宋_GBK" w:eastAsia="方正小标宋_GBK" w:cs="方正小标宋_GBK"/>
          <w:kern w:val="0"/>
          <w:sz w:val="44"/>
          <w:szCs w:val="44"/>
          <w:shd w:val="clear" w:color="auto" w:fill="FFFFFF"/>
          <w:lang w:bidi="ar"/>
        </w:rPr>
        <w:t>青岛市</w:t>
      </w:r>
      <w:r>
        <w:rPr>
          <w:rFonts w:hint="eastAsia" w:ascii="方正小标宋_GBK" w:hAnsi="方正小标宋_GBK" w:eastAsia="方正小标宋_GBK" w:cs="方正小标宋_GBK"/>
          <w:sz w:val="44"/>
          <w:szCs w:val="44"/>
        </w:rPr>
        <w:t>星级</w:t>
      </w:r>
      <w:r>
        <w:rPr>
          <w:rFonts w:hint="eastAsia" w:ascii="方正小标宋_GBK" w:hAnsi="方正小标宋_GBK" w:eastAsia="方正小标宋_GBK" w:cs="方正小标宋_GBK"/>
          <w:kern w:val="0"/>
          <w:sz w:val="44"/>
          <w:szCs w:val="44"/>
          <w:shd w:val="clear" w:color="auto" w:fill="FFFFFF"/>
          <w:lang w:bidi="ar"/>
        </w:rPr>
        <w:t>兽药经营门店创建验收评分标准</w:t>
      </w:r>
    </w:p>
    <w:tbl>
      <w:tblPr>
        <w:tblStyle w:val="8"/>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9"/>
        <w:gridCol w:w="5191"/>
        <w:gridCol w:w="914"/>
        <w:gridCol w:w="918"/>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740" w:type="dxa"/>
            <w:noWrap w:val="0"/>
            <w:vAlign w:val="center"/>
          </w:tcPr>
          <w:p>
            <w:pPr>
              <w:widowControl/>
              <w:wordWrap w:val="0"/>
              <w:spacing w:line="260" w:lineRule="exact"/>
              <w:jc w:val="center"/>
              <w:rPr>
                <w:rFonts w:ascii="黑体" w:hAnsi="黑体" w:eastAsia="黑体" w:cs="黑体"/>
              </w:rPr>
            </w:pPr>
            <w:r>
              <w:rPr>
                <w:rFonts w:hint="eastAsia" w:ascii="黑体" w:hAnsi="黑体" w:eastAsia="黑体" w:cs="黑体"/>
                <w:kern w:val="0"/>
                <w:sz w:val="24"/>
                <w:lang w:bidi="ar"/>
              </w:rPr>
              <w:t>项 目</w:t>
            </w:r>
          </w:p>
        </w:tc>
        <w:tc>
          <w:tcPr>
            <w:tcW w:w="5192" w:type="dxa"/>
            <w:noWrap w:val="0"/>
            <w:vAlign w:val="center"/>
          </w:tcPr>
          <w:p>
            <w:pPr>
              <w:widowControl/>
              <w:wordWrap w:val="0"/>
              <w:spacing w:line="260" w:lineRule="exact"/>
              <w:jc w:val="center"/>
              <w:rPr>
                <w:rFonts w:ascii="黑体" w:hAnsi="黑体" w:eastAsia="黑体" w:cs="黑体"/>
              </w:rPr>
            </w:pPr>
            <w:r>
              <w:rPr>
                <w:rFonts w:hint="eastAsia" w:ascii="黑体" w:hAnsi="黑体" w:eastAsia="黑体" w:cs="黑体"/>
                <w:kern w:val="0"/>
                <w:sz w:val="24"/>
                <w:lang w:bidi="ar"/>
              </w:rPr>
              <w:t>评分标准</w:t>
            </w:r>
          </w:p>
        </w:tc>
        <w:tc>
          <w:tcPr>
            <w:tcW w:w="914" w:type="dxa"/>
            <w:noWrap w:val="0"/>
            <w:vAlign w:val="center"/>
          </w:tcPr>
          <w:p>
            <w:pPr>
              <w:widowControl/>
              <w:wordWrap w:val="0"/>
              <w:spacing w:line="260" w:lineRule="exact"/>
              <w:jc w:val="center"/>
              <w:rPr>
                <w:rFonts w:ascii="黑体" w:hAnsi="黑体" w:eastAsia="黑体" w:cs="黑体"/>
                <w:kern w:val="0"/>
                <w:sz w:val="24"/>
                <w:lang w:bidi="ar"/>
              </w:rPr>
            </w:pPr>
            <w:r>
              <w:rPr>
                <w:rFonts w:hint="eastAsia" w:ascii="黑体" w:hAnsi="黑体" w:eastAsia="黑体" w:cs="黑体"/>
                <w:kern w:val="0"/>
                <w:sz w:val="24"/>
                <w:lang w:bidi="ar"/>
              </w:rPr>
              <w:t>初核得分</w:t>
            </w:r>
          </w:p>
        </w:tc>
        <w:tc>
          <w:tcPr>
            <w:tcW w:w="916" w:type="dxa"/>
            <w:noWrap w:val="0"/>
            <w:vAlign w:val="center"/>
          </w:tcPr>
          <w:p>
            <w:pPr>
              <w:widowControl/>
              <w:wordWrap w:val="0"/>
              <w:spacing w:line="260" w:lineRule="exact"/>
              <w:jc w:val="center"/>
              <w:rPr>
                <w:rFonts w:ascii="黑体" w:hAnsi="黑体" w:eastAsia="黑体" w:cs="黑体"/>
                <w:kern w:val="0"/>
                <w:sz w:val="24"/>
                <w:lang w:bidi="ar"/>
              </w:rPr>
            </w:pPr>
            <w:r>
              <w:rPr>
                <w:rFonts w:hint="eastAsia" w:ascii="黑体" w:hAnsi="黑体" w:eastAsia="黑体" w:cs="黑体"/>
                <w:kern w:val="0"/>
                <w:sz w:val="24"/>
                <w:lang w:bidi="ar"/>
              </w:rPr>
              <w:t>验收</w:t>
            </w:r>
          </w:p>
          <w:p>
            <w:pPr>
              <w:widowControl/>
              <w:wordWrap w:val="0"/>
              <w:spacing w:line="260" w:lineRule="exact"/>
              <w:jc w:val="center"/>
              <w:rPr>
                <w:rFonts w:ascii="黑体" w:hAnsi="黑体" w:eastAsia="黑体" w:cs="黑体"/>
                <w:kern w:val="0"/>
                <w:sz w:val="24"/>
                <w:lang w:bidi="ar"/>
              </w:rPr>
            </w:pPr>
            <w:r>
              <w:rPr>
                <w:rFonts w:hint="eastAsia" w:ascii="黑体" w:hAnsi="黑体" w:eastAsia="黑体" w:cs="黑体"/>
                <w:kern w:val="0"/>
                <w:sz w:val="24"/>
                <w:lang w:bidi="ar"/>
              </w:rPr>
              <w:t>得分</w:t>
            </w:r>
          </w:p>
        </w:tc>
        <w:tc>
          <w:tcPr>
            <w:tcW w:w="1008" w:type="dxa"/>
            <w:noWrap w:val="0"/>
            <w:vAlign w:val="center"/>
          </w:tcPr>
          <w:p>
            <w:pPr>
              <w:widowControl/>
              <w:wordWrap w:val="0"/>
              <w:spacing w:line="260" w:lineRule="exact"/>
              <w:jc w:val="center"/>
              <w:rPr>
                <w:rFonts w:ascii="黑体" w:hAnsi="黑体" w:eastAsia="黑体" w:cs="黑体"/>
                <w:kern w:val="0"/>
                <w:sz w:val="24"/>
                <w:lang w:bidi="ar"/>
              </w:rPr>
            </w:pPr>
            <w:r>
              <w:rPr>
                <w:rFonts w:hint="eastAsia" w:ascii="黑体" w:hAnsi="黑体" w:eastAsia="黑体" w:cs="黑体"/>
                <w:kern w:val="0"/>
                <w:sz w:val="24"/>
                <w:lang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740" w:type="dxa"/>
            <w:vMerge w:val="restart"/>
            <w:noWrap w:val="0"/>
            <w:vAlign w:val="center"/>
          </w:tcPr>
          <w:p>
            <w:pPr>
              <w:pStyle w:val="11"/>
              <w:spacing w:line="360" w:lineRule="exact"/>
              <w:jc w:val="center"/>
            </w:pPr>
            <w:r>
              <w:rPr>
                <w:rFonts w:hint="eastAsia" w:ascii="黑体" w:hAnsi="黑体" w:eastAsia="黑体" w:cs="黑体"/>
                <w:kern w:val="0"/>
                <w:sz w:val="28"/>
                <w:szCs w:val="28"/>
                <w:shd w:val="clear" w:color="auto" w:fill="FFFFFF"/>
                <w:lang w:bidi="ar"/>
              </w:rPr>
              <w:t>场所安全化（20分）</w:t>
            </w:r>
          </w:p>
        </w:tc>
        <w:tc>
          <w:tcPr>
            <w:tcW w:w="5192" w:type="dxa"/>
            <w:noWrap w:val="0"/>
            <w:vAlign w:val="center"/>
          </w:tcPr>
          <w:p>
            <w:pPr>
              <w:spacing w:line="280" w:lineRule="exact"/>
              <w:rPr>
                <w:rFonts w:ascii="宋体" w:hAnsi="宋体" w:cs="宋体"/>
                <w:kern w:val="0"/>
                <w:szCs w:val="21"/>
                <w:lang w:bidi="ar"/>
              </w:rPr>
            </w:pPr>
            <w:r>
              <w:rPr>
                <w:rFonts w:hint="eastAsia" w:ascii="宋体" w:hAnsi="宋体" w:cs="宋体"/>
                <w:kern w:val="0"/>
                <w:szCs w:val="21"/>
                <w:lang w:bidi="ar"/>
              </w:rPr>
              <w:t>经营场所和仓库布局合理且相对独立（2分），兽药经营区域与生活区域、动物诊疗机构独立设置，应有独立的出入口，不能与动物诊疗共用一个营业场所（2分）。</w:t>
            </w:r>
          </w:p>
        </w:tc>
        <w:tc>
          <w:tcPr>
            <w:tcW w:w="914" w:type="dxa"/>
            <w:noWrap w:val="0"/>
            <w:vAlign w:val="top"/>
          </w:tcPr>
          <w:p>
            <w:pPr>
              <w:pStyle w:val="11"/>
              <w:spacing w:line="260" w:lineRule="exact"/>
            </w:pPr>
          </w:p>
        </w:tc>
        <w:tc>
          <w:tcPr>
            <w:tcW w:w="916" w:type="dxa"/>
            <w:noWrap w:val="0"/>
            <w:vAlign w:val="center"/>
          </w:tcPr>
          <w:p>
            <w:pPr>
              <w:spacing w:line="260" w:lineRule="exact"/>
              <w:rPr>
                <w:rFonts w:ascii="Calibri" w:hAnsi="Calibri"/>
              </w:rPr>
            </w:pPr>
          </w:p>
        </w:tc>
        <w:tc>
          <w:tcPr>
            <w:tcW w:w="1008" w:type="dxa"/>
            <w:noWrap w:val="0"/>
            <w:vAlign w:val="top"/>
          </w:tcPr>
          <w:p>
            <w:pPr>
              <w:pStyle w:val="11"/>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1740" w:type="dxa"/>
            <w:vMerge w:val="continue"/>
            <w:noWrap w:val="0"/>
            <w:vAlign w:val="center"/>
          </w:tcPr>
          <w:p>
            <w:pPr>
              <w:pStyle w:val="11"/>
              <w:spacing w:line="360" w:lineRule="exact"/>
              <w:jc w:val="center"/>
            </w:pPr>
          </w:p>
        </w:tc>
        <w:tc>
          <w:tcPr>
            <w:tcW w:w="5192" w:type="dxa"/>
            <w:noWrap w:val="0"/>
            <w:vAlign w:val="center"/>
          </w:tcPr>
          <w:p>
            <w:pPr>
              <w:pStyle w:val="11"/>
              <w:spacing w:line="280" w:lineRule="exact"/>
              <w:rPr>
                <w:rFonts w:ascii="宋体" w:hAnsi="宋体" w:cs="宋体"/>
                <w:kern w:val="0"/>
                <w:sz w:val="21"/>
                <w:szCs w:val="21"/>
                <w:lang w:bidi="ar"/>
              </w:rPr>
            </w:pPr>
            <w:r>
              <w:rPr>
                <w:rFonts w:hint="eastAsia" w:ascii="宋体" w:hAnsi="宋体" w:cs="宋体"/>
                <w:kern w:val="0"/>
                <w:sz w:val="21"/>
                <w:szCs w:val="21"/>
                <w:lang w:bidi="ar"/>
              </w:rPr>
              <w:t>经营或存放兽用精神药品、毒性药品、麻醉药品、放射性药品、易制毒化学药品等的，应配备保险柜和安全监控设施设备（2分），并配置相应的消防安全设施（2分）。</w:t>
            </w:r>
          </w:p>
        </w:tc>
        <w:tc>
          <w:tcPr>
            <w:tcW w:w="914" w:type="dxa"/>
            <w:noWrap w:val="0"/>
            <w:vAlign w:val="top"/>
          </w:tcPr>
          <w:p>
            <w:pPr>
              <w:pStyle w:val="11"/>
              <w:spacing w:line="260" w:lineRule="exact"/>
            </w:pPr>
          </w:p>
        </w:tc>
        <w:tc>
          <w:tcPr>
            <w:tcW w:w="916" w:type="dxa"/>
            <w:noWrap w:val="0"/>
            <w:vAlign w:val="center"/>
          </w:tcPr>
          <w:p>
            <w:pPr>
              <w:spacing w:line="260" w:lineRule="exact"/>
              <w:rPr>
                <w:rFonts w:ascii="Calibri" w:hAnsi="Calibri"/>
              </w:rPr>
            </w:pPr>
          </w:p>
        </w:tc>
        <w:tc>
          <w:tcPr>
            <w:tcW w:w="1008" w:type="dxa"/>
            <w:noWrap w:val="0"/>
            <w:vAlign w:val="top"/>
          </w:tcPr>
          <w:p>
            <w:pPr>
              <w:pStyle w:val="11"/>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jc w:val="center"/>
        </w:trPr>
        <w:tc>
          <w:tcPr>
            <w:tcW w:w="1740" w:type="dxa"/>
            <w:vMerge w:val="continue"/>
            <w:noWrap w:val="0"/>
            <w:vAlign w:val="center"/>
          </w:tcPr>
          <w:p>
            <w:pPr>
              <w:pStyle w:val="11"/>
              <w:spacing w:line="360" w:lineRule="exact"/>
              <w:jc w:val="center"/>
            </w:pPr>
          </w:p>
        </w:tc>
        <w:tc>
          <w:tcPr>
            <w:tcW w:w="5192" w:type="dxa"/>
            <w:noWrap w:val="0"/>
            <w:vAlign w:val="center"/>
          </w:tcPr>
          <w:p>
            <w:pPr>
              <w:pStyle w:val="11"/>
              <w:spacing w:line="280" w:lineRule="exact"/>
              <w:rPr>
                <w:rFonts w:ascii="宋体" w:hAnsi="宋体" w:cs="宋体"/>
                <w:kern w:val="0"/>
                <w:sz w:val="21"/>
                <w:szCs w:val="21"/>
                <w:lang w:bidi="ar"/>
              </w:rPr>
            </w:pPr>
            <w:r>
              <w:rPr>
                <w:rFonts w:hint="eastAsia" w:ascii="宋体" w:hAnsi="宋体" w:cs="宋体"/>
                <w:kern w:val="0"/>
                <w:sz w:val="21"/>
                <w:szCs w:val="21"/>
                <w:lang w:bidi="ar"/>
              </w:rPr>
              <w:t>经营场所和仓库的面积及所需设施、设备是否与所经营的兽药品种、规模相适应。兽药经营场所不少于20㎡（1分）、仓库面积应不少于30㎡（1分）。兼营兽用生物制品企业经营面积不少于30㎡，其中用于存放冷冻库</w:t>
            </w:r>
            <w:r>
              <w:rPr>
                <w:rFonts w:hint="eastAsia" w:ascii="宋体" w:hAnsi="宋体" w:cs="宋体"/>
                <w:kern w:val="0"/>
                <w:sz w:val="21"/>
                <w:szCs w:val="21"/>
                <w:lang w:eastAsia="zh-CN" w:bidi="ar"/>
              </w:rPr>
              <w:t>（</w:t>
            </w:r>
            <w:r>
              <w:rPr>
                <w:rFonts w:hint="eastAsia" w:ascii="宋体" w:hAnsi="宋体" w:cs="宋体"/>
                <w:kern w:val="0"/>
                <w:sz w:val="21"/>
                <w:szCs w:val="21"/>
                <w:lang w:bidi="ar"/>
              </w:rPr>
              <w:t>柜</w:t>
            </w:r>
            <w:r>
              <w:rPr>
                <w:rFonts w:hint="eastAsia" w:ascii="宋体" w:hAnsi="宋体" w:cs="宋体"/>
                <w:kern w:val="0"/>
                <w:sz w:val="21"/>
                <w:szCs w:val="21"/>
                <w:lang w:eastAsia="zh-CN" w:bidi="ar"/>
              </w:rPr>
              <w:t>）</w:t>
            </w:r>
            <w:r>
              <w:rPr>
                <w:rFonts w:hint="eastAsia" w:ascii="宋体" w:hAnsi="宋体" w:cs="宋体"/>
                <w:kern w:val="0"/>
                <w:sz w:val="21"/>
                <w:szCs w:val="21"/>
                <w:lang w:bidi="ar"/>
              </w:rPr>
              <w:t>、冷藏库</w:t>
            </w:r>
            <w:r>
              <w:rPr>
                <w:rFonts w:hint="eastAsia" w:ascii="宋体" w:hAnsi="宋体" w:cs="宋体"/>
                <w:kern w:val="0"/>
                <w:sz w:val="21"/>
                <w:szCs w:val="21"/>
                <w:lang w:eastAsia="zh-CN" w:bidi="ar"/>
              </w:rPr>
              <w:t>（</w:t>
            </w:r>
            <w:r>
              <w:rPr>
                <w:rFonts w:hint="eastAsia" w:ascii="宋体" w:hAnsi="宋体" w:cs="宋体"/>
                <w:kern w:val="0"/>
                <w:sz w:val="21"/>
                <w:szCs w:val="21"/>
                <w:lang w:bidi="ar"/>
              </w:rPr>
              <w:t>柜</w:t>
            </w:r>
            <w:r>
              <w:rPr>
                <w:rFonts w:hint="eastAsia" w:ascii="宋体" w:hAnsi="宋体" w:cs="宋体"/>
                <w:kern w:val="0"/>
                <w:sz w:val="21"/>
                <w:szCs w:val="21"/>
                <w:lang w:eastAsia="zh-CN" w:bidi="ar"/>
              </w:rPr>
              <w:t>）</w:t>
            </w:r>
            <w:r>
              <w:rPr>
                <w:rFonts w:hint="eastAsia" w:ascii="宋体" w:hAnsi="宋体" w:cs="宋体"/>
                <w:kern w:val="0"/>
                <w:sz w:val="21"/>
                <w:szCs w:val="21"/>
                <w:lang w:bidi="ar"/>
              </w:rPr>
              <w:t>的总面积不少于10㎡（2分）。</w:t>
            </w:r>
          </w:p>
        </w:tc>
        <w:tc>
          <w:tcPr>
            <w:tcW w:w="914" w:type="dxa"/>
            <w:noWrap w:val="0"/>
            <w:vAlign w:val="top"/>
          </w:tcPr>
          <w:p>
            <w:pPr>
              <w:pStyle w:val="11"/>
              <w:spacing w:line="260" w:lineRule="exact"/>
            </w:pPr>
          </w:p>
        </w:tc>
        <w:tc>
          <w:tcPr>
            <w:tcW w:w="916" w:type="dxa"/>
            <w:noWrap w:val="0"/>
            <w:vAlign w:val="center"/>
          </w:tcPr>
          <w:p>
            <w:pPr>
              <w:widowControl/>
              <w:wordWrap w:val="0"/>
              <w:spacing w:line="260" w:lineRule="exact"/>
              <w:rPr>
                <w:kern w:val="0"/>
                <w:szCs w:val="21"/>
                <w:lang w:bidi="ar"/>
              </w:rPr>
            </w:pPr>
          </w:p>
        </w:tc>
        <w:tc>
          <w:tcPr>
            <w:tcW w:w="1008" w:type="dxa"/>
            <w:noWrap w:val="0"/>
            <w:vAlign w:val="top"/>
          </w:tcPr>
          <w:p>
            <w:pPr>
              <w:pStyle w:val="11"/>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740" w:type="dxa"/>
            <w:vMerge w:val="continue"/>
            <w:noWrap w:val="0"/>
            <w:vAlign w:val="center"/>
          </w:tcPr>
          <w:p>
            <w:pPr>
              <w:pStyle w:val="11"/>
              <w:spacing w:line="360" w:lineRule="exact"/>
              <w:jc w:val="center"/>
              <w:rPr>
                <w:rFonts w:ascii="黑体" w:hAnsi="黑体" w:eastAsia="黑体" w:cs="黑体"/>
                <w:kern w:val="0"/>
                <w:sz w:val="28"/>
                <w:szCs w:val="28"/>
                <w:shd w:val="clear" w:color="auto" w:fill="FFFFFF"/>
                <w:lang w:bidi="ar"/>
              </w:rPr>
            </w:pPr>
          </w:p>
        </w:tc>
        <w:tc>
          <w:tcPr>
            <w:tcW w:w="5192" w:type="dxa"/>
            <w:noWrap w:val="0"/>
            <w:vAlign w:val="center"/>
          </w:tcPr>
          <w:p>
            <w:pPr>
              <w:spacing w:line="280" w:lineRule="exact"/>
              <w:rPr>
                <w:rFonts w:ascii="宋体" w:hAnsi="宋体" w:cs="宋体"/>
                <w:kern w:val="0"/>
                <w:szCs w:val="21"/>
                <w:lang w:bidi="ar"/>
              </w:rPr>
            </w:pPr>
            <w:r>
              <w:rPr>
                <w:rFonts w:hint="eastAsia" w:ascii="宋体" w:hAnsi="宋体" w:cs="宋体"/>
                <w:kern w:val="0"/>
                <w:szCs w:val="21"/>
                <w:lang w:bidi="ar"/>
              </w:rPr>
              <w:t>经营场所和仓库应当配置与经营品种、规模相适应的货架、柜台，以及常温库、阴凉库、冷冻库（柜）、冷藏库（柜</w:t>
            </w:r>
            <w:r>
              <w:rPr>
                <w:rFonts w:hint="eastAsia" w:ascii="宋体" w:hAnsi="宋体" w:cs="宋体"/>
                <w:kern w:val="0"/>
                <w:szCs w:val="21"/>
                <w:lang w:eastAsia="zh-CN" w:bidi="ar"/>
              </w:rPr>
              <w:t>）</w:t>
            </w:r>
            <w:r>
              <w:rPr>
                <w:rFonts w:hint="eastAsia" w:ascii="宋体" w:hAnsi="宋体" w:cs="宋体"/>
                <w:kern w:val="0"/>
                <w:szCs w:val="21"/>
                <w:lang w:bidi="ar"/>
              </w:rPr>
              <w:t>等设施设备（2分），并根据兽药品种的储存要求，设置合乎标准的温度湿度（2分）。</w:t>
            </w:r>
          </w:p>
        </w:tc>
        <w:tc>
          <w:tcPr>
            <w:tcW w:w="914" w:type="dxa"/>
            <w:noWrap w:val="0"/>
            <w:vAlign w:val="top"/>
          </w:tcPr>
          <w:p>
            <w:pPr>
              <w:pStyle w:val="11"/>
              <w:spacing w:line="260" w:lineRule="exact"/>
            </w:pPr>
          </w:p>
        </w:tc>
        <w:tc>
          <w:tcPr>
            <w:tcW w:w="916" w:type="dxa"/>
            <w:noWrap w:val="0"/>
            <w:vAlign w:val="center"/>
          </w:tcPr>
          <w:p>
            <w:pPr>
              <w:widowControl/>
              <w:wordWrap w:val="0"/>
              <w:spacing w:line="260" w:lineRule="exact"/>
              <w:rPr>
                <w:kern w:val="0"/>
                <w:szCs w:val="21"/>
                <w:lang w:bidi="ar"/>
              </w:rPr>
            </w:pPr>
          </w:p>
        </w:tc>
        <w:tc>
          <w:tcPr>
            <w:tcW w:w="1008" w:type="dxa"/>
            <w:noWrap w:val="0"/>
            <w:vAlign w:val="top"/>
          </w:tcPr>
          <w:p>
            <w:pPr>
              <w:pStyle w:val="11"/>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740" w:type="dxa"/>
            <w:vMerge w:val="continue"/>
            <w:noWrap w:val="0"/>
            <w:vAlign w:val="center"/>
          </w:tcPr>
          <w:p>
            <w:pPr>
              <w:pStyle w:val="11"/>
              <w:spacing w:line="360" w:lineRule="exact"/>
              <w:jc w:val="center"/>
            </w:pPr>
          </w:p>
        </w:tc>
        <w:tc>
          <w:tcPr>
            <w:tcW w:w="5192" w:type="dxa"/>
            <w:noWrap w:val="0"/>
            <w:vAlign w:val="center"/>
          </w:tcPr>
          <w:p>
            <w:pPr>
              <w:spacing w:line="280" w:lineRule="exact"/>
              <w:rPr>
                <w:rFonts w:ascii="宋体" w:hAnsi="宋体" w:cs="宋体"/>
                <w:kern w:val="0"/>
                <w:szCs w:val="21"/>
                <w:lang w:bidi="ar"/>
              </w:rPr>
            </w:pPr>
            <w:r>
              <w:rPr>
                <w:rFonts w:hint="eastAsia" w:ascii="宋体" w:hAnsi="宋体" w:cs="宋体"/>
                <w:kern w:val="0"/>
                <w:szCs w:val="21"/>
                <w:lang w:bidi="ar"/>
              </w:rPr>
              <w:t>仓库内应设置待检区、合格区、不合格（退货）区等各类区域，并有明显标识（2分）。经营兽用生物制品的，应有真空检测仪以及温度监控系统等设施设备，或具有相关产品停电后的保温办法（2分）。</w:t>
            </w:r>
          </w:p>
        </w:tc>
        <w:tc>
          <w:tcPr>
            <w:tcW w:w="914" w:type="dxa"/>
            <w:noWrap w:val="0"/>
            <w:vAlign w:val="top"/>
          </w:tcPr>
          <w:p>
            <w:pPr>
              <w:pStyle w:val="11"/>
              <w:spacing w:line="260" w:lineRule="exact"/>
            </w:pPr>
          </w:p>
        </w:tc>
        <w:tc>
          <w:tcPr>
            <w:tcW w:w="916" w:type="dxa"/>
            <w:noWrap w:val="0"/>
            <w:vAlign w:val="top"/>
          </w:tcPr>
          <w:p>
            <w:pPr>
              <w:pStyle w:val="11"/>
              <w:spacing w:line="260" w:lineRule="exact"/>
            </w:pPr>
          </w:p>
        </w:tc>
        <w:tc>
          <w:tcPr>
            <w:tcW w:w="1008" w:type="dxa"/>
            <w:noWrap w:val="0"/>
            <w:vAlign w:val="top"/>
          </w:tcPr>
          <w:p>
            <w:pPr>
              <w:pStyle w:val="11"/>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740" w:type="dxa"/>
            <w:vMerge w:val="restart"/>
            <w:noWrap w:val="0"/>
            <w:vAlign w:val="center"/>
          </w:tcPr>
          <w:p>
            <w:pPr>
              <w:pStyle w:val="11"/>
              <w:spacing w:line="360" w:lineRule="exact"/>
              <w:jc w:val="center"/>
            </w:pPr>
            <w:r>
              <w:rPr>
                <w:rFonts w:hint="eastAsia" w:ascii="黑体" w:hAnsi="黑体" w:eastAsia="黑体" w:cs="黑体"/>
                <w:kern w:val="0"/>
                <w:sz w:val="28"/>
                <w:szCs w:val="28"/>
                <w:shd w:val="clear" w:color="auto" w:fill="FFFFFF"/>
                <w:lang w:bidi="ar"/>
              </w:rPr>
              <w:t>环境卫生化（15分）</w:t>
            </w:r>
          </w:p>
        </w:tc>
        <w:tc>
          <w:tcPr>
            <w:tcW w:w="5192" w:type="dxa"/>
            <w:noWrap w:val="0"/>
            <w:vAlign w:val="center"/>
          </w:tcPr>
          <w:p>
            <w:pPr>
              <w:pStyle w:val="11"/>
              <w:spacing w:line="280" w:lineRule="exact"/>
              <w:rPr>
                <w:rFonts w:ascii="宋体" w:hAnsi="宋体" w:cs="宋体"/>
              </w:rPr>
            </w:pPr>
            <w:r>
              <w:rPr>
                <w:rFonts w:hint="eastAsia" w:ascii="宋体" w:hAnsi="宋体" w:cs="宋体"/>
                <w:kern w:val="0"/>
                <w:sz w:val="21"/>
                <w:szCs w:val="21"/>
                <w:lang w:bidi="ar"/>
              </w:rPr>
              <w:t>店面干净整洁，有良好的通风和照明（3分），与生活区域有效隔离（2分）。</w:t>
            </w:r>
          </w:p>
        </w:tc>
        <w:tc>
          <w:tcPr>
            <w:tcW w:w="914" w:type="dxa"/>
            <w:noWrap w:val="0"/>
            <w:vAlign w:val="top"/>
          </w:tcPr>
          <w:p>
            <w:pPr>
              <w:pStyle w:val="11"/>
              <w:spacing w:line="260" w:lineRule="exact"/>
            </w:pPr>
          </w:p>
        </w:tc>
        <w:tc>
          <w:tcPr>
            <w:tcW w:w="916" w:type="dxa"/>
            <w:noWrap w:val="0"/>
            <w:vAlign w:val="top"/>
          </w:tcPr>
          <w:p>
            <w:pPr>
              <w:pStyle w:val="11"/>
              <w:spacing w:line="260" w:lineRule="exact"/>
            </w:pPr>
          </w:p>
        </w:tc>
        <w:tc>
          <w:tcPr>
            <w:tcW w:w="1008" w:type="dxa"/>
            <w:noWrap w:val="0"/>
            <w:vAlign w:val="top"/>
          </w:tcPr>
          <w:p>
            <w:pPr>
              <w:pStyle w:val="11"/>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740" w:type="dxa"/>
            <w:vMerge w:val="continue"/>
            <w:noWrap w:val="0"/>
            <w:vAlign w:val="center"/>
          </w:tcPr>
          <w:p>
            <w:pPr>
              <w:pStyle w:val="11"/>
              <w:spacing w:line="360" w:lineRule="exact"/>
              <w:jc w:val="center"/>
              <w:rPr>
                <w:rFonts w:ascii="黑体" w:hAnsi="黑体" w:eastAsia="黑体" w:cs="黑体"/>
                <w:kern w:val="0"/>
                <w:sz w:val="28"/>
                <w:szCs w:val="28"/>
                <w:shd w:val="clear" w:color="auto" w:fill="FFFFFF"/>
                <w:lang w:bidi="ar"/>
              </w:rPr>
            </w:pPr>
          </w:p>
        </w:tc>
        <w:tc>
          <w:tcPr>
            <w:tcW w:w="5192" w:type="dxa"/>
            <w:noWrap w:val="0"/>
            <w:vAlign w:val="center"/>
          </w:tcPr>
          <w:p>
            <w:pPr>
              <w:pStyle w:val="11"/>
              <w:spacing w:line="280" w:lineRule="exact"/>
              <w:rPr>
                <w:rFonts w:ascii="宋体" w:hAnsi="宋体" w:cs="宋体"/>
                <w:kern w:val="0"/>
                <w:sz w:val="21"/>
                <w:szCs w:val="21"/>
                <w:lang w:bidi="ar"/>
              </w:rPr>
            </w:pPr>
            <w:r>
              <w:rPr>
                <w:rFonts w:hint="eastAsia" w:ascii="宋体" w:hAnsi="宋体" w:cs="宋体"/>
                <w:kern w:val="0"/>
                <w:sz w:val="21"/>
                <w:szCs w:val="21"/>
                <w:lang w:bidi="ar"/>
              </w:rPr>
              <w:t>仓储场所有排水、通风、照明、防虫、防鼠等设施（2分），设置过期或不合格兽药存放专区（2分）。</w:t>
            </w:r>
          </w:p>
        </w:tc>
        <w:tc>
          <w:tcPr>
            <w:tcW w:w="914" w:type="dxa"/>
            <w:noWrap w:val="0"/>
            <w:vAlign w:val="top"/>
          </w:tcPr>
          <w:p>
            <w:pPr>
              <w:pStyle w:val="11"/>
              <w:spacing w:line="260" w:lineRule="exact"/>
            </w:pPr>
          </w:p>
        </w:tc>
        <w:tc>
          <w:tcPr>
            <w:tcW w:w="916" w:type="dxa"/>
            <w:noWrap w:val="0"/>
            <w:vAlign w:val="top"/>
          </w:tcPr>
          <w:p>
            <w:pPr>
              <w:pStyle w:val="11"/>
              <w:spacing w:line="260" w:lineRule="exact"/>
            </w:pPr>
          </w:p>
        </w:tc>
        <w:tc>
          <w:tcPr>
            <w:tcW w:w="1008" w:type="dxa"/>
            <w:noWrap w:val="0"/>
            <w:vAlign w:val="top"/>
          </w:tcPr>
          <w:p>
            <w:pPr>
              <w:pStyle w:val="11"/>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740" w:type="dxa"/>
            <w:vMerge w:val="continue"/>
            <w:noWrap w:val="0"/>
            <w:vAlign w:val="center"/>
          </w:tcPr>
          <w:p>
            <w:pPr>
              <w:pStyle w:val="11"/>
              <w:spacing w:line="360" w:lineRule="exact"/>
              <w:jc w:val="center"/>
              <w:rPr>
                <w:rFonts w:ascii="黑体" w:hAnsi="黑体" w:eastAsia="黑体" w:cs="黑体"/>
                <w:kern w:val="0"/>
                <w:sz w:val="28"/>
                <w:szCs w:val="28"/>
                <w:shd w:val="clear" w:color="auto" w:fill="FFFFFF"/>
                <w:lang w:bidi="ar"/>
              </w:rPr>
            </w:pPr>
          </w:p>
        </w:tc>
        <w:tc>
          <w:tcPr>
            <w:tcW w:w="5192" w:type="dxa"/>
            <w:noWrap w:val="0"/>
            <w:vAlign w:val="center"/>
          </w:tcPr>
          <w:p>
            <w:pPr>
              <w:widowControl/>
              <w:wordWrap w:val="0"/>
              <w:spacing w:line="280" w:lineRule="exact"/>
              <w:rPr>
                <w:rFonts w:ascii="宋体" w:hAnsi="宋体" w:cs="宋体"/>
                <w:kern w:val="0"/>
                <w:szCs w:val="21"/>
                <w:lang w:bidi="ar"/>
              </w:rPr>
            </w:pPr>
            <w:r>
              <w:rPr>
                <w:rFonts w:hint="eastAsia" w:ascii="宋体" w:hAnsi="宋体" w:cs="宋体"/>
                <w:kern w:val="0"/>
                <w:szCs w:val="21"/>
                <w:lang w:bidi="ar"/>
              </w:rPr>
              <w:t>经营兽用中药材的，应设置中药材专柜并注明产地（2分）；经营固体氯制消毒剂的，应当设置相对独立专库，保持阴凉干燥（2分）。</w:t>
            </w:r>
          </w:p>
        </w:tc>
        <w:tc>
          <w:tcPr>
            <w:tcW w:w="914" w:type="dxa"/>
            <w:noWrap w:val="0"/>
            <w:vAlign w:val="top"/>
          </w:tcPr>
          <w:p>
            <w:pPr>
              <w:pStyle w:val="11"/>
              <w:spacing w:line="260" w:lineRule="exact"/>
            </w:pPr>
          </w:p>
        </w:tc>
        <w:tc>
          <w:tcPr>
            <w:tcW w:w="916" w:type="dxa"/>
            <w:noWrap w:val="0"/>
            <w:vAlign w:val="top"/>
          </w:tcPr>
          <w:p>
            <w:pPr>
              <w:pStyle w:val="11"/>
              <w:spacing w:line="260" w:lineRule="exact"/>
            </w:pPr>
          </w:p>
        </w:tc>
        <w:tc>
          <w:tcPr>
            <w:tcW w:w="1008" w:type="dxa"/>
            <w:noWrap w:val="0"/>
            <w:vAlign w:val="top"/>
          </w:tcPr>
          <w:p>
            <w:pPr>
              <w:pStyle w:val="11"/>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740" w:type="dxa"/>
            <w:vMerge w:val="continue"/>
            <w:noWrap w:val="0"/>
            <w:vAlign w:val="center"/>
          </w:tcPr>
          <w:p>
            <w:pPr>
              <w:pStyle w:val="11"/>
              <w:spacing w:line="360" w:lineRule="exact"/>
              <w:jc w:val="center"/>
            </w:pPr>
          </w:p>
        </w:tc>
        <w:tc>
          <w:tcPr>
            <w:tcW w:w="5192" w:type="dxa"/>
            <w:noWrap w:val="0"/>
            <w:vAlign w:val="center"/>
          </w:tcPr>
          <w:p>
            <w:pPr>
              <w:widowControl/>
              <w:wordWrap w:val="0"/>
              <w:spacing w:line="280" w:lineRule="exact"/>
              <w:rPr>
                <w:rFonts w:ascii="宋体" w:hAnsi="宋体" w:cs="宋体"/>
                <w:kern w:val="0"/>
                <w:szCs w:val="21"/>
                <w:lang w:bidi="ar"/>
              </w:rPr>
            </w:pPr>
            <w:r>
              <w:rPr>
                <w:rFonts w:hint="eastAsia" w:ascii="宋体" w:hAnsi="宋体" w:cs="宋体"/>
                <w:kern w:val="0"/>
                <w:szCs w:val="21"/>
                <w:lang w:bidi="ar"/>
              </w:rPr>
              <w:t>兽药存储不得将兽药存放在食品、饮料等易受污染区域，不得与食品、饲料混放或混存（2分）。</w:t>
            </w:r>
          </w:p>
        </w:tc>
        <w:tc>
          <w:tcPr>
            <w:tcW w:w="914" w:type="dxa"/>
            <w:noWrap w:val="0"/>
            <w:vAlign w:val="top"/>
          </w:tcPr>
          <w:p>
            <w:pPr>
              <w:pStyle w:val="11"/>
              <w:spacing w:line="260" w:lineRule="exact"/>
            </w:pPr>
          </w:p>
        </w:tc>
        <w:tc>
          <w:tcPr>
            <w:tcW w:w="916" w:type="dxa"/>
            <w:noWrap w:val="0"/>
            <w:vAlign w:val="top"/>
          </w:tcPr>
          <w:p>
            <w:pPr>
              <w:pStyle w:val="11"/>
              <w:spacing w:line="260" w:lineRule="exact"/>
            </w:pPr>
          </w:p>
        </w:tc>
        <w:tc>
          <w:tcPr>
            <w:tcW w:w="1008" w:type="dxa"/>
            <w:noWrap w:val="0"/>
            <w:vAlign w:val="top"/>
          </w:tcPr>
          <w:p>
            <w:pPr>
              <w:pStyle w:val="11"/>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740" w:type="dxa"/>
            <w:noWrap w:val="0"/>
            <w:vAlign w:val="center"/>
          </w:tcPr>
          <w:p>
            <w:pPr>
              <w:widowControl/>
              <w:wordWrap w:val="0"/>
              <w:spacing w:line="260" w:lineRule="exact"/>
              <w:jc w:val="center"/>
            </w:pPr>
            <w:r>
              <w:rPr>
                <w:rFonts w:hint="eastAsia" w:ascii="黑体" w:hAnsi="黑体" w:eastAsia="黑体" w:cs="黑体"/>
                <w:kern w:val="0"/>
                <w:sz w:val="24"/>
                <w:lang w:bidi="ar"/>
              </w:rPr>
              <w:t>项 目</w:t>
            </w:r>
          </w:p>
        </w:tc>
        <w:tc>
          <w:tcPr>
            <w:tcW w:w="5192" w:type="dxa"/>
            <w:noWrap w:val="0"/>
            <w:vAlign w:val="center"/>
          </w:tcPr>
          <w:p>
            <w:pPr>
              <w:widowControl/>
              <w:wordWrap w:val="0"/>
              <w:spacing w:line="260" w:lineRule="exact"/>
              <w:jc w:val="center"/>
              <w:rPr>
                <w:rFonts w:ascii="宋体" w:hAnsi="宋体" w:cs="宋体"/>
                <w:kern w:val="0"/>
                <w:szCs w:val="21"/>
                <w:lang w:bidi="ar"/>
              </w:rPr>
            </w:pPr>
            <w:r>
              <w:rPr>
                <w:rFonts w:hint="eastAsia" w:ascii="黑体" w:hAnsi="黑体" w:eastAsia="黑体" w:cs="黑体"/>
                <w:kern w:val="0"/>
                <w:sz w:val="24"/>
                <w:lang w:bidi="ar"/>
              </w:rPr>
              <w:t>评分标准</w:t>
            </w:r>
          </w:p>
        </w:tc>
        <w:tc>
          <w:tcPr>
            <w:tcW w:w="914" w:type="dxa"/>
            <w:noWrap w:val="0"/>
            <w:vAlign w:val="center"/>
          </w:tcPr>
          <w:p>
            <w:pPr>
              <w:widowControl/>
              <w:wordWrap w:val="0"/>
              <w:spacing w:line="260" w:lineRule="exact"/>
              <w:jc w:val="center"/>
              <w:rPr>
                <w:rFonts w:ascii="Calibri" w:hAnsi="Calibri"/>
                <w:sz w:val="24"/>
              </w:rPr>
            </w:pPr>
            <w:r>
              <w:rPr>
                <w:rFonts w:hint="eastAsia" w:ascii="黑体" w:hAnsi="黑体" w:eastAsia="黑体" w:cs="黑体"/>
                <w:kern w:val="0"/>
                <w:sz w:val="24"/>
                <w:lang w:bidi="ar"/>
              </w:rPr>
              <w:t>初核得分</w:t>
            </w:r>
          </w:p>
        </w:tc>
        <w:tc>
          <w:tcPr>
            <w:tcW w:w="918" w:type="dxa"/>
            <w:noWrap w:val="0"/>
            <w:vAlign w:val="center"/>
          </w:tcPr>
          <w:p>
            <w:pPr>
              <w:widowControl/>
              <w:wordWrap w:val="0"/>
              <w:spacing w:line="260" w:lineRule="exact"/>
              <w:jc w:val="center"/>
              <w:rPr>
                <w:rFonts w:ascii="黑体" w:hAnsi="黑体" w:eastAsia="黑体" w:cs="黑体"/>
                <w:kern w:val="0"/>
                <w:sz w:val="24"/>
                <w:lang w:bidi="ar"/>
              </w:rPr>
            </w:pPr>
            <w:r>
              <w:rPr>
                <w:rFonts w:hint="eastAsia" w:ascii="黑体" w:hAnsi="黑体" w:eastAsia="黑体" w:cs="黑体"/>
                <w:kern w:val="0"/>
                <w:sz w:val="24"/>
                <w:lang w:bidi="ar"/>
              </w:rPr>
              <w:t>验收</w:t>
            </w:r>
          </w:p>
          <w:p>
            <w:pPr>
              <w:widowControl/>
              <w:wordWrap w:val="0"/>
              <w:spacing w:line="260" w:lineRule="exact"/>
              <w:jc w:val="center"/>
            </w:pPr>
            <w:r>
              <w:rPr>
                <w:rFonts w:hint="eastAsia" w:ascii="黑体" w:hAnsi="黑体" w:eastAsia="黑体" w:cs="黑体"/>
                <w:kern w:val="0"/>
                <w:sz w:val="24"/>
                <w:lang w:bidi="ar"/>
              </w:rPr>
              <w:t>得分</w:t>
            </w:r>
          </w:p>
        </w:tc>
        <w:tc>
          <w:tcPr>
            <w:tcW w:w="1006" w:type="dxa"/>
            <w:noWrap w:val="0"/>
            <w:vAlign w:val="center"/>
          </w:tcPr>
          <w:p>
            <w:pPr>
              <w:widowControl/>
              <w:wordWrap w:val="0"/>
              <w:spacing w:line="260" w:lineRule="exact"/>
              <w:jc w:val="center"/>
            </w:pPr>
            <w:r>
              <w:rPr>
                <w:rFonts w:hint="eastAsia" w:ascii="黑体" w:hAnsi="黑体" w:eastAsia="黑体" w:cs="黑体"/>
                <w:kern w:val="0"/>
                <w:sz w:val="24"/>
                <w:lang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740" w:type="dxa"/>
            <w:vMerge w:val="restart"/>
            <w:noWrap w:val="0"/>
            <w:vAlign w:val="center"/>
          </w:tcPr>
          <w:p>
            <w:pPr>
              <w:pStyle w:val="11"/>
              <w:spacing w:line="360" w:lineRule="exact"/>
              <w:jc w:val="center"/>
              <w:rPr>
                <w:rFonts w:ascii="黑体" w:hAnsi="黑体" w:eastAsia="黑体" w:cs="黑体"/>
                <w:kern w:val="0"/>
                <w:sz w:val="28"/>
                <w:szCs w:val="28"/>
                <w:shd w:val="clear" w:color="auto" w:fill="FFFFFF"/>
                <w:lang w:bidi="ar"/>
              </w:rPr>
            </w:pPr>
            <w:r>
              <w:rPr>
                <w:rFonts w:hint="eastAsia" w:ascii="黑体" w:hAnsi="黑体" w:eastAsia="黑体" w:cs="黑体"/>
                <w:kern w:val="0"/>
                <w:sz w:val="28"/>
                <w:szCs w:val="28"/>
                <w:shd w:val="clear" w:color="auto" w:fill="FFFFFF"/>
                <w:lang w:bidi="ar"/>
              </w:rPr>
              <w:t>经营规范化（20分）</w:t>
            </w:r>
          </w:p>
        </w:tc>
        <w:tc>
          <w:tcPr>
            <w:tcW w:w="5192" w:type="dxa"/>
            <w:noWrap w:val="0"/>
            <w:vAlign w:val="center"/>
          </w:tcPr>
          <w:p>
            <w:pPr>
              <w:widowControl/>
              <w:wordWrap w:val="0"/>
              <w:spacing w:line="280" w:lineRule="exact"/>
              <w:rPr>
                <w:rFonts w:ascii="宋体" w:hAnsi="宋体" w:cs="宋体"/>
                <w:kern w:val="0"/>
                <w:szCs w:val="21"/>
                <w:lang w:bidi="ar"/>
              </w:rPr>
            </w:pPr>
            <w:r>
              <w:rPr>
                <w:rFonts w:hint="eastAsia" w:ascii="宋体" w:hAnsi="宋体" w:cs="宋体"/>
                <w:kern w:val="0"/>
                <w:szCs w:val="21"/>
                <w:lang w:bidi="ar"/>
              </w:rPr>
              <w:t>证明手续齐全（3分），有关许可证和营业执照悬挂在店内明显位置（2分</w:t>
            </w:r>
            <w:r>
              <w:rPr>
                <w:rFonts w:hint="eastAsia" w:ascii="宋体" w:hAnsi="宋体" w:cs="宋体"/>
                <w:kern w:val="0"/>
                <w:szCs w:val="21"/>
                <w:lang w:eastAsia="zh-CN" w:bidi="ar"/>
              </w:rPr>
              <w:t>）</w:t>
            </w:r>
            <w:r>
              <w:rPr>
                <w:rFonts w:hint="eastAsia" w:ascii="宋体" w:hAnsi="宋体" w:cs="宋体"/>
                <w:kern w:val="0"/>
                <w:szCs w:val="21"/>
                <w:lang w:bidi="ar"/>
              </w:rPr>
              <w:t>。</w:t>
            </w:r>
          </w:p>
        </w:tc>
        <w:tc>
          <w:tcPr>
            <w:tcW w:w="914" w:type="dxa"/>
            <w:noWrap w:val="0"/>
            <w:vAlign w:val="top"/>
          </w:tcPr>
          <w:p>
            <w:pPr>
              <w:pStyle w:val="11"/>
              <w:spacing w:line="260" w:lineRule="exact"/>
            </w:pPr>
          </w:p>
        </w:tc>
        <w:tc>
          <w:tcPr>
            <w:tcW w:w="918" w:type="dxa"/>
            <w:noWrap w:val="0"/>
            <w:vAlign w:val="top"/>
          </w:tcPr>
          <w:p>
            <w:pPr>
              <w:pStyle w:val="11"/>
              <w:spacing w:line="260" w:lineRule="exact"/>
            </w:pPr>
          </w:p>
        </w:tc>
        <w:tc>
          <w:tcPr>
            <w:tcW w:w="1006" w:type="dxa"/>
            <w:noWrap w:val="0"/>
            <w:vAlign w:val="top"/>
          </w:tcPr>
          <w:p>
            <w:pPr>
              <w:pStyle w:val="11"/>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740" w:type="dxa"/>
            <w:vMerge w:val="continue"/>
            <w:noWrap w:val="0"/>
            <w:vAlign w:val="center"/>
          </w:tcPr>
          <w:p>
            <w:pPr>
              <w:pStyle w:val="11"/>
              <w:spacing w:line="360" w:lineRule="exact"/>
              <w:jc w:val="center"/>
            </w:pPr>
          </w:p>
        </w:tc>
        <w:tc>
          <w:tcPr>
            <w:tcW w:w="5192" w:type="dxa"/>
            <w:noWrap w:val="0"/>
            <w:vAlign w:val="center"/>
          </w:tcPr>
          <w:p>
            <w:pPr>
              <w:widowControl/>
              <w:wordWrap w:val="0"/>
              <w:spacing w:line="280" w:lineRule="exact"/>
              <w:rPr>
                <w:rFonts w:ascii="宋体" w:hAnsi="宋体" w:cs="宋体"/>
                <w:kern w:val="0"/>
                <w:szCs w:val="21"/>
                <w:lang w:bidi="ar"/>
              </w:rPr>
            </w:pPr>
            <w:r>
              <w:rPr>
                <w:rFonts w:hint="eastAsia" w:ascii="宋体" w:hAnsi="宋体" w:cs="宋体"/>
                <w:kern w:val="0"/>
                <w:szCs w:val="21"/>
                <w:lang w:bidi="ar"/>
              </w:rPr>
              <w:t>不得销售标识不清、外包装破损、超过有效期限的兽药（3分）；兼营饲料和饲料添加剂的，标识标签要符合规定（2分）。</w:t>
            </w:r>
          </w:p>
        </w:tc>
        <w:tc>
          <w:tcPr>
            <w:tcW w:w="914" w:type="dxa"/>
            <w:noWrap w:val="0"/>
            <w:vAlign w:val="top"/>
          </w:tcPr>
          <w:p>
            <w:pPr>
              <w:pStyle w:val="11"/>
              <w:spacing w:line="260" w:lineRule="exact"/>
            </w:pPr>
          </w:p>
        </w:tc>
        <w:tc>
          <w:tcPr>
            <w:tcW w:w="918" w:type="dxa"/>
            <w:noWrap w:val="0"/>
            <w:vAlign w:val="top"/>
          </w:tcPr>
          <w:p>
            <w:pPr>
              <w:pStyle w:val="11"/>
              <w:spacing w:line="260" w:lineRule="exact"/>
            </w:pPr>
          </w:p>
        </w:tc>
        <w:tc>
          <w:tcPr>
            <w:tcW w:w="1006" w:type="dxa"/>
            <w:noWrap w:val="0"/>
            <w:vAlign w:val="top"/>
          </w:tcPr>
          <w:p>
            <w:pPr>
              <w:pStyle w:val="11"/>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1740" w:type="dxa"/>
            <w:vMerge w:val="continue"/>
            <w:noWrap w:val="0"/>
            <w:vAlign w:val="center"/>
          </w:tcPr>
          <w:p>
            <w:pPr>
              <w:pStyle w:val="11"/>
              <w:spacing w:line="360" w:lineRule="exact"/>
              <w:jc w:val="center"/>
            </w:pPr>
          </w:p>
        </w:tc>
        <w:tc>
          <w:tcPr>
            <w:tcW w:w="5192" w:type="dxa"/>
            <w:noWrap w:val="0"/>
            <w:vAlign w:val="center"/>
          </w:tcPr>
          <w:p>
            <w:pPr>
              <w:widowControl/>
              <w:wordWrap w:val="0"/>
              <w:spacing w:line="280" w:lineRule="exact"/>
              <w:rPr>
                <w:rFonts w:ascii="宋体" w:hAnsi="宋体" w:cs="宋体"/>
                <w:kern w:val="0"/>
                <w:szCs w:val="21"/>
                <w:lang w:bidi="ar"/>
              </w:rPr>
            </w:pPr>
            <w:r>
              <w:rPr>
                <w:rFonts w:hint="eastAsia" w:ascii="宋体" w:hAnsi="宋体" w:cs="宋体"/>
                <w:kern w:val="0"/>
                <w:szCs w:val="21"/>
                <w:lang w:bidi="ar"/>
              </w:rPr>
              <w:t>加强进货质量验收，建立</w:t>
            </w:r>
            <w:r>
              <w:rPr>
                <w:rFonts w:hint="eastAsia" w:ascii="宋体" w:hAnsi="宋体" w:cs="宋体"/>
                <w:kern w:val="0"/>
                <w:szCs w:val="21"/>
                <w:lang w:eastAsia="zh-Hans" w:bidi="ar"/>
              </w:rPr>
              <w:t>健全</w:t>
            </w:r>
            <w:r>
              <w:rPr>
                <w:rFonts w:hint="eastAsia" w:ascii="宋体" w:hAnsi="宋体" w:cs="宋体"/>
                <w:kern w:val="0"/>
                <w:szCs w:val="21"/>
                <w:lang w:bidi="ar"/>
              </w:rPr>
              <w:t>兽药经营全过程质量管理体系，制定管理制度、操作程序等管理文件（2分）</w:t>
            </w:r>
            <w:r>
              <w:rPr>
                <w:rFonts w:hint="eastAsia" w:ascii="宋体" w:hAnsi="宋体" w:cs="宋体"/>
                <w:kern w:val="0"/>
                <w:szCs w:val="21"/>
                <w:lang w:eastAsia="zh-Hans" w:bidi="ar"/>
              </w:rPr>
              <w:t>；</w:t>
            </w:r>
            <w:r>
              <w:rPr>
                <w:rFonts w:hint="eastAsia" w:ascii="宋体" w:hAnsi="宋体" w:cs="宋体"/>
                <w:kern w:val="0"/>
                <w:szCs w:val="21"/>
                <w:lang w:bidi="ar"/>
              </w:rPr>
              <w:t>应确定供货单位的资质和信誉，签订有明确质量保证条款的采购合同（2分）；对首次经营品种进行合法性和质量情况审核，提供相关证明材料（1分）。</w:t>
            </w:r>
          </w:p>
        </w:tc>
        <w:tc>
          <w:tcPr>
            <w:tcW w:w="914" w:type="dxa"/>
            <w:noWrap w:val="0"/>
            <w:vAlign w:val="top"/>
          </w:tcPr>
          <w:p>
            <w:pPr>
              <w:pStyle w:val="11"/>
              <w:spacing w:line="260" w:lineRule="exact"/>
            </w:pPr>
          </w:p>
        </w:tc>
        <w:tc>
          <w:tcPr>
            <w:tcW w:w="918" w:type="dxa"/>
            <w:noWrap w:val="0"/>
            <w:vAlign w:val="top"/>
          </w:tcPr>
          <w:p>
            <w:pPr>
              <w:pStyle w:val="11"/>
              <w:spacing w:line="260" w:lineRule="exact"/>
            </w:pPr>
          </w:p>
        </w:tc>
        <w:tc>
          <w:tcPr>
            <w:tcW w:w="1006" w:type="dxa"/>
            <w:noWrap w:val="0"/>
            <w:vAlign w:val="top"/>
          </w:tcPr>
          <w:p>
            <w:pPr>
              <w:pStyle w:val="11"/>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740" w:type="dxa"/>
            <w:vMerge w:val="continue"/>
            <w:noWrap w:val="0"/>
            <w:vAlign w:val="center"/>
          </w:tcPr>
          <w:p>
            <w:pPr>
              <w:pStyle w:val="11"/>
              <w:spacing w:line="360" w:lineRule="exact"/>
              <w:jc w:val="center"/>
            </w:pPr>
          </w:p>
        </w:tc>
        <w:tc>
          <w:tcPr>
            <w:tcW w:w="5192" w:type="dxa"/>
            <w:noWrap w:val="0"/>
            <w:vAlign w:val="center"/>
          </w:tcPr>
          <w:p>
            <w:pPr>
              <w:pStyle w:val="10"/>
              <w:adjustRightInd w:val="0"/>
              <w:snapToGrid w:val="0"/>
              <w:spacing w:line="280" w:lineRule="exact"/>
              <w:rPr>
                <w:rFonts w:ascii="宋体" w:hAnsi="宋体" w:eastAsia="宋体" w:cs="宋体"/>
              </w:rPr>
            </w:pPr>
            <w:r>
              <w:rPr>
                <w:rFonts w:hint="eastAsia" w:ascii="宋体" w:hAnsi="宋体" w:eastAsia="宋体" w:cs="宋体"/>
                <w:kern w:val="0"/>
                <w:sz w:val="21"/>
                <w:szCs w:val="21"/>
                <w:lang w:bidi="ar"/>
              </w:rPr>
              <w:t>做好库房温度、湿度的检测和管理，做好记录（3分）；兽用生物制品冷链贮存、运输全过程应配备使用可全程记录温度的设备，并建立冷链运输记录（2分）。</w:t>
            </w:r>
          </w:p>
        </w:tc>
        <w:tc>
          <w:tcPr>
            <w:tcW w:w="914" w:type="dxa"/>
            <w:noWrap w:val="0"/>
            <w:vAlign w:val="top"/>
          </w:tcPr>
          <w:p>
            <w:pPr>
              <w:pStyle w:val="11"/>
              <w:spacing w:line="260" w:lineRule="exact"/>
            </w:pPr>
          </w:p>
        </w:tc>
        <w:tc>
          <w:tcPr>
            <w:tcW w:w="918" w:type="dxa"/>
            <w:noWrap w:val="0"/>
            <w:vAlign w:val="top"/>
          </w:tcPr>
          <w:p>
            <w:pPr>
              <w:pStyle w:val="11"/>
              <w:spacing w:line="260" w:lineRule="exact"/>
            </w:pPr>
          </w:p>
        </w:tc>
        <w:tc>
          <w:tcPr>
            <w:tcW w:w="1006" w:type="dxa"/>
            <w:noWrap w:val="0"/>
            <w:vAlign w:val="top"/>
          </w:tcPr>
          <w:p>
            <w:pPr>
              <w:pStyle w:val="11"/>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1740" w:type="dxa"/>
            <w:vMerge w:val="restart"/>
            <w:noWrap w:val="0"/>
            <w:vAlign w:val="center"/>
          </w:tcPr>
          <w:p>
            <w:pPr>
              <w:pStyle w:val="11"/>
              <w:spacing w:line="360" w:lineRule="exact"/>
              <w:jc w:val="center"/>
            </w:pPr>
            <w:r>
              <w:rPr>
                <w:rFonts w:hint="eastAsia" w:ascii="黑体" w:hAnsi="黑体" w:eastAsia="黑体" w:cs="黑体"/>
                <w:kern w:val="0"/>
                <w:sz w:val="28"/>
                <w:szCs w:val="28"/>
                <w:shd w:val="clear" w:color="auto" w:fill="FFFFFF"/>
                <w:lang w:bidi="ar"/>
              </w:rPr>
              <w:t>服务优质化（20分）</w:t>
            </w:r>
          </w:p>
        </w:tc>
        <w:tc>
          <w:tcPr>
            <w:tcW w:w="5192" w:type="dxa"/>
            <w:noWrap w:val="0"/>
            <w:vAlign w:val="center"/>
          </w:tcPr>
          <w:p>
            <w:pPr>
              <w:widowControl/>
              <w:wordWrap w:val="0"/>
              <w:spacing w:line="280" w:lineRule="exact"/>
              <w:rPr>
                <w:rFonts w:ascii="宋体" w:hAnsi="宋体" w:cs="宋体"/>
                <w:kern w:val="0"/>
                <w:szCs w:val="21"/>
                <w:lang w:bidi="ar"/>
              </w:rPr>
            </w:pPr>
            <w:r>
              <w:rPr>
                <w:rFonts w:hint="eastAsia" w:ascii="宋体" w:hAnsi="宋体" w:cs="宋体"/>
                <w:kern w:val="0"/>
                <w:szCs w:val="21"/>
                <w:lang w:bidi="ar"/>
              </w:rPr>
              <w:t>设立固定、合理的兽药质量管理、采购、保管、销售等责任人员，各责任人员职责明确（2分）。从事质量管理人员提供相关专业大专以上学历或中级以上技术职称（2分）；从事兽药采购、保管、销售、技术服务等工作的人员，提供高中（或中专）以上学历，并具有能满足本岗位需要的相关专业知识（1分）。</w:t>
            </w:r>
          </w:p>
        </w:tc>
        <w:tc>
          <w:tcPr>
            <w:tcW w:w="914" w:type="dxa"/>
            <w:noWrap w:val="0"/>
            <w:vAlign w:val="top"/>
          </w:tcPr>
          <w:p>
            <w:pPr>
              <w:pStyle w:val="11"/>
              <w:spacing w:line="260" w:lineRule="exact"/>
            </w:pPr>
          </w:p>
        </w:tc>
        <w:tc>
          <w:tcPr>
            <w:tcW w:w="918" w:type="dxa"/>
            <w:noWrap w:val="0"/>
            <w:vAlign w:val="top"/>
          </w:tcPr>
          <w:p>
            <w:pPr>
              <w:pStyle w:val="11"/>
              <w:spacing w:line="260" w:lineRule="exact"/>
            </w:pPr>
          </w:p>
        </w:tc>
        <w:tc>
          <w:tcPr>
            <w:tcW w:w="1006" w:type="dxa"/>
            <w:noWrap w:val="0"/>
            <w:vAlign w:val="top"/>
          </w:tcPr>
          <w:p>
            <w:pPr>
              <w:pStyle w:val="11"/>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1740" w:type="dxa"/>
            <w:vMerge w:val="continue"/>
            <w:noWrap w:val="0"/>
            <w:vAlign w:val="center"/>
          </w:tcPr>
          <w:p>
            <w:pPr>
              <w:pStyle w:val="11"/>
              <w:spacing w:line="360" w:lineRule="exact"/>
              <w:jc w:val="center"/>
              <w:rPr>
                <w:rFonts w:ascii="黑体" w:hAnsi="黑体" w:eastAsia="黑体" w:cs="黑体"/>
                <w:kern w:val="0"/>
                <w:sz w:val="28"/>
                <w:szCs w:val="28"/>
                <w:shd w:val="clear" w:color="auto" w:fill="FFFFFF"/>
                <w:lang w:bidi="ar"/>
              </w:rPr>
            </w:pPr>
          </w:p>
        </w:tc>
        <w:tc>
          <w:tcPr>
            <w:tcW w:w="5192" w:type="dxa"/>
            <w:noWrap w:val="0"/>
            <w:vAlign w:val="center"/>
          </w:tcPr>
          <w:p>
            <w:pPr>
              <w:widowControl/>
              <w:wordWrap w:val="0"/>
              <w:spacing w:line="280" w:lineRule="exact"/>
              <w:rPr>
                <w:rFonts w:ascii="宋体" w:hAnsi="宋体" w:cs="宋体"/>
                <w:kern w:val="0"/>
                <w:szCs w:val="21"/>
                <w:lang w:bidi="ar"/>
              </w:rPr>
            </w:pPr>
            <w:r>
              <w:rPr>
                <w:rFonts w:hint="eastAsia" w:ascii="宋体" w:hAnsi="宋体" w:cs="宋体"/>
                <w:kern w:val="0"/>
                <w:szCs w:val="21"/>
                <w:lang w:bidi="ar"/>
              </w:rPr>
              <w:t>向购买者提供技术咨询服务，指导购买者科学、安全、合理使用兽药</w:t>
            </w:r>
            <w:r>
              <w:rPr>
                <w:rFonts w:hint="eastAsia" w:ascii="宋体" w:hAnsi="宋体" w:cs="宋体"/>
                <w:kern w:val="0"/>
                <w:szCs w:val="21"/>
                <w:lang w:eastAsia="zh-Hans" w:bidi="ar"/>
              </w:rPr>
              <w:t>（</w:t>
            </w:r>
            <w:r>
              <w:rPr>
                <w:rFonts w:hint="eastAsia" w:ascii="宋体" w:hAnsi="宋体" w:cs="宋体"/>
                <w:kern w:val="0"/>
                <w:szCs w:val="21"/>
                <w:lang w:bidi="ar"/>
              </w:rPr>
              <w:t>2分），并对兽药使用情况进行回访调查，建立记录</w:t>
            </w:r>
            <w:r>
              <w:rPr>
                <w:rFonts w:hint="eastAsia" w:ascii="宋体" w:hAnsi="宋体" w:cs="宋体"/>
                <w:kern w:val="0"/>
                <w:szCs w:val="21"/>
                <w:lang w:eastAsia="zh-Hans" w:bidi="ar"/>
              </w:rPr>
              <w:t>（</w:t>
            </w:r>
            <w:r>
              <w:rPr>
                <w:rFonts w:hint="eastAsia" w:ascii="宋体" w:hAnsi="宋体" w:cs="宋体"/>
                <w:kern w:val="0"/>
                <w:szCs w:val="21"/>
                <w:lang w:bidi="ar"/>
              </w:rPr>
              <w:t>2分）。对兽药投诉、质量咨询、用药事故等如实记录，及时查明原因，采取有效的处理措施（1分）。</w:t>
            </w:r>
          </w:p>
        </w:tc>
        <w:tc>
          <w:tcPr>
            <w:tcW w:w="914" w:type="dxa"/>
            <w:noWrap w:val="0"/>
            <w:vAlign w:val="top"/>
          </w:tcPr>
          <w:p>
            <w:pPr>
              <w:pStyle w:val="11"/>
              <w:spacing w:line="260" w:lineRule="exact"/>
            </w:pPr>
          </w:p>
        </w:tc>
        <w:tc>
          <w:tcPr>
            <w:tcW w:w="918" w:type="dxa"/>
            <w:noWrap w:val="0"/>
            <w:vAlign w:val="top"/>
          </w:tcPr>
          <w:p>
            <w:pPr>
              <w:pStyle w:val="11"/>
              <w:spacing w:line="260" w:lineRule="exact"/>
            </w:pPr>
          </w:p>
        </w:tc>
        <w:tc>
          <w:tcPr>
            <w:tcW w:w="1006" w:type="dxa"/>
            <w:noWrap w:val="0"/>
            <w:vAlign w:val="top"/>
          </w:tcPr>
          <w:p>
            <w:pPr>
              <w:pStyle w:val="11"/>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1740" w:type="dxa"/>
            <w:vMerge w:val="continue"/>
            <w:noWrap w:val="0"/>
            <w:vAlign w:val="center"/>
          </w:tcPr>
          <w:p>
            <w:pPr>
              <w:pStyle w:val="11"/>
              <w:spacing w:line="360" w:lineRule="exact"/>
              <w:jc w:val="center"/>
            </w:pPr>
          </w:p>
        </w:tc>
        <w:tc>
          <w:tcPr>
            <w:tcW w:w="5192" w:type="dxa"/>
            <w:noWrap w:val="0"/>
            <w:vAlign w:val="center"/>
          </w:tcPr>
          <w:p>
            <w:pPr>
              <w:widowControl/>
              <w:wordWrap w:val="0"/>
              <w:spacing w:line="280" w:lineRule="exact"/>
              <w:rPr>
                <w:rFonts w:ascii="宋体" w:hAnsi="宋体" w:cs="宋体"/>
                <w:kern w:val="0"/>
                <w:szCs w:val="21"/>
                <w:lang w:bidi="ar"/>
              </w:rPr>
            </w:pPr>
            <w:r>
              <w:rPr>
                <w:rFonts w:hint="eastAsia" w:ascii="宋体" w:hAnsi="宋体" w:cs="宋体"/>
                <w:kern w:val="0"/>
                <w:szCs w:val="21"/>
                <w:lang w:bidi="ar"/>
              </w:rPr>
              <w:t>按照</w:t>
            </w:r>
            <w:r>
              <w:rPr>
                <w:rFonts w:hint="eastAsia" w:ascii="宋体" w:hAnsi="宋体" w:cs="宋体"/>
                <w:kern w:val="0"/>
                <w:szCs w:val="21"/>
                <w:lang w:eastAsia="zh-Hans" w:bidi="ar"/>
              </w:rPr>
              <w:t>主管</w:t>
            </w:r>
            <w:r>
              <w:rPr>
                <w:rFonts w:hint="eastAsia" w:ascii="宋体" w:hAnsi="宋体" w:cs="宋体"/>
                <w:kern w:val="0"/>
                <w:szCs w:val="21"/>
                <w:lang w:bidi="ar"/>
              </w:rPr>
              <w:t>部门批准的兽药标签、说明书及其他规定进行宣传，发放、张贴兽药广告宣传材料符合有关规定</w:t>
            </w:r>
            <w:r>
              <w:rPr>
                <w:rFonts w:hint="eastAsia" w:ascii="宋体" w:hAnsi="宋体" w:cs="宋体"/>
                <w:kern w:val="0"/>
                <w:szCs w:val="21"/>
                <w:lang w:eastAsia="zh-Hans" w:bidi="ar"/>
              </w:rPr>
              <w:t>（</w:t>
            </w:r>
            <w:r>
              <w:rPr>
                <w:rFonts w:hint="eastAsia" w:ascii="宋体" w:hAnsi="宋体" w:cs="宋体"/>
                <w:kern w:val="0"/>
                <w:szCs w:val="21"/>
                <w:lang w:bidi="ar"/>
              </w:rPr>
              <w:t>2</w:t>
            </w:r>
            <w:r>
              <w:rPr>
                <w:rFonts w:hint="eastAsia" w:ascii="宋体" w:hAnsi="宋体" w:cs="宋体"/>
                <w:kern w:val="0"/>
                <w:szCs w:val="21"/>
                <w:lang w:eastAsia="zh-Hans" w:bidi="ar"/>
              </w:rPr>
              <w:t>分）；</w:t>
            </w:r>
            <w:r>
              <w:rPr>
                <w:rFonts w:hint="eastAsia" w:ascii="宋体" w:hAnsi="宋体" w:cs="宋体"/>
                <w:kern w:val="0"/>
                <w:szCs w:val="21"/>
                <w:lang w:bidi="ar"/>
              </w:rPr>
              <w:t>不得张贴、发布未依法取得兽药广告审查批准文号的兽药产品广告</w:t>
            </w:r>
            <w:r>
              <w:rPr>
                <w:rFonts w:hint="eastAsia" w:ascii="宋体" w:hAnsi="宋体" w:cs="宋体"/>
                <w:kern w:val="0"/>
                <w:szCs w:val="21"/>
                <w:lang w:eastAsia="zh-Hans" w:bidi="ar"/>
              </w:rPr>
              <w:t>（</w:t>
            </w:r>
            <w:r>
              <w:rPr>
                <w:rFonts w:hint="eastAsia" w:ascii="宋体" w:hAnsi="宋体" w:cs="宋体"/>
                <w:kern w:val="0"/>
                <w:szCs w:val="21"/>
                <w:lang w:bidi="ar"/>
              </w:rPr>
              <w:t>1</w:t>
            </w:r>
            <w:r>
              <w:rPr>
                <w:rFonts w:hint="eastAsia" w:ascii="宋体" w:hAnsi="宋体" w:cs="宋体"/>
                <w:kern w:val="0"/>
                <w:szCs w:val="21"/>
                <w:lang w:eastAsia="zh-Hans" w:bidi="ar"/>
              </w:rPr>
              <w:t>分）</w:t>
            </w:r>
            <w:r>
              <w:rPr>
                <w:rFonts w:hint="eastAsia" w:ascii="宋体" w:hAnsi="宋体" w:cs="宋体"/>
                <w:kern w:val="0"/>
                <w:szCs w:val="21"/>
                <w:lang w:bidi="ar"/>
              </w:rPr>
              <w:t>。</w:t>
            </w:r>
          </w:p>
        </w:tc>
        <w:tc>
          <w:tcPr>
            <w:tcW w:w="914" w:type="dxa"/>
            <w:noWrap w:val="0"/>
            <w:vAlign w:val="top"/>
          </w:tcPr>
          <w:p>
            <w:pPr>
              <w:pStyle w:val="11"/>
              <w:spacing w:line="260" w:lineRule="exact"/>
            </w:pPr>
          </w:p>
        </w:tc>
        <w:tc>
          <w:tcPr>
            <w:tcW w:w="918" w:type="dxa"/>
            <w:noWrap w:val="0"/>
            <w:vAlign w:val="top"/>
          </w:tcPr>
          <w:p>
            <w:pPr>
              <w:pStyle w:val="11"/>
              <w:spacing w:line="260" w:lineRule="exact"/>
            </w:pPr>
          </w:p>
        </w:tc>
        <w:tc>
          <w:tcPr>
            <w:tcW w:w="1006" w:type="dxa"/>
            <w:noWrap w:val="0"/>
            <w:vAlign w:val="top"/>
          </w:tcPr>
          <w:p>
            <w:pPr>
              <w:pStyle w:val="11"/>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1740" w:type="dxa"/>
            <w:vMerge w:val="continue"/>
            <w:noWrap w:val="0"/>
            <w:vAlign w:val="center"/>
          </w:tcPr>
          <w:p>
            <w:pPr>
              <w:pStyle w:val="11"/>
              <w:spacing w:line="360" w:lineRule="exact"/>
              <w:jc w:val="center"/>
            </w:pPr>
          </w:p>
        </w:tc>
        <w:tc>
          <w:tcPr>
            <w:tcW w:w="5192" w:type="dxa"/>
            <w:noWrap w:val="0"/>
            <w:vAlign w:val="center"/>
          </w:tcPr>
          <w:p>
            <w:pPr>
              <w:widowControl/>
              <w:wordWrap w:val="0"/>
              <w:spacing w:line="280" w:lineRule="exact"/>
              <w:rPr>
                <w:rFonts w:ascii="宋体" w:hAnsi="宋体" w:cs="宋体"/>
                <w:kern w:val="0"/>
                <w:szCs w:val="21"/>
                <w:lang w:bidi="ar"/>
              </w:rPr>
            </w:pPr>
            <w:r>
              <w:rPr>
                <w:rFonts w:hint="eastAsia" w:ascii="宋体" w:hAnsi="宋体" w:cs="宋体"/>
                <w:kern w:val="0"/>
                <w:szCs w:val="21"/>
                <w:lang w:bidi="ar"/>
              </w:rPr>
              <w:t>兽用处方药应凭兽医处方销售，留存处方并保存至少2年</w:t>
            </w:r>
            <w:r>
              <w:rPr>
                <w:rFonts w:hint="eastAsia" w:ascii="宋体" w:hAnsi="宋体" w:cs="宋体"/>
                <w:kern w:val="0"/>
                <w:szCs w:val="21"/>
                <w:lang w:eastAsia="zh-Hans" w:bidi="ar"/>
              </w:rPr>
              <w:t>（</w:t>
            </w:r>
            <w:r>
              <w:rPr>
                <w:rFonts w:hint="eastAsia" w:ascii="宋体" w:hAnsi="宋体" w:cs="宋体"/>
                <w:kern w:val="0"/>
                <w:szCs w:val="21"/>
                <w:lang w:bidi="ar"/>
              </w:rPr>
              <w:t>2分）；经营场所在明显位置悬挂或者张贴“兽用处方药必须凭兽医处方购买”的提示语</w:t>
            </w:r>
            <w:r>
              <w:rPr>
                <w:rFonts w:hint="eastAsia" w:ascii="宋体" w:hAnsi="宋体" w:cs="宋体"/>
                <w:kern w:val="0"/>
                <w:szCs w:val="21"/>
                <w:lang w:eastAsia="zh-Hans" w:bidi="ar"/>
              </w:rPr>
              <w:t>（</w:t>
            </w:r>
            <w:r>
              <w:rPr>
                <w:rFonts w:hint="eastAsia" w:ascii="宋体" w:hAnsi="宋体" w:cs="宋体"/>
                <w:kern w:val="0"/>
                <w:szCs w:val="21"/>
                <w:lang w:bidi="ar"/>
              </w:rPr>
              <w:t>2分）；兽用处方药应与非处方药分区或分柜摆放</w:t>
            </w:r>
            <w:r>
              <w:rPr>
                <w:rFonts w:hint="eastAsia" w:ascii="宋体" w:hAnsi="宋体" w:cs="宋体"/>
                <w:kern w:val="0"/>
                <w:szCs w:val="21"/>
                <w:lang w:eastAsia="zh-Hans" w:bidi="ar"/>
              </w:rPr>
              <w:t>（</w:t>
            </w:r>
            <w:r>
              <w:rPr>
                <w:rFonts w:hint="eastAsia" w:ascii="宋体" w:hAnsi="宋体" w:cs="宋体"/>
                <w:kern w:val="0"/>
                <w:szCs w:val="21"/>
                <w:lang w:bidi="ar"/>
              </w:rPr>
              <w:t>2分），不得采用开架自选方式销售</w:t>
            </w:r>
            <w:r>
              <w:rPr>
                <w:rFonts w:hint="eastAsia" w:ascii="宋体" w:hAnsi="宋体" w:cs="宋体"/>
                <w:kern w:val="0"/>
                <w:szCs w:val="21"/>
                <w:lang w:eastAsia="zh-Hans" w:bidi="ar"/>
              </w:rPr>
              <w:t>（</w:t>
            </w:r>
            <w:r>
              <w:rPr>
                <w:rFonts w:hint="eastAsia" w:ascii="宋体" w:hAnsi="宋体" w:cs="宋体"/>
                <w:kern w:val="0"/>
                <w:szCs w:val="21"/>
                <w:lang w:bidi="ar"/>
              </w:rPr>
              <w:t>1分）。</w:t>
            </w:r>
          </w:p>
        </w:tc>
        <w:tc>
          <w:tcPr>
            <w:tcW w:w="914" w:type="dxa"/>
            <w:noWrap w:val="0"/>
            <w:vAlign w:val="top"/>
          </w:tcPr>
          <w:p>
            <w:pPr>
              <w:pStyle w:val="11"/>
              <w:spacing w:line="260" w:lineRule="exact"/>
            </w:pPr>
          </w:p>
        </w:tc>
        <w:tc>
          <w:tcPr>
            <w:tcW w:w="918" w:type="dxa"/>
            <w:noWrap w:val="0"/>
            <w:vAlign w:val="top"/>
          </w:tcPr>
          <w:p>
            <w:pPr>
              <w:pStyle w:val="11"/>
              <w:spacing w:line="260" w:lineRule="exact"/>
            </w:pPr>
          </w:p>
        </w:tc>
        <w:tc>
          <w:tcPr>
            <w:tcW w:w="1006" w:type="dxa"/>
            <w:noWrap w:val="0"/>
            <w:vAlign w:val="top"/>
          </w:tcPr>
          <w:p>
            <w:pPr>
              <w:pStyle w:val="11"/>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740" w:type="dxa"/>
            <w:noWrap w:val="0"/>
            <w:vAlign w:val="center"/>
          </w:tcPr>
          <w:p>
            <w:pPr>
              <w:widowControl/>
              <w:wordWrap w:val="0"/>
              <w:spacing w:line="260" w:lineRule="exact"/>
              <w:jc w:val="center"/>
            </w:pPr>
            <w:r>
              <w:rPr>
                <w:rFonts w:hint="eastAsia" w:ascii="黑体" w:hAnsi="黑体" w:eastAsia="黑体" w:cs="黑体"/>
                <w:kern w:val="0"/>
                <w:sz w:val="24"/>
                <w:lang w:bidi="ar"/>
              </w:rPr>
              <w:t>项 目</w:t>
            </w:r>
          </w:p>
        </w:tc>
        <w:tc>
          <w:tcPr>
            <w:tcW w:w="5192" w:type="dxa"/>
            <w:noWrap w:val="0"/>
            <w:vAlign w:val="center"/>
          </w:tcPr>
          <w:p>
            <w:pPr>
              <w:widowControl/>
              <w:wordWrap w:val="0"/>
              <w:spacing w:line="260" w:lineRule="exact"/>
              <w:jc w:val="center"/>
              <w:rPr>
                <w:rFonts w:ascii="宋体" w:hAnsi="宋体" w:cs="宋体"/>
                <w:kern w:val="0"/>
                <w:szCs w:val="21"/>
                <w:lang w:bidi="ar"/>
              </w:rPr>
            </w:pPr>
            <w:r>
              <w:rPr>
                <w:rFonts w:hint="eastAsia" w:ascii="黑体" w:hAnsi="黑体" w:eastAsia="黑体" w:cs="黑体"/>
                <w:kern w:val="0"/>
                <w:sz w:val="24"/>
                <w:lang w:bidi="ar"/>
              </w:rPr>
              <w:t>评分标准</w:t>
            </w:r>
          </w:p>
        </w:tc>
        <w:tc>
          <w:tcPr>
            <w:tcW w:w="914" w:type="dxa"/>
            <w:noWrap w:val="0"/>
            <w:vAlign w:val="center"/>
          </w:tcPr>
          <w:p>
            <w:pPr>
              <w:widowControl/>
              <w:wordWrap w:val="0"/>
              <w:spacing w:line="260" w:lineRule="exact"/>
              <w:jc w:val="center"/>
            </w:pPr>
            <w:r>
              <w:rPr>
                <w:rFonts w:hint="eastAsia" w:ascii="黑体" w:hAnsi="黑体" w:eastAsia="黑体" w:cs="黑体"/>
                <w:kern w:val="0"/>
                <w:sz w:val="24"/>
                <w:lang w:bidi="ar"/>
              </w:rPr>
              <w:t>初核得分</w:t>
            </w:r>
          </w:p>
        </w:tc>
        <w:tc>
          <w:tcPr>
            <w:tcW w:w="918" w:type="dxa"/>
            <w:noWrap w:val="0"/>
            <w:vAlign w:val="center"/>
          </w:tcPr>
          <w:p>
            <w:pPr>
              <w:widowControl/>
              <w:wordWrap w:val="0"/>
              <w:spacing w:line="260" w:lineRule="exact"/>
              <w:jc w:val="center"/>
              <w:rPr>
                <w:rFonts w:ascii="黑体" w:hAnsi="黑体" w:eastAsia="黑体" w:cs="黑体"/>
                <w:kern w:val="0"/>
                <w:sz w:val="24"/>
                <w:lang w:bidi="ar"/>
              </w:rPr>
            </w:pPr>
            <w:r>
              <w:rPr>
                <w:rFonts w:hint="eastAsia" w:ascii="黑体" w:hAnsi="黑体" w:eastAsia="黑体" w:cs="黑体"/>
                <w:kern w:val="0"/>
                <w:sz w:val="24"/>
                <w:lang w:bidi="ar"/>
              </w:rPr>
              <w:t>验收</w:t>
            </w:r>
          </w:p>
          <w:p>
            <w:pPr>
              <w:widowControl/>
              <w:wordWrap w:val="0"/>
              <w:spacing w:line="260" w:lineRule="exact"/>
              <w:jc w:val="center"/>
            </w:pPr>
            <w:r>
              <w:rPr>
                <w:rFonts w:hint="eastAsia" w:ascii="黑体" w:hAnsi="黑体" w:eastAsia="黑体" w:cs="黑体"/>
                <w:kern w:val="0"/>
                <w:sz w:val="24"/>
                <w:lang w:bidi="ar"/>
              </w:rPr>
              <w:t>得分</w:t>
            </w:r>
          </w:p>
        </w:tc>
        <w:tc>
          <w:tcPr>
            <w:tcW w:w="1006" w:type="dxa"/>
            <w:noWrap w:val="0"/>
            <w:vAlign w:val="center"/>
          </w:tcPr>
          <w:p>
            <w:pPr>
              <w:widowControl/>
              <w:wordWrap w:val="0"/>
              <w:spacing w:line="260" w:lineRule="exact"/>
              <w:jc w:val="center"/>
            </w:pPr>
            <w:r>
              <w:rPr>
                <w:rFonts w:hint="eastAsia" w:ascii="黑体" w:hAnsi="黑体" w:eastAsia="黑体" w:cs="黑体"/>
                <w:kern w:val="0"/>
                <w:sz w:val="24"/>
                <w:lang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1740" w:type="dxa"/>
            <w:vMerge w:val="restart"/>
            <w:noWrap w:val="0"/>
            <w:vAlign w:val="center"/>
          </w:tcPr>
          <w:p>
            <w:pPr>
              <w:pStyle w:val="11"/>
              <w:spacing w:line="360" w:lineRule="exact"/>
              <w:jc w:val="center"/>
              <w:rPr>
                <w:rFonts w:ascii="黑体" w:hAnsi="黑体" w:eastAsia="黑体" w:cs="黑体"/>
                <w:kern w:val="0"/>
                <w:sz w:val="28"/>
                <w:szCs w:val="28"/>
                <w:shd w:val="clear" w:color="auto" w:fill="FFFFFF"/>
                <w:lang w:bidi="ar"/>
              </w:rPr>
            </w:pPr>
            <w:r>
              <w:rPr>
                <w:rFonts w:hint="eastAsia" w:ascii="黑体" w:hAnsi="黑体" w:eastAsia="黑体" w:cs="黑体"/>
                <w:kern w:val="0"/>
                <w:sz w:val="28"/>
                <w:szCs w:val="28"/>
                <w:shd w:val="clear" w:color="auto" w:fill="FFFFFF"/>
                <w:lang w:bidi="ar"/>
              </w:rPr>
              <w:t>管理数字化（25分）</w:t>
            </w:r>
          </w:p>
        </w:tc>
        <w:tc>
          <w:tcPr>
            <w:tcW w:w="5192" w:type="dxa"/>
            <w:noWrap w:val="0"/>
            <w:vAlign w:val="center"/>
          </w:tcPr>
          <w:p>
            <w:pPr>
              <w:pStyle w:val="11"/>
              <w:spacing w:line="280" w:lineRule="exact"/>
              <w:rPr>
                <w:rFonts w:ascii="宋体" w:hAnsi="宋体" w:cs="宋体"/>
                <w:kern w:val="0"/>
                <w:sz w:val="21"/>
                <w:szCs w:val="21"/>
                <w:lang w:bidi="ar"/>
              </w:rPr>
            </w:pPr>
            <w:r>
              <w:rPr>
                <w:rFonts w:hint="eastAsia" w:ascii="宋体" w:hAnsi="宋体" w:cs="宋体"/>
                <w:kern w:val="0"/>
                <w:sz w:val="21"/>
                <w:szCs w:val="21"/>
                <w:lang w:bidi="ar"/>
              </w:rPr>
              <w:t>具备信息化需要的硬件设备，如：计算机、可追溯电子信息码扫描识别设备等（2分），工具状态良好，网络通畅（1分）；已进入国家兽药追溯系统开展质量追溯（3分），记录及时上传，熟练操作入库、销货、汇总功能（2分），平台上传率100%（1分）；采购与验收中进行电子追溯二维码核验（1分）。</w:t>
            </w:r>
          </w:p>
        </w:tc>
        <w:tc>
          <w:tcPr>
            <w:tcW w:w="914" w:type="dxa"/>
            <w:noWrap w:val="0"/>
            <w:vAlign w:val="top"/>
          </w:tcPr>
          <w:p>
            <w:pPr>
              <w:pStyle w:val="11"/>
              <w:spacing w:line="260" w:lineRule="exact"/>
            </w:pPr>
          </w:p>
        </w:tc>
        <w:tc>
          <w:tcPr>
            <w:tcW w:w="918" w:type="dxa"/>
            <w:noWrap w:val="0"/>
            <w:vAlign w:val="top"/>
          </w:tcPr>
          <w:p>
            <w:pPr>
              <w:pStyle w:val="11"/>
              <w:spacing w:line="260" w:lineRule="exact"/>
            </w:pPr>
          </w:p>
        </w:tc>
        <w:tc>
          <w:tcPr>
            <w:tcW w:w="1006" w:type="dxa"/>
            <w:noWrap w:val="0"/>
            <w:vAlign w:val="top"/>
          </w:tcPr>
          <w:p>
            <w:pPr>
              <w:pStyle w:val="11"/>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1740" w:type="dxa"/>
            <w:vMerge w:val="continue"/>
            <w:noWrap w:val="0"/>
            <w:vAlign w:val="center"/>
          </w:tcPr>
          <w:p>
            <w:pPr>
              <w:pStyle w:val="11"/>
              <w:spacing w:line="260" w:lineRule="exact"/>
              <w:jc w:val="center"/>
            </w:pPr>
          </w:p>
        </w:tc>
        <w:tc>
          <w:tcPr>
            <w:tcW w:w="5192" w:type="dxa"/>
            <w:noWrap w:val="0"/>
            <w:vAlign w:val="center"/>
          </w:tcPr>
          <w:p>
            <w:pPr>
              <w:pStyle w:val="11"/>
              <w:spacing w:line="280" w:lineRule="exact"/>
              <w:rPr>
                <w:rFonts w:ascii="宋体" w:hAnsi="宋体" w:cs="宋体"/>
                <w:kern w:val="0"/>
                <w:sz w:val="21"/>
                <w:szCs w:val="21"/>
                <w:lang w:bidi="ar"/>
              </w:rPr>
            </w:pPr>
            <w:r>
              <w:rPr>
                <w:rFonts w:hint="eastAsia" w:ascii="宋体" w:hAnsi="宋体" w:cs="宋体"/>
                <w:kern w:val="0"/>
                <w:sz w:val="21"/>
                <w:szCs w:val="21"/>
                <w:lang w:bidi="ar"/>
              </w:rPr>
              <w:t>采购记录载明兽药的通用名、商品名、批准文号、批号、剂型、规格、有效期、生产单位、供货单位、购入数量、货值金额、购入日期、经手人或者查验人等内容录入电脑兽药追溯系统（3分）</w:t>
            </w:r>
            <w:r>
              <w:rPr>
                <w:rFonts w:hint="eastAsia" w:ascii="宋体" w:hAnsi="宋体" w:cs="宋体"/>
                <w:kern w:val="0"/>
                <w:sz w:val="21"/>
                <w:szCs w:val="21"/>
                <w:lang w:eastAsia="zh-Hans" w:bidi="ar"/>
              </w:rPr>
              <w:t>；</w:t>
            </w:r>
            <w:r>
              <w:rPr>
                <w:rFonts w:hint="eastAsia" w:ascii="宋体" w:hAnsi="宋体" w:cs="宋体"/>
                <w:kern w:val="0"/>
                <w:sz w:val="21"/>
                <w:szCs w:val="21"/>
                <w:lang w:bidi="ar"/>
              </w:rPr>
              <w:t>兽用处方药采购，单独建立记录（2分）</w:t>
            </w:r>
            <w:r>
              <w:rPr>
                <w:rFonts w:hint="eastAsia" w:ascii="宋体" w:hAnsi="宋体" w:cs="宋体"/>
                <w:kern w:val="0"/>
                <w:sz w:val="21"/>
                <w:szCs w:val="21"/>
                <w:lang w:eastAsia="zh-Hans" w:bidi="ar"/>
              </w:rPr>
              <w:t>；</w:t>
            </w:r>
            <w:r>
              <w:rPr>
                <w:rFonts w:hint="eastAsia" w:ascii="宋体" w:hAnsi="宋体" w:cs="宋体"/>
                <w:kern w:val="0"/>
                <w:sz w:val="21"/>
                <w:szCs w:val="21"/>
                <w:lang w:bidi="ar"/>
              </w:rPr>
              <w:t>购进兽用生物制品，由两人以上进行检查验收（2分）。</w:t>
            </w:r>
          </w:p>
        </w:tc>
        <w:tc>
          <w:tcPr>
            <w:tcW w:w="914" w:type="dxa"/>
            <w:noWrap w:val="0"/>
            <w:vAlign w:val="top"/>
          </w:tcPr>
          <w:p>
            <w:pPr>
              <w:pStyle w:val="11"/>
              <w:spacing w:line="260" w:lineRule="exact"/>
            </w:pPr>
          </w:p>
        </w:tc>
        <w:tc>
          <w:tcPr>
            <w:tcW w:w="918" w:type="dxa"/>
            <w:noWrap w:val="0"/>
            <w:vAlign w:val="top"/>
          </w:tcPr>
          <w:p>
            <w:pPr>
              <w:pStyle w:val="11"/>
              <w:spacing w:line="260" w:lineRule="exact"/>
            </w:pPr>
          </w:p>
        </w:tc>
        <w:tc>
          <w:tcPr>
            <w:tcW w:w="1006" w:type="dxa"/>
            <w:noWrap w:val="0"/>
            <w:vAlign w:val="top"/>
          </w:tcPr>
          <w:p>
            <w:pPr>
              <w:pStyle w:val="11"/>
              <w:spacing w:line="260" w:lineRule="exact"/>
            </w:pPr>
          </w:p>
        </w:tc>
      </w:tr>
      <w:tr>
        <w:tblPrEx>
          <w:tblCellMar>
            <w:top w:w="0" w:type="dxa"/>
            <w:left w:w="108" w:type="dxa"/>
            <w:bottom w:w="0" w:type="dxa"/>
            <w:right w:w="108" w:type="dxa"/>
          </w:tblCellMar>
        </w:tblPrEx>
        <w:trPr>
          <w:trHeight w:val="1811" w:hRule="atLeast"/>
          <w:jc w:val="center"/>
        </w:trPr>
        <w:tc>
          <w:tcPr>
            <w:tcW w:w="1740" w:type="dxa"/>
            <w:vMerge w:val="continue"/>
            <w:noWrap w:val="0"/>
            <w:vAlign w:val="center"/>
          </w:tcPr>
          <w:p>
            <w:pPr>
              <w:pStyle w:val="11"/>
              <w:spacing w:line="260" w:lineRule="exact"/>
              <w:jc w:val="center"/>
            </w:pPr>
          </w:p>
        </w:tc>
        <w:tc>
          <w:tcPr>
            <w:tcW w:w="5192" w:type="dxa"/>
            <w:noWrap w:val="0"/>
            <w:vAlign w:val="center"/>
          </w:tcPr>
          <w:p>
            <w:pPr>
              <w:widowControl/>
              <w:wordWrap w:val="0"/>
              <w:spacing w:line="280" w:lineRule="exact"/>
              <w:rPr>
                <w:rFonts w:ascii="宋体" w:hAnsi="宋体" w:cs="宋体"/>
                <w:kern w:val="0"/>
                <w:szCs w:val="21"/>
                <w:lang w:bidi="ar"/>
              </w:rPr>
            </w:pPr>
            <w:r>
              <w:rPr>
                <w:rFonts w:hint="eastAsia" w:ascii="宋体" w:hAnsi="宋体" w:cs="宋体"/>
                <w:kern w:val="0"/>
                <w:szCs w:val="21"/>
                <w:lang w:bidi="ar"/>
              </w:rPr>
              <w:t>销售兽药后，分品种批次建立兽药销售记录（纸质电子均可）（2分）。销售记录应载明兽药通用、商品名、批准文号、批号、有效期、剂型、规格、生产厂商、购货单位、销售数量、销售日期、经手人或负责人等内容（2分）。销售兽用处方药的，单独建立兽用处方药销售记录（2分）。</w:t>
            </w:r>
          </w:p>
        </w:tc>
        <w:tc>
          <w:tcPr>
            <w:tcW w:w="914" w:type="dxa"/>
            <w:noWrap w:val="0"/>
            <w:vAlign w:val="top"/>
          </w:tcPr>
          <w:p>
            <w:pPr>
              <w:pStyle w:val="11"/>
              <w:spacing w:line="260" w:lineRule="exact"/>
            </w:pPr>
          </w:p>
        </w:tc>
        <w:tc>
          <w:tcPr>
            <w:tcW w:w="918" w:type="dxa"/>
            <w:noWrap w:val="0"/>
            <w:vAlign w:val="top"/>
          </w:tcPr>
          <w:p>
            <w:pPr>
              <w:pStyle w:val="11"/>
              <w:spacing w:line="260" w:lineRule="exact"/>
            </w:pPr>
          </w:p>
        </w:tc>
        <w:tc>
          <w:tcPr>
            <w:tcW w:w="1006" w:type="dxa"/>
            <w:noWrap w:val="0"/>
            <w:vAlign w:val="top"/>
          </w:tcPr>
          <w:p>
            <w:pPr>
              <w:pStyle w:val="11"/>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740" w:type="dxa"/>
            <w:vMerge w:val="continue"/>
            <w:noWrap w:val="0"/>
            <w:vAlign w:val="center"/>
          </w:tcPr>
          <w:p>
            <w:pPr>
              <w:pStyle w:val="11"/>
              <w:spacing w:line="260" w:lineRule="exact"/>
              <w:jc w:val="center"/>
            </w:pPr>
          </w:p>
        </w:tc>
        <w:tc>
          <w:tcPr>
            <w:tcW w:w="5192" w:type="dxa"/>
            <w:noWrap w:val="0"/>
            <w:vAlign w:val="center"/>
          </w:tcPr>
          <w:p>
            <w:pPr>
              <w:widowControl/>
              <w:wordWrap w:val="0"/>
              <w:spacing w:line="280" w:lineRule="exact"/>
              <w:rPr>
                <w:rFonts w:ascii="宋体" w:hAnsi="宋体" w:cs="宋体"/>
                <w:kern w:val="0"/>
                <w:szCs w:val="21"/>
                <w:lang w:bidi="ar"/>
              </w:rPr>
            </w:pPr>
            <w:r>
              <w:rPr>
                <w:rFonts w:hint="eastAsia" w:ascii="宋体" w:hAnsi="宋体" w:cs="宋体"/>
                <w:kern w:val="0"/>
                <w:szCs w:val="21"/>
                <w:lang w:bidi="ar"/>
              </w:rPr>
              <w:t>从事电子商务经营的，应当在互联网醒目标注资质证明（2分）。</w:t>
            </w:r>
          </w:p>
        </w:tc>
        <w:tc>
          <w:tcPr>
            <w:tcW w:w="914" w:type="dxa"/>
            <w:noWrap w:val="0"/>
            <w:vAlign w:val="top"/>
          </w:tcPr>
          <w:p/>
        </w:tc>
        <w:tc>
          <w:tcPr>
            <w:tcW w:w="918" w:type="dxa"/>
            <w:noWrap w:val="0"/>
            <w:vAlign w:val="top"/>
          </w:tcPr>
          <w:p/>
        </w:tc>
        <w:tc>
          <w:tcPr>
            <w:tcW w:w="1006"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740" w:type="dxa"/>
            <w:vMerge w:val="restart"/>
            <w:noWrap w:val="0"/>
            <w:vAlign w:val="center"/>
          </w:tcPr>
          <w:p>
            <w:pPr>
              <w:pStyle w:val="11"/>
              <w:spacing w:line="360" w:lineRule="exact"/>
              <w:jc w:val="center"/>
              <w:rPr>
                <w:rFonts w:ascii="黑体" w:hAnsi="黑体" w:eastAsia="黑体" w:cs="黑体"/>
                <w:kern w:val="0"/>
                <w:sz w:val="28"/>
                <w:szCs w:val="28"/>
                <w:shd w:val="clear" w:color="auto" w:fill="FFFFFF"/>
                <w:lang w:bidi="ar"/>
              </w:rPr>
            </w:pPr>
            <w:r>
              <w:rPr>
                <w:rFonts w:hint="eastAsia" w:ascii="黑体" w:hAnsi="黑体" w:eastAsia="黑体" w:cs="黑体"/>
                <w:kern w:val="0"/>
                <w:sz w:val="28"/>
                <w:szCs w:val="28"/>
                <w:shd w:val="clear" w:color="auto" w:fill="FFFFFF"/>
                <w:lang w:bidi="ar"/>
              </w:rPr>
              <w:t>回收无害化</w:t>
            </w:r>
          </w:p>
          <w:p>
            <w:pPr>
              <w:pStyle w:val="11"/>
              <w:spacing w:line="360" w:lineRule="exact"/>
              <w:jc w:val="center"/>
            </w:pPr>
            <w:r>
              <w:rPr>
                <w:rFonts w:hint="eastAsia" w:ascii="黑体" w:hAnsi="黑体" w:eastAsia="黑体" w:cs="黑体"/>
                <w:kern w:val="0"/>
                <w:sz w:val="28"/>
                <w:szCs w:val="28"/>
                <w:shd w:val="clear" w:color="auto" w:fill="FFFFFF"/>
                <w:lang w:bidi="ar"/>
              </w:rPr>
              <w:t>（5分）</w:t>
            </w:r>
          </w:p>
        </w:tc>
        <w:tc>
          <w:tcPr>
            <w:tcW w:w="5192" w:type="dxa"/>
            <w:noWrap w:val="0"/>
            <w:vAlign w:val="center"/>
          </w:tcPr>
          <w:p>
            <w:pPr>
              <w:spacing w:line="280" w:lineRule="exact"/>
              <w:rPr>
                <w:rFonts w:ascii="宋体" w:hAnsi="宋体" w:cs="宋体"/>
                <w:kern w:val="0"/>
                <w:szCs w:val="21"/>
                <w:lang w:bidi="ar"/>
              </w:rPr>
            </w:pPr>
            <w:r>
              <w:rPr>
                <w:rFonts w:hint="eastAsia" w:ascii="宋体" w:hAnsi="宋体" w:cs="宋体"/>
                <w:kern w:val="0"/>
                <w:szCs w:val="21"/>
                <w:lang w:bidi="ar"/>
              </w:rPr>
              <w:t>有回收兽药包装废弃物的桶（箱）等设施设备（1分），无残液遗撒，桶内无其他无关杂物（1分）</w:t>
            </w:r>
          </w:p>
        </w:tc>
        <w:tc>
          <w:tcPr>
            <w:tcW w:w="914" w:type="dxa"/>
            <w:noWrap w:val="0"/>
            <w:vAlign w:val="top"/>
          </w:tcPr>
          <w:p/>
        </w:tc>
        <w:tc>
          <w:tcPr>
            <w:tcW w:w="918" w:type="dxa"/>
            <w:noWrap w:val="0"/>
            <w:vAlign w:val="top"/>
          </w:tcPr>
          <w:p/>
        </w:tc>
        <w:tc>
          <w:tcPr>
            <w:tcW w:w="1006" w:type="dxa"/>
            <w:vMerge w:val="restart"/>
            <w:noWrap w:val="0"/>
            <w:vAlign w:val="center"/>
          </w:tcPr>
          <w:p>
            <w:pPr>
              <w:jc w:val="center"/>
            </w:pPr>
            <w:r>
              <w:rPr>
                <w:rFonts w:hint="eastAsia" w:ascii="宋体" w:hAnsi="宋体" w:cs="宋体"/>
                <w:kern w:val="0"/>
                <w:szCs w:val="21"/>
                <w:lang w:bidi="ar"/>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740" w:type="dxa"/>
            <w:vMerge w:val="continue"/>
            <w:noWrap w:val="0"/>
            <w:vAlign w:val="center"/>
          </w:tcPr>
          <w:p>
            <w:pPr>
              <w:pStyle w:val="11"/>
              <w:spacing w:line="260" w:lineRule="exact"/>
              <w:jc w:val="center"/>
              <w:rPr>
                <w:rFonts w:ascii="黑体" w:hAnsi="黑体" w:eastAsia="黑体" w:cs="黑体"/>
                <w:kern w:val="0"/>
                <w:sz w:val="28"/>
                <w:szCs w:val="28"/>
                <w:shd w:val="clear" w:color="auto" w:fill="FFFFFF"/>
                <w:lang w:bidi="ar"/>
              </w:rPr>
            </w:pPr>
          </w:p>
        </w:tc>
        <w:tc>
          <w:tcPr>
            <w:tcW w:w="5192" w:type="dxa"/>
            <w:noWrap w:val="0"/>
            <w:vAlign w:val="center"/>
          </w:tcPr>
          <w:p>
            <w:pPr>
              <w:spacing w:line="280" w:lineRule="exact"/>
              <w:rPr>
                <w:rFonts w:ascii="宋体" w:hAnsi="宋体" w:cs="宋体"/>
                <w:kern w:val="0"/>
                <w:szCs w:val="21"/>
                <w:lang w:bidi="ar"/>
              </w:rPr>
            </w:pPr>
            <w:r>
              <w:rPr>
                <w:rFonts w:hint="eastAsia" w:ascii="宋体" w:hAnsi="宋体" w:cs="宋体"/>
                <w:kern w:val="0"/>
                <w:szCs w:val="21"/>
                <w:lang w:bidi="ar"/>
              </w:rPr>
              <w:t>张贴兽药包装废弃物回收的明白纸、标语、横幅等宣传材料（1分），有详细完整的回收台账（1分），及时转运或无害化处理（1分）。</w:t>
            </w:r>
          </w:p>
        </w:tc>
        <w:tc>
          <w:tcPr>
            <w:tcW w:w="914" w:type="dxa"/>
            <w:noWrap w:val="0"/>
            <w:vAlign w:val="top"/>
          </w:tcPr>
          <w:p/>
        </w:tc>
        <w:tc>
          <w:tcPr>
            <w:tcW w:w="918" w:type="dxa"/>
            <w:noWrap w:val="0"/>
            <w:vAlign w:val="top"/>
          </w:tcPr>
          <w:p/>
        </w:tc>
        <w:tc>
          <w:tcPr>
            <w:tcW w:w="1006"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40" w:type="dxa"/>
            <w:vMerge w:val="restart"/>
            <w:noWrap w:val="0"/>
            <w:vAlign w:val="center"/>
          </w:tcPr>
          <w:p>
            <w:pPr>
              <w:pStyle w:val="11"/>
              <w:spacing w:line="360" w:lineRule="exact"/>
              <w:jc w:val="center"/>
              <w:rPr>
                <w:rFonts w:ascii="黑体" w:hAnsi="黑体" w:eastAsia="黑体" w:cs="黑体"/>
                <w:kern w:val="0"/>
                <w:sz w:val="28"/>
                <w:szCs w:val="28"/>
                <w:shd w:val="clear" w:color="auto" w:fill="FFFFFF"/>
                <w:lang w:bidi="ar"/>
              </w:rPr>
            </w:pPr>
          </w:p>
          <w:p>
            <w:pPr>
              <w:pStyle w:val="11"/>
              <w:spacing w:line="360" w:lineRule="exact"/>
              <w:jc w:val="center"/>
            </w:pPr>
            <w:r>
              <w:rPr>
                <w:rFonts w:hint="eastAsia" w:ascii="黑体" w:hAnsi="黑体" w:eastAsia="黑体" w:cs="黑体"/>
                <w:kern w:val="0"/>
                <w:sz w:val="28"/>
                <w:szCs w:val="28"/>
                <w:shd w:val="clear" w:color="auto" w:fill="FFFFFF"/>
                <w:lang w:bidi="ar"/>
              </w:rPr>
              <w:t>一票否决项</w:t>
            </w:r>
          </w:p>
        </w:tc>
        <w:tc>
          <w:tcPr>
            <w:tcW w:w="5192" w:type="dxa"/>
            <w:noWrap w:val="0"/>
            <w:vAlign w:val="center"/>
          </w:tcPr>
          <w:p>
            <w:pPr>
              <w:widowControl/>
              <w:wordWrap w:val="0"/>
              <w:spacing w:line="280" w:lineRule="exact"/>
              <w:rPr>
                <w:rFonts w:ascii="宋体" w:hAnsi="宋体" w:cs="宋体"/>
                <w:kern w:val="0"/>
                <w:szCs w:val="21"/>
                <w:lang w:bidi="ar"/>
              </w:rPr>
            </w:pPr>
            <w:r>
              <w:rPr>
                <w:rFonts w:hint="eastAsia" w:ascii="宋体" w:hAnsi="宋体" w:cs="宋体"/>
                <w:kern w:val="0"/>
                <w:szCs w:val="21"/>
                <w:lang w:bidi="ar"/>
              </w:rPr>
              <w:t>未取得营业执照和经营许可证，或不在有效期内。</w:t>
            </w:r>
          </w:p>
        </w:tc>
        <w:tc>
          <w:tcPr>
            <w:tcW w:w="914" w:type="dxa"/>
            <w:noWrap w:val="0"/>
            <w:vAlign w:val="top"/>
          </w:tcPr>
          <w:p/>
        </w:tc>
        <w:tc>
          <w:tcPr>
            <w:tcW w:w="918" w:type="dxa"/>
            <w:noWrap w:val="0"/>
            <w:vAlign w:val="top"/>
          </w:tcPr>
          <w:p>
            <w:pPr>
              <w:pStyle w:val="11"/>
              <w:spacing w:line="260" w:lineRule="exact"/>
            </w:pPr>
          </w:p>
          <w:p/>
        </w:tc>
        <w:tc>
          <w:tcPr>
            <w:tcW w:w="1006"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1740" w:type="dxa"/>
            <w:vMerge w:val="continue"/>
            <w:noWrap w:val="0"/>
            <w:vAlign w:val="center"/>
          </w:tcPr>
          <w:p>
            <w:pPr>
              <w:pStyle w:val="11"/>
              <w:spacing w:line="360" w:lineRule="exact"/>
              <w:jc w:val="center"/>
            </w:pPr>
          </w:p>
        </w:tc>
        <w:tc>
          <w:tcPr>
            <w:tcW w:w="5192" w:type="dxa"/>
            <w:noWrap w:val="0"/>
            <w:vAlign w:val="center"/>
          </w:tcPr>
          <w:p>
            <w:pPr>
              <w:widowControl/>
              <w:wordWrap w:val="0"/>
              <w:spacing w:line="280" w:lineRule="exact"/>
              <w:rPr>
                <w:rFonts w:ascii="宋体" w:hAnsi="宋体" w:cs="宋体"/>
                <w:kern w:val="0"/>
                <w:szCs w:val="21"/>
                <w:lang w:bidi="ar"/>
              </w:rPr>
            </w:pPr>
            <w:r>
              <w:rPr>
                <w:rFonts w:hint="eastAsia" w:ascii="宋体" w:hAnsi="宋体" w:cs="宋体"/>
                <w:kern w:val="0"/>
                <w:szCs w:val="21"/>
                <w:lang w:bidi="ar"/>
              </w:rPr>
              <w:t>发生安全生产、产品质量和环境污染等事故。</w:t>
            </w:r>
          </w:p>
        </w:tc>
        <w:tc>
          <w:tcPr>
            <w:tcW w:w="914" w:type="dxa"/>
            <w:noWrap w:val="0"/>
            <w:vAlign w:val="top"/>
          </w:tcPr>
          <w:p>
            <w:pPr>
              <w:pStyle w:val="11"/>
              <w:spacing w:line="260" w:lineRule="exact"/>
            </w:pPr>
          </w:p>
        </w:tc>
        <w:tc>
          <w:tcPr>
            <w:tcW w:w="918" w:type="dxa"/>
            <w:noWrap w:val="0"/>
            <w:vAlign w:val="top"/>
          </w:tcPr>
          <w:p>
            <w:pPr>
              <w:pStyle w:val="11"/>
              <w:spacing w:line="260" w:lineRule="exact"/>
            </w:pPr>
          </w:p>
        </w:tc>
        <w:tc>
          <w:tcPr>
            <w:tcW w:w="1006" w:type="dxa"/>
            <w:noWrap w:val="0"/>
            <w:vAlign w:val="top"/>
          </w:tcPr>
          <w:p>
            <w:pPr>
              <w:pStyle w:val="11"/>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40" w:type="dxa"/>
            <w:vMerge w:val="continue"/>
            <w:noWrap w:val="0"/>
            <w:vAlign w:val="center"/>
          </w:tcPr>
          <w:p>
            <w:pPr>
              <w:pStyle w:val="11"/>
              <w:spacing w:line="360" w:lineRule="exact"/>
              <w:jc w:val="center"/>
            </w:pPr>
          </w:p>
        </w:tc>
        <w:tc>
          <w:tcPr>
            <w:tcW w:w="5192" w:type="dxa"/>
            <w:noWrap w:val="0"/>
            <w:vAlign w:val="center"/>
          </w:tcPr>
          <w:p>
            <w:pPr>
              <w:widowControl/>
              <w:wordWrap w:val="0"/>
              <w:spacing w:line="280" w:lineRule="exact"/>
              <w:rPr>
                <w:rFonts w:ascii="宋体" w:hAnsi="宋体" w:cs="宋体"/>
                <w:kern w:val="0"/>
                <w:szCs w:val="21"/>
                <w:lang w:bidi="ar"/>
              </w:rPr>
            </w:pPr>
            <w:r>
              <w:rPr>
                <w:rFonts w:hint="eastAsia" w:ascii="宋体" w:hAnsi="宋体" w:cs="宋体"/>
                <w:kern w:val="0"/>
                <w:szCs w:val="21"/>
                <w:lang w:bidi="ar"/>
              </w:rPr>
              <w:t>产品质量抽检不合格或销售假劣产品。</w:t>
            </w:r>
          </w:p>
        </w:tc>
        <w:tc>
          <w:tcPr>
            <w:tcW w:w="914" w:type="dxa"/>
            <w:noWrap w:val="0"/>
            <w:vAlign w:val="top"/>
          </w:tcPr>
          <w:p>
            <w:pPr>
              <w:pStyle w:val="11"/>
              <w:spacing w:line="260" w:lineRule="exact"/>
            </w:pPr>
          </w:p>
        </w:tc>
        <w:tc>
          <w:tcPr>
            <w:tcW w:w="918" w:type="dxa"/>
            <w:noWrap w:val="0"/>
            <w:vAlign w:val="top"/>
          </w:tcPr>
          <w:p>
            <w:pPr>
              <w:pStyle w:val="11"/>
              <w:spacing w:line="260" w:lineRule="exact"/>
            </w:pPr>
          </w:p>
        </w:tc>
        <w:tc>
          <w:tcPr>
            <w:tcW w:w="1006" w:type="dxa"/>
            <w:noWrap w:val="0"/>
            <w:vAlign w:val="top"/>
          </w:tcPr>
          <w:p>
            <w:pPr>
              <w:pStyle w:val="11"/>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jc w:val="center"/>
        </w:trPr>
        <w:tc>
          <w:tcPr>
            <w:tcW w:w="1740" w:type="dxa"/>
            <w:vMerge w:val="continue"/>
            <w:noWrap w:val="0"/>
            <w:vAlign w:val="center"/>
          </w:tcPr>
          <w:p>
            <w:pPr>
              <w:pStyle w:val="11"/>
              <w:spacing w:line="360" w:lineRule="exact"/>
              <w:jc w:val="center"/>
            </w:pPr>
          </w:p>
        </w:tc>
        <w:tc>
          <w:tcPr>
            <w:tcW w:w="5192" w:type="dxa"/>
            <w:noWrap w:val="0"/>
            <w:vAlign w:val="center"/>
          </w:tcPr>
          <w:p>
            <w:pPr>
              <w:widowControl/>
              <w:wordWrap w:val="0"/>
              <w:spacing w:line="280" w:lineRule="exact"/>
              <w:rPr>
                <w:rFonts w:ascii="宋体" w:hAnsi="宋体" w:cs="宋体"/>
                <w:kern w:val="0"/>
                <w:szCs w:val="21"/>
                <w:lang w:bidi="ar"/>
              </w:rPr>
            </w:pPr>
            <w:r>
              <w:rPr>
                <w:rFonts w:hint="eastAsia" w:ascii="宋体" w:hAnsi="宋体" w:cs="宋体"/>
                <w:kern w:val="0"/>
                <w:szCs w:val="21"/>
                <w:lang w:bidi="ar"/>
              </w:rPr>
              <w:t>有偷税漏税等违法、失信不良记录，有坑农害农等负面舆情。</w:t>
            </w:r>
          </w:p>
        </w:tc>
        <w:tc>
          <w:tcPr>
            <w:tcW w:w="914" w:type="dxa"/>
            <w:vMerge w:val="restart"/>
            <w:noWrap w:val="0"/>
            <w:vAlign w:val="top"/>
          </w:tcPr>
          <w:p>
            <w:pPr>
              <w:pStyle w:val="11"/>
              <w:spacing w:line="260" w:lineRule="exact"/>
            </w:pPr>
          </w:p>
        </w:tc>
        <w:tc>
          <w:tcPr>
            <w:tcW w:w="918" w:type="dxa"/>
            <w:vMerge w:val="restart"/>
            <w:noWrap w:val="0"/>
            <w:vAlign w:val="top"/>
          </w:tcPr>
          <w:p>
            <w:pPr>
              <w:pStyle w:val="11"/>
              <w:spacing w:line="260" w:lineRule="exact"/>
            </w:pPr>
          </w:p>
        </w:tc>
        <w:tc>
          <w:tcPr>
            <w:tcW w:w="1006" w:type="dxa"/>
            <w:vMerge w:val="restart"/>
            <w:noWrap w:val="0"/>
            <w:vAlign w:val="top"/>
          </w:tcPr>
          <w:p>
            <w:pPr>
              <w:pStyle w:val="11"/>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1740" w:type="dxa"/>
            <w:vMerge w:val="continue"/>
            <w:noWrap w:val="0"/>
            <w:vAlign w:val="center"/>
          </w:tcPr>
          <w:p>
            <w:pPr>
              <w:pStyle w:val="11"/>
              <w:spacing w:line="360" w:lineRule="exact"/>
              <w:jc w:val="center"/>
            </w:pPr>
          </w:p>
        </w:tc>
        <w:tc>
          <w:tcPr>
            <w:tcW w:w="5192" w:type="dxa"/>
            <w:noWrap w:val="0"/>
            <w:vAlign w:val="center"/>
          </w:tcPr>
          <w:p>
            <w:pPr>
              <w:widowControl/>
              <w:wordWrap w:val="0"/>
              <w:spacing w:line="280" w:lineRule="exact"/>
              <w:rPr>
                <w:rFonts w:ascii="宋体" w:hAnsi="宋体" w:cs="宋体"/>
                <w:kern w:val="0"/>
                <w:szCs w:val="21"/>
                <w:lang w:bidi="ar"/>
              </w:rPr>
            </w:pPr>
            <w:r>
              <w:rPr>
                <w:rFonts w:hint="eastAsia"/>
                <w:kern w:val="0"/>
                <w:szCs w:val="21"/>
                <w:lang w:bidi="ar"/>
              </w:rPr>
              <w:t>未建立购销台账或未实现可追溯管理。</w:t>
            </w:r>
          </w:p>
        </w:tc>
        <w:tc>
          <w:tcPr>
            <w:tcW w:w="914" w:type="dxa"/>
            <w:vMerge w:val="continue"/>
            <w:noWrap w:val="0"/>
            <w:vAlign w:val="top"/>
          </w:tcPr>
          <w:p>
            <w:pPr>
              <w:pStyle w:val="11"/>
              <w:spacing w:line="260" w:lineRule="exact"/>
            </w:pPr>
          </w:p>
        </w:tc>
        <w:tc>
          <w:tcPr>
            <w:tcW w:w="918" w:type="dxa"/>
            <w:vMerge w:val="continue"/>
            <w:noWrap w:val="0"/>
            <w:vAlign w:val="top"/>
          </w:tcPr>
          <w:p>
            <w:pPr>
              <w:pStyle w:val="11"/>
              <w:spacing w:line="260" w:lineRule="exact"/>
            </w:pPr>
          </w:p>
        </w:tc>
        <w:tc>
          <w:tcPr>
            <w:tcW w:w="1006" w:type="dxa"/>
            <w:vMerge w:val="continue"/>
            <w:noWrap w:val="0"/>
            <w:vAlign w:val="top"/>
          </w:tcPr>
          <w:p>
            <w:pPr>
              <w:pStyle w:val="11"/>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740" w:type="dxa"/>
            <w:vMerge w:val="continue"/>
            <w:noWrap w:val="0"/>
            <w:vAlign w:val="center"/>
          </w:tcPr>
          <w:p>
            <w:pPr>
              <w:pStyle w:val="11"/>
              <w:spacing w:line="360" w:lineRule="exact"/>
              <w:jc w:val="center"/>
            </w:pPr>
          </w:p>
        </w:tc>
        <w:tc>
          <w:tcPr>
            <w:tcW w:w="5192" w:type="dxa"/>
            <w:noWrap w:val="0"/>
            <w:vAlign w:val="center"/>
          </w:tcPr>
          <w:p>
            <w:pPr>
              <w:widowControl/>
              <w:wordWrap w:val="0"/>
              <w:spacing w:line="280" w:lineRule="exact"/>
              <w:rPr>
                <w:rFonts w:ascii="宋体" w:hAnsi="宋体" w:cs="宋体"/>
                <w:kern w:val="0"/>
                <w:szCs w:val="21"/>
                <w:lang w:bidi="ar"/>
              </w:rPr>
            </w:pPr>
            <w:r>
              <w:rPr>
                <w:rFonts w:hint="eastAsia" w:ascii="宋体" w:hAnsi="宋体" w:cs="宋体"/>
                <w:kern w:val="0"/>
                <w:szCs w:val="21"/>
                <w:lang w:bidi="ar"/>
              </w:rPr>
              <w:t>提供虚假材料骗取创建资格。</w:t>
            </w:r>
          </w:p>
        </w:tc>
        <w:tc>
          <w:tcPr>
            <w:tcW w:w="914" w:type="dxa"/>
            <w:noWrap w:val="0"/>
            <w:vAlign w:val="top"/>
          </w:tcPr>
          <w:p>
            <w:pPr>
              <w:pStyle w:val="11"/>
              <w:spacing w:line="260" w:lineRule="exact"/>
            </w:pPr>
          </w:p>
        </w:tc>
        <w:tc>
          <w:tcPr>
            <w:tcW w:w="918" w:type="dxa"/>
            <w:noWrap w:val="0"/>
            <w:vAlign w:val="top"/>
          </w:tcPr>
          <w:p>
            <w:pPr>
              <w:pStyle w:val="11"/>
              <w:spacing w:line="260" w:lineRule="exact"/>
            </w:pPr>
          </w:p>
        </w:tc>
        <w:tc>
          <w:tcPr>
            <w:tcW w:w="1006" w:type="dxa"/>
            <w:noWrap w:val="0"/>
            <w:vAlign w:val="top"/>
          </w:tcPr>
          <w:p>
            <w:pPr>
              <w:pStyle w:val="11"/>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1740" w:type="dxa"/>
            <w:noWrap w:val="0"/>
            <w:vAlign w:val="center"/>
          </w:tcPr>
          <w:p>
            <w:pPr>
              <w:pStyle w:val="11"/>
              <w:spacing w:line="360" w:lineRule="exact"/>
              <w:jc w:val="center"/>
            </w:pPr>
            <w:r>
              <w:rPr>
                <w:rFonts w:hint="eastAsia" w:ascii="黑体" w:hAnsi="黑体" w:eastAsia="黑体" w:cs="黑体"/>
                <w:kern w:val="0"/>
                <w:sz w:val="28"/>
                <w:szCs w:val="28"/>
                <w:shd w:val="clear" w:color="auto" w:fill="FFFFFF"/>
                <w:lang w:bidi="ar"/>
              </w:rPr>
              <w:t>总 分</w:t>
            </w:r>
          </w:p>
        </w:tc>
        <w:tc>
          <w:tcPr>
            <w:tcW w:w="5192" w:type="dxa"/>
            <w:noWrap w:val="0"/>
            <w:vAlign w:val="center"/>
          </w:tcPr>
          <w:p>
            <w:pPr>
              <w:pStyle w:val="11"/>
              <w:spacing w:line="260" w:lineRule="exact"/>
              <w:jc w:val="center"/>
            </w:pPr>
            <w:r>
              <w:rPr>
                <w:rFonts w:hint="eastAsia"/>
              </w:rPr>
              <w:t>——</w:t>
            </w:r>
          </w:p>
        </w:tc>
        <w:tc>
          <w:tcPr>
            <w:tcW w:w="914" w:type="dxa"/>
            <w:noWrap w:val="0"/>
            <w:vAlign w:val="top"/>
          </w:tcPr>
          <w:p>
            <w:pPr>
              <w:pStyle w:val="11"/>
              <w:spacing w:line="260" w:lineRule="exact"/>
            </w:pPr>
          </w:p>
        </w:tc>
        <w:tc>
          <w:tcPr>
            <w:tcW w:w="918" w:type="dxa"/>
            <w:noWrap w:val="0"/>
            <w:vAlign w:val="top"/>
          </w:tcPr>
          <w:p>
            <w:pPr>
              <w:pStyle w:val="11"/>
              <w:spacing w:line="260" w:lineRule="exact"/>
            </w:pPr>
          </w:p>
        </w:tc>
        <w:tc>
          <w:tcPr>
            <w:tcW w:w="1006" w:type="dxa"/>
            <w:noWrap w:val="0"/>
            <w:vAlign w:val="top"/>
          </w:tcPr>
          <w:p>
            <w:pPr>
              <w:pStyle w:val="11"/>
              <w:spacing w:line="260" w:lineRule="exact"/>
            </w:pPr>
          </w:p>
        </w:tc>
      </w:tr>
    </w:tbl>
    <w:p>
      <w:pPr>
        <w:widowControl/>
        <w:adjustRightInd w:val="0"/>
        <w:snapToGrid w:val="0"/>
        <w:spacing w:before="280" w:beforeLines="50" w:line="360" w:lineRule="exact"/>
        <w:rPr>
          <w:rFonts w:ascii="仿宋_GB2312" w:hAnsi="仿宋_GB2312" w:eastAsia="仿宋_GB2312" w:cs="仿宋_GB2312"/>
          <w:kern w:val="0"/>
          <w:sz w:val="28"/>
          <w:szCs w:val="28"/>
          <w:shd w:val="clear" w:color="auto" w:fill="FFFFFF"/>
          <w:lang w:bidi="ar"/>
        </w:rPr>
      </w:pPr>
      <w:r>
        <w:rPr>
          <w:rFonts w:hint="eastAsia" w:ascii="仿宋_GB2312" w:hAnsi="仿宋_GB2312" w:eastAsia="仿宋_GB2312" w:cs="仿宋_GB2312"/>
          <w:kern w:val="0"/>
          <w:sz w:val="28"/>
          <w:szCs w:val="28"/>
          <w:shd w:val="clear" w:color="auto" w:fill="FFFFFF"/>
          <w:lang w:bidi="ar"/>
        </w:rPr>
        <w:t>门店</w:t>
      </w:r>
      <w:r>
        <w:rPr>
          <w:rFonts w:hint="eastAsia" w:ascii="仿宋_GB2312" w:hAnsi="仿宋_GB2312" w:eastAsia="仿宋_GB2312" w:cs="仿宋_GB2312"/>
          <w:kern w:val="0"/>
          <w:sz w:val="30"/>
          <w:szCs w:val="30"/>
          <w:shd w:val="clear" w:color="auto" w:fill="FFFFFF"/>
          <w:lang w:bidi="ar"/>
        </w:rPr>
        <w:t>负责人</w:t>
      </w:r>
      <w:r>
        <w:rPr>
          <w:rFonts w:hint="eastAsia" w:ascii="仿宋_GB2312" w:hAnsi="仿宋_GB2312" w:eastAsia="仿宋_GB2312" w:cs="仿宋_GB2312"/>
          <w:kern w:val="0"/>
          <w:sz w:val="28"/>
          <w:szCs w:val="28"/>
          <w:shd w:val="clear" w:color="auto" w:fill="FFFFFF"/>
          <w:lang w:bidi="ar"/>
        </w:rPr>
        <w:t>签字：                    验收人签字：</w:t>
      </w:r>
    </w:p>
    <w:p>
      <w:pPr>
        <w:pStyle w:val="10"/>
        <w:adjustRightInd w:val="0"/>
        <w:snapToGrid w:val="0"/>
        <w:spacing w:before="280" w:beforeLines="50" w:line="360" w:lineRule="exact"/>
        <w:ind w:firstLine="5880" w:firstLineChars="2100"/>
        <w:rPr>
          <w:rFonts w:hAnsi="仿宋_GB2312" w:cs="仿宋_GB2312"/>
          <w:spacing w:val="-17"/>
          <w:sz w:val="32"/>
          <w:szCs w:val="32"/>
          <w:shd w:val="clear" w:color="auto" w:fill="FFFFFF"/>
        </w:rPr>
      </w:pPr>
      <w:r>
        <w:rPr>
          <w:rFonts w:hint="eastAsia" w:hAnsi="仿宋_GB2312" w:cs="仿宋_GB2312"/>
          <w:kern w:val="0"/>
          <w:shd w:val="clear" w:color="auto" w:fill="FFFFFF"/>
          <w:lang w:bidi="ar"/>
        </w:rPr>
        <w:t>时间：   年  月   日</w:t>
      </w:r>
    </w:p>
    <w:p>
      <w:pPr>
        <w:widowControl/>
        <w:spacing w:line="560" w:lineRule="exact"/>
        <w:jc w:val="left"/>
        <w:rPr>
          <w:rFonts w:ascii="仿宋_GB2312" w:hAnsi="宋体" w:eastAsia="仿宋_GB2312" w:cs="仿宋_GB2312"/>
          <w:color w:val="000000"/>
          <w:kern w:val="0"/>
          <w:sz w:val="32"/>
          <w:szCs w:val="32"/>
          <w:lang w:bidi="ar"/>
        </w:rPr>
      </w:pPr>
    </w:p>
    <w:p>
      <w:pPr>
        <w:pStyle w:val="11"/>
        <w:spacing w:line="560" w:lineRule="exact"/>
        <w:rPr>
          <w:rFonts w:ascii="方正小标宋_GBK" w:hAnsi="方正小标宋_GBK" w:eastAsia="方正小标宋_GBK" w:cs="方正小标宋_GBK"/>
          <w:sz w:val="32"/>
          <w:szCs w:val="32"/>
        </w:rPr>
      </w:pPr>
    </w:p>
    <w:p/>
    <w:p/>
    <w:p>
      <w:pPr>
        <w:pStyle w:val="6"/>
      </w:pPr>
    </w:p>
    <w:p/>
    <w:p>
      <w:pPr>
        <w:pStyle w:val="6"/>
      </w:pPr>
    </w:p>
    <w:p/>
    <w:p>
      <w:pPr>
        <w:pStyle w:val="6"/>
      </w:pPr>
    </w:p>
    <w:p/>
    <w:p>
      <w:pPr>
        <w:pStyle w:val="6"/>
      </w:pPr>
    </w:p>
    <w:p/>
    <w:p>
      <w:pPr>
        <w:pStyle w:val="6"/>
        <w:keepNext w:val="0"/>
        <w:keepLines w:val="0"/>
        <w:pageBreakBefore w:val="0"/>
        <w:widowControl w:val="0"/>
        <w:kinsoku/>
        <w:wordWrap/>
        <w:overflowPunct/>
        <w:topLinePunct w:val="0"/>
        <w:autoSpaceDE/>
        <w:autoSpaceDN/>
        <w:bidi w:val="0"/>
        <w:adjustRightInd/>
        <w:snapToGrid/>
        <w:spacing w:after="0"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6"/>
        <w:keepNext w:val="0"/>
        <w:keepLines w:val="0"/>
        <w:pageBreakBefore w:val="0"/>
        <w:widowControl w:val="0"/>
        <w:kinsoku/>
        <w:wordWrap/>
        <w:overflowPunct/>
        <w:topLinePunct w:val="0"/>
        <w:autoSpaceDE/>
        <w:autoSpaceDN/>
        <w:bidi w:val="0"/>
        <w:adjustRightInd/>
        <w:snapToGrid/>
        <w:spacing w:after="0" w:line="560" w:lineRule="exact"/>
        <w:textAlignment w:val="auto"/>
      </w:pPr>
    </w:p>
    <w:p/>
    <w:p>
      <w:pPr>
        <w:pStyle w:val="6"/>
      </w:pPr>
    </w:p>
    <w:p/>
    <w:p>
      <w:pPr>
        <w:pStyle w:val="6"/>
        <w:ind w:firstLine="640"/>
        <w:rPr>
          <w:rFonts w:ascii="仿宋_GB2312" w:hAnsi="仿宋_GB2312" w:cs="仿宋_GB2312"/>
          <w:sz w:val="32"/>
          <w:szCs w:val="32"/>
        </w:rPr>
      </w:pPr>
    </w:p>
    <w:p/>
    <w:p>
      <w:pPr>
        <w:spacing w:line="560" w:lineRule="exact"/>
      </w:pPr>
      <w: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361315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1pt;margin-top:28.45pt;height:0pt;width:441pt;z-index:251660288;mso-width-relative:page;mso-height-relative:page;" filled="f" stroked="t" coordsize="21600,21600" o:gfxdata="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21HGe9QAAAAGAQAADwAAAAAAAAABACAA&#10;AAAiAAAAZHJzL2Rvd25yZXYueG1sUEsBAhQAFAAAAAgAh07iQJymKmnYAQAAmQMAAA4AAAAAAAAA&#10;AQAgAAAAIwEAAGRycy9lMm9Eb2MueG1sUEsFBgAAAAAGAAYAWQEAAG0FAAAAAA==&#10;">
                <v:fill on="f" focussize="0,0"/>
                <v:stroke weight="1.25pt"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22225</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65pt;margin-top:1.75pt;height:0pt;width:441pt;z-index:251659264;mso-width-relative:page;mso-height-relative:page;" filled="f" stroked="t" coordsize="21600,21600" o:gfxdata="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iK8efVAAAABgEAAA8AAAAAAAAAAQAg&#10;AAAAIgAAAGRycy9kb3ducmV2LnhtbFBLAQIUABQAAAAIAIdO4kBKtiUz2AEAAJkDAAAOAAAAAAAA&#10;AAEAIAAAACQBAABkcnMvZTJvRG9jLnhtbFBLBQYAAAAABgAGAFkBAABuBQAAAAA=&#10;">
                <v:fill on="f" focussize="0,0"/>
                <v:stroke weight="1.25pt" color="#000000" joinstyle="round"/>
                <v:imagedata o:title=""/>
                <o:lock v:ext="edit" aspectratio="f"/>
              </v:line>
            </w:pict>
          </mc:Fallback>
        </mc:AlternateContent>
      </w:r>
      <w:r>
        <w:rPr>
          <w:sz w:val="28"/>
          <w:szCs w:val="28"/>
        </w:rPr>
        <w:t xml:space="preserve"> </w:t>
      </w:r>
      <w:r>
        <w:rPr>
          <w:rFonts w:hint="eastAsia" w:ascii="仿宋_GB2312" w:hAnsi="仿宋_GB2312" w:eastAsia="仿宋_GB2312" w:cs="仿宋_GB2312"/>
          <w:sz w:val="28"/>
          <w:szCs w:val="28"/>
        </w:rPr>
        <w:t xml:space="preserve"> 青岛市农业农村局办公室                 2023年9月15日印发</w:t>
      </w:r>
    </w:p>
    <w:sectPr>
      <w:pgSz w:w="11906" w:h="16838"/>
      <w:pgMar w:top="2098" w:right="1474" w:bottom="1984" w:left="1587" w:header="340" w:footer="454" w:gutter="0"/>
      <w:pgNumType w:fmt="numberInDash"/>
      <w:cols w:space="720" w:num="1"/>
      <w:docGrid w:type="line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FZXBSK--GBK1-0">
    <w:altName w:val="宋体"/>
    <w:panose1 w:val="00000000000000000000"/>
    <w:charset w:val="86"/>
    <w:family w:val="auto"/>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posOffset>5180965</wp:posOffset>
              </wp:positionH>
              <wp:positionV relativeFrom="paragraph">
                <wp:posOffset>-484505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7.95pt;margin-top:-38.15pt;height:144pt;width:144pt;mso-position-horizontal-relative:margin;mso-wrap-style:none;z-index:251658240;mso-width-relative:page;mso-height-relative:page;" filled="f" stroked="f" coordsize="21600,21600" o:gfxdata="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VJi9fZAAAADAEAAA8A&#10;AAAAAAAAAQAgAAAAIgAAAGRycy9kb3ducmV2LnhtbFBLAQIUABQAAAAIAIdO4kD98SzkFgIAABUE&#10;AAAOAAAAAAAAAAEAIAAAACgBAABkcnMvZTJvRG9jLnhtbFBLBQYAAAAABgAGAFkBAACwBQ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13335</wp:posOffset>
              </wp:positionH>
              <wp:positionV relativeFrom="paragraph">
                <wp:posOffset>-490855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05pt;margin-top:-38.65pt;height:144pt;width:144pt;mso-position-horizontal-relative:margin;mso-wrap-style:none;z-index:251659264;mso-width-relative:page;mso-height-relative:page;" filled="f" stroked="f" coordsize="21600,21600" o:gfxdata="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WnEb1QAAAAkBAAAPAAAAAAAA&#10;AAEAIAAAACIAAABkcnMvZG93bnJldi54bWxQSwECFAAUAAAACACHTuJAK3ipDRUCAAAVBAAADgAA&#10;AAAAAAABACAAAAAkAQAAZHJzL2Uyb0RvYy54bWxQSwUGAAAAAAYABgBZAQAAqwUAAAAA&#10;">
              <v:fill on="f" focussize="0,0"/>
              <v:stroke on="f" weight="0.5pt"/>
              <v:imagedata o:title=""/>
              <o:lock v:ext="edit" aspectratio="f"/>
              <v:textbox inset="0mm,0mm,0mm,0mm" style="mso-fit-shape-to-text:t;">
                <w:txbxContent>
                  <w:p>
                    <w:pPr>
                      <w:pStyle w:val="4"/>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2NzUxNjYyYmJmMjA2YTMzYWNkZmQ0ODhjZTc0YjAifQ=="/>
  </w:docVars>
  <w:rsids>
    <w:rsidRoot w:val="2013291E"/>
    <w:rsid w:val="00076A2C"/>
    <w:rsid w:val="00DD3BD3"/>
    <w:rsid w:val="01437C9C"/>
    <w:rsid w:val="02947083"/>
    <w:rsid w:val="0481143B"/>
    <w:rsid w:val="0AF049F1"/>
    <w:rsid w:val="0D38267F"/>
    <w:rsid w:val="0D9D1E54"/>
    <w:rsid w:val="0F4A5329"/>
    <w:rsid w:val="124B7EF3"/>
    <w:rsid w:val="13E576E7"/>
    <w:rsid w:val="166D15EC"/>
    <w:rsid w:val="18664544"/>
    <w:rsid w:val="18A443F3"/>
    <w:rsid w:val="19137AFC"/>
    <w:rsid w:val="19383B62"/>
    <w:rsid w:val="1AD02149"/>
    <w:rsid w:val="1B590390"/>
    <w:rsid w:val="1DEC15DB"/>
    <w:rsid w:val="1F5432A1"/>
    <w:rsid w:val="2013291E"/>
    <w:rsid w:val="22B03359"/>
    <w:rsid w:val="247B4A27"/>
    <w:rsid w:val="28C31E70"/>
    <w:rsid w:val="2964242F"/>
    <w:rsid w:val="2A8B7E3A"/>
    <w:rsid w:val="2B797C93"/>
    <w:rsid w:val="2CC94C4A"/>
    <w:rsid w:val="2CF13919"/>
    <w:rsid w:val="2EC71E0E"/>
    <w:rsid w:val="32580F24"/>
    <w:rsid w:val="32865973"/>
    <w:rsid w:val="33453A27"/>
    <w:rsid w:val="39D8471E"/>
    <w:rsid w:val="39EE5833"/>
    <w:rsid w:val="39F257E0"/>
    <w:rsid w:val="3A5D7130"/>
    <w:rsid w:val="3B4007CD"/>
    <w:rsid w:val="3C371BD0"/>
    <w:rsid w:val="3DED69EA"/>
    <w:rsid w:val="3DEF2BB6"/>
    <w:rsid w:val="3DFA7E81"/>
    <w:rsid w:val="41A94328"/>
    <w:rsid w:val="42DE18F7"/>
    <w:rsid w:val="438A4CDB"/>
    <w:rsid w:val="43B65AD0"/>
    <w:rsid w:val="43BA0E09"/>
    <w:rsid w:val="447339C1"/>
    <w:rsid w:val="49025314"/>
    <w:rsid w:val="4AFC26D1"/>
    <w:rsid w:val="4BA16A96"/>
    <w:rsid w:val="4D15419C"/>
    <w:rsid w:val="52A03BD4"/>
    <w:rsid w:val="52A82A88"/>
    <w:rsid w:val="52CB118B"/>
    <w:rsid w:val="532C3214"/>
    <w:rsid w:val="55CE6CAA"/>
    <w:rsid w:val="572823EA"/>
    <w:rsid w:val="594C6863"/>
    <w:rsid w:val="5D861C18"/>
    <w:rsid w:val="5F131BD1"/>
    <w:rsid w:val="5FA36AB1"/>
    <w:rsid w:val="608F7035"/>
    <w:rsid w:val="620D6DAC"/>
    <w:rsid w:val="62387745"/>
    <w:rsid w:val="64D63485"/>
    <w:rsid w:val="64F34037"/>
    <w:rsid w:val="65386912"/>
    <w:rsid w:val="68D66938"/>
    <w:rsid w:val="6A60454A"/>
    <w:rsid w:val="6AD536A5"/>
    <w:rsid w:val="70B36D70"/>
    <w:rsid w:val="70E03DE3"/>
    <w:rsid w:val="75501031"/>
    <w:rsid w:val="792B3B3E"/>
    <w:rsid w:val="79450781"/>
    <w:rsid w:val="797D2716"/>
    <w:rsid w:val="7A7406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widowControl/>
      <w:spacing w:after="111" w:line="256" w:lineRule="auto"/>
      <w:ind w:left="651" w:hanging="10"/>
      <w:jc w:val="left"/>
      <w:outlineLvl w:val="1"/>
    </w:pPr>
    <w:rPr>
      <w:rFonts w:hint="eastAsia" w:ascii="黑体" w:hAnsi="宋体" w:eastAsia="黑体"/>
      <w:color w:val="000000"/>
      <w:sz w:val="32"/>
      <w:szCs w:val="22"/>
    </w:rPr>
  </w:style>
  <w:style w:type="character" w:default="1" w:styleId="9">
    <w:name w:val="Default Paragraph Font"/>
    <w:unhideWhenUsed/>
    <w:qFormat/>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3">
    <w:name w:val="Body Text Indent"/>
    <w:basedOn w:val="1"/>
    <w:qFormat/>
    <w:uiPriority w:val="99"/>
    <w:pPr>
      <w:spacing w:after="120"/>
      <w:ind w:left="420" w:leftChars="200"/>
    </w:pPr>
  </w:style>
  <w:style w:type="paragraph" w:styleId="4">
    <w:name w:val="footer"/>
    <w:basedOn w:val="1"/>
    <w:qFormat/>
    <w:uiPriority w:val="0"/>
    <w:pPr>
      <w:tabs>
        <w:tab w:val="center" w:pos="4153"/>
        <w:tab w:val="right" w:pos="8306"/>
      </w:tabs>
      <w:snapToGrid w:val="0"/>
    </w:pPr>
    <w:rPr>
      <w:sz w:val="18"/>
    </w:rPr>
  </w:style>
  <w:style w:type="paragraph" w:styleId="5">
    <w:name w:val="Normal (Web)"/>
    <w:basedOn w:val="1"/>
    <w:unhideWhenUsed/>
    <w:qFormat/>
    <w:uiPriority w:val="0"/>
    <w:pPr>
      <w:spacing w:before="100" w:beforeAutospacing="1" w:after="100" w:afterAutospacing="1"/>
      <w:jc w:val="left"/>
    </w:pPr>
    <w:rPr>
      <w:kern w:val="0"/>
      <w:sz w:val="24"/>
      <w:szCs w:val="20"/>
    </w:rPr>
  </w:style>
  <w:style w:type="paragraph" w:styleId="6">
    <w:name w:val="Body Text First Indent 2"/>
    <w:basedOn w:val="3"/>
    <w:next w:val="1"/>
    <w:qFormat/>
    <w:uiPriority w:val="99"/>
    <w:pPr>
      <w:ind w:firstLine="420" w:firstLineChars="200"/>
    </w:p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IndexHeading"/>
    <w:basedOn w:val="1"/>
    <w:next w:val="11"/>
    <w:semiHidden/>
    <w:qFormat/>
    <w:uiPriority w:val="0"/>
    <w:pPr>
      <w:spacing w:line="500" w:lineRule="exact"/>
      <w:textAlignment w:val="baseline"/>
    </w:pPr>
    <w:rPr>
      <w:rFonts w:ascii="仿宋_GB2312" w:hAnsi="Calibri" w:eastAsia="仿宋_GB2312"/>
      <w:sz w:val="28"/>
      <w:szCs w:val="28"/>
    </w:rPr>
  </w:style>
  <w:style w:type="paragraph" w:customStyle="1" w:styleId="11">
    <w:name w:val="Index1"/>
    <w:basedOn w:val="1"/>
    <w:next w:val="1"/>
    <w:semiHidden/>
    <w:qFormat/>
    <w:uiPriority w:val="0"/>
    <w:pPr>
      <w:suppressLineNumbers/>
      <w:suppressAutoHyphens/>
      <w:spacing w:line="288" w:lineRule="auto"/>
      <w:textAlignment w:val="baseline"/>
    </w:pPr>
    <w:rPr>
      <w:rFonts w:ascii="Calibri" w:hAnsi="Calibri"/>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12265</Words>
  <Characters>12408</Characters>
  <Lines>108</Lines>
  <Paragraphs>30</Paragraphs>
  <TotalTime>1017</TotalTime>
  <ScaleCrop>false</ScaleCrop>
  <LinksUpToDate>false</LinksUpToDate>
  <CharactersWithSpaces>12607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2023-09-12T06:47:00Z</dcterms:created>
  <dc:creator>Administrator</dc:creator>
  <cp:lastModifiedBy>Administrator</cp:lastModifiedBy>
  <cp:lastPrinted>2023-09-15T06:58:29Z</cp:lastPrinted>
  <dcterms:modified xsi:type="dcterms:W3CDTF">2023-09-15T09:52:06Z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F2508702FAC94F38B2191F70FC466D13_13</vt:lpwstr>
  </property>
</Properties>
</file>