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5D" w:rsidRDefault="00A4185D" w:rsidP="00A4185D">
      <w:pPr>
        <w:widowControl/>
        <w:snapToGrid w:val="0"/>
        <w:spacing w:line="576" w:lineRule="exact"/>
        <w:rPr>
          <w:rFonts w:ascii="方正黑体_GBK" w:eastAsia="方正黑体_GBK" w:hint="eastAsia"/>
          <w:bCs/>
          <w:snapToGrid w:val="0"/>
          <w:color w:val="000000"/>
          <w:sz w:val="32"/>
          <w:szCs w:val="32"/>
        </w:rPr>
      </w:pPr>
      <w:r>
        <w:rPr>
          <w:rFonts w:ascii="方正黑体_GBK" w:eastAsia="方正黑体_GBK" w:hint="eastAsia"/>
          <w:bCs/>
          <w:snapToGrid w:val="0"/>
          <w:color w:val="000000"/>
          <w:sz w:val="32"/>
          <w:szCs w:val="32"/>
        </w:rPr>
        <w:t>附件1</w:t>
      </w:r>
    </w:p>
    <w:p w:rsidR="00A4185D" w:rsidRDefault="00A4185D" w:rsidP="00A4185D">
      <w:pPr>
        <w:snapToGrid w:val="0"/>
        <w:spacing w:line="560" w:lineRule="exact"/>
        <w:ind w:left="640" w:firstLineChars="200" w:firstLine="640"/>
        <w:rPr>
          <w:rFonts w:eastAsia="方正仿宋_GBK"/>
          <w:bCs/>
          <w:sz w:val="32"/>
          <w:szCs w:val="32"/>
        </w:rPr>
      </w:pPr>
    </w:p>
    <w:p w:rsidR="00A4185D" w:rsidRDefault="00A4185D" w:rsidP="00A4185D">
      <w:pPr>
        <w:widowControl/>
        <w:snapToGrid w:val="0"/>
        <w:spacing w:line="600" w:lineRule="exact"/>
        <w:jc w:val="center"/>
        <w:rPr>
          <w:rFonts w:ascii="方正小标宋简体" w:eastAsia="方正小标宋简体" w:hint="eastAsia"/>
          <w:bCs/>
          <w:snapToGrid w:val="0"/>
          <w:color w:val="000000"/>
          <w:kern w:val="0"/>
          <w:sz w:val="44"/>
          <w:szCs w:val="44"/>
        </w:rPr>
      </w:pPr>
      <w:bookmarkStart w:id="0" w:name="_Hlk121257918"/>
      <w:r>
        <w:rPr>
          <w:rFonts w:ascii="方正小标宋简体" w:eastAsia="方正小标宋简体" w:hint="eastAsia"/>
          <w:bCs/>
          <w:snapToGrid w:val="0"/>
          <w:color w:val="000000"/>
          <w:kern w:val="0"/>
          <w:sz w:val="44"/>
          <w:szCs w:val="44"/>
        </w:rPr>
        <w:t>非居住存量房屋改建为</w:t>
      </w:r>
    </w:p>
    <w:p w:rsidR="00A4185D" w:rsidRDefault="00A4185D" w:rsidP="00A4185D">
      <w:pPr>
        <w:widowControl/>
        <w:snapToGrid w:val="0"/>
        <w:spacing w:line="600" w:lineRule="exact"/>
        <w:jc w:val="center"/>
        <w:rPr>
          <w:rFonts w:ascii="方正小标宋简体" w:eastAsia="方正小标宋简体" w:hint="eastAsia"/>
          <w:bCs/>
          <w:snapToGrid w:val="0"/>
          <w:color w:val="000000"/>
          <w:kern w:val="0"/>
          <w:sz w:val="44"/>
          <w:szCs w:val="44"/>
        </w:rPr>
      </w:pPr>
      <w:r>
        <w:rPr>
          <w:rFonts w:ascii="方正小标宋简体" w:eastAsia="方正小标宋简体" w:hint="eastAsia"/>
          <w:bCs/>
          <w:snapToGrid w:val="0"/>
          <w:color w:val="000000"/>
          <w:kern w:val="0"/>
          <w:sz w:val="44"/>
          <w:szCs w:val="44"/>
        </w:rPr>
        <w:t>保障性租赁住房审批操作细则</w:t>
      </w:r>
    </w:p>
    <w:bookmarkEnd w:id="0"/>
    <w:p w:rsidR="00A4185D" w:rsidRPr="00F95CD4" w:rsidRDefault="00A4185D" w:rsidP="00A4185D">
      <w:pPr>
        <w:widowControl/>
        <w:snapToGrid w:val="0"/>
        <w:spacing w:line="560" w:lineRule="exact"/>
        <w:ind w:firstLineChars="200" w:firstLine="640"/>
        <w:rPr>
          <w:rFonts w:ascii="Times New Roman" w:eastAsia="方正仿宋_GBK" w:hAnsi="Times New Roman"/>
          <w:bCs/>
          <w:snapToGrid w:val="0"/>
          <w:color w:val="000000"/>
          <w:sz w:val="32"/>
          <w:szCs w:val="32"/>
        </w:rPr>
      </w:pPr>
    </w:p>
    <w:p w:rsidR="00A4185D" w:rsidRPr="00F95CD4" w:rsidRDefault="00A4185D" w:rsidP="00A4185D">
      <w:pPr>
        <w:widowControl/>
        <w:tabs>
          <w:tab w:val="left" w:pos="7920"/>
          <w:tab w:val="left" w:pos="8553"/>
          <w:tab w:val="left" w:pos="9555"/>
        </w:tabs>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仿宋_GBK"/>
          <w:bCs/>
          <w:snapToGrid w:val="0"/>
          <w:color w:val="000000"/>
          <w:sz w:val="32"/>
          <w:szCs w:val="32"/>
        </w:rPr>
        <w:t>按照国家和省、市有关要求，现就非居住存量房屋改建为保障性租赁住房相关审批手续办理操作细则明确如下。</w:t>
      </w:r>
    </w:p>
    <w:p w:rsidR="00A4185D" w:rsidRPr="00F95CD4" w:rsidRDefault="00A4185D" w:rsidP="00A4185D">
      <w:pPr>
        <w:widowControl/>
        <w:tabs>
          <w:tab w:val="left" w:pos="7920"/>
          <w:tab w:val="left" w:pos="8553"/>
          <w:tab w:val="left" w:pos="9555"/>
        </w:tabs>
        <w:snapToGrid w:val="0"/>
        <w:spacing w:line="560" w:lineRule="exact"/>
        <w:ind w:firstLineChars="200" w:firstLine="640"/>
        <w:rPr>
          <w:rFonts w:ascii="Times New Roman" w:eastAsia="方正黑体_GBK" w:hAnsi="Times New Roman"/>
          <w:bCs/>
          <w:snapToGrid w:val="0"/>
          <w:color w:val="000000"/>
          <w:sz w:val="32"/>
          <w:szCs w:val="32"/>
        </w:rPr>
      </w:pPr>
      <w:r w:rsidRPr="00F95CD4">
        <w:rPr>
          <w:rFonts w:ascii="Times New Roman" w:eastAsia="方正黑体_GBK" w:hAnsi="Times New Roman"/>
          <w:bCs/>
          <w:snapToGrid w:val="0"/>
          <w:color w:val="000000"/>
          <w:sz w:val="32"/>
          <w:szCs w:val="32"/>
        </w:rPr>
        <w:t>一、项目认定</w:t>
      </w:r>
    </w:p>
    <w:p w:rsidR="00A4185D" w:rsidRPr="00F95CD4" w:rsidRDefault="00A4185D" w:rsidP="00A4185D">
      <w:pPr>
        <w:widowControl/>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仿宋_GBK"/>
          <w:bCs/>
          <w:snapToGrid w:val="0"/>
          <w:color w:val="000000"/>
          <w:sz w:val="32"/>
          <w:szCs w:val="32"/>
        </w:rPr>
        <w:t>在符合《关于印发〈关于鼓励国有企业加快发展保障性租赁住房的实施方案〉的通知》（</w:t>
      </w:r>
      <w:proofErr w:type="gramStart"/>
      <w:r w:rsidRPr="00F95CD4">
        <w:rPr>
          <w:rFonts w:ascii="Times New Roman" w:eastAsia="方正仿宋_GBK"/>
          <w:bCs/>
          <w:snapToGrid w:val="0"/>
          <w:color w:val="000000"/>
          <w:sz w:val="32"/>
          <w:szCs w:val="32"/>
        </w:rPr>
        <w:t>成住建规</w:t>
      </w:r>
      <w:proofErr w:type="gramEnd"/>
      <w:r w:rsidRPr="00F95CD4">
        <w:rPr>
          <w:rFonts w:ascii="Times New Roman" w:eastAsia="方正仿宋_GBK"/>
          <w:bCs/>
          <w:snapToGrid w:val="0"/>
          <w:color w:val="000000"/>
          <w:sz w:val="32"/>
          <w:szCs w:val="32"/>
        </w:rPr>
        <w:t>〔</w:t>
      </w:r>
      <w:r w:rsidRPr="00F95CD4">
        <w:rPr>
          <w:rFonts w:ascii="Times New Roman" w:eastAsia="方正仿宋_GBK" w:hAnsi="Times New Roman"/>
          <w:bCs/>
          <w:snapToGrid w:val="0"/>
          <w:color w:val="000000"/>
          <w:sz w:val="32"/>
          <w:szCs w:val="32"/>
        </w:rPr>
        <w:t>2021</w:t>
      </w:r>
      <w:r w:rsidRPr="00F95CD4">
        <w:rPr>
          <w:rFonts w:ascii="Times New Roman" w:eastAsia="方正仿宋_GBK"/>
          <w:bCs/>
          <w:snapToGrid w:val="0"/>
          <w:color w:val="000000"/>
          <w:sz w:val="32"/>
          <w:szCs w:val="32"/>
        </w:rPr>
        <w:t>〕</w:t>
      </w:r>
      <w:r w:rsidRPr="00F95CD4">
        <w:rPr>
          <w:rFonts w:ascii="Times New Roman" w:eastAsia="方正仿宋_GBK" w:hAnsi="Times New Roman"/>
          <w:bCs/>
          <w:snapToGrid w:val="0"/>
          <w:color w:val="000000"/>
          <w:sz w:val="32"/>
          <w:szCs w:val="32"/>
        </w:rPr>
        <w:t>4</w:t>
      </w:r>
      <w:r w:rsidRPr="00F95CD4">
        <w:rPr>
          <w:rFonts w:ascii="Times New Roman" w:eastAsia="方正仿宋_GBK"/>
          <w:bCs/>
          <w:snapToGrid w:val="0"/>
          <w:color w:val="000000"/>
          <w:sz w:val="32"/>
          <w:szCs w:val="32"/>
        </w:rPr>
        <w:t>号）改建范围和改建条件的前提下，申请单位提出申请后，各区（市）县政府（管委会）或其指定的单位、机构组织</w:t>
      </w:r>
      <w:proofErr w:type="gramStart"/>
      <w:r w:rsidRPr="00F95CD4">
        <w:rPr>
          <w:rFonts w:ascii="Times New Roman" w:eastAsia="方正仿宋_GBK"/>
          <w:bCs/>
          <w:snapToGrid w:val="0"/>
          <w:color w:val="000000"/>
          <w:sz w:val="32"/>
          <w:szCs w:val="32"/>
        </w:rPr>
        <w:t>属地住</w:t>
      </w:r>
      <w:proofErr w:type="gramEnd"/>
      <w:r w:rsidRPr="00F95CD4">
        <w:rPr>
          <w:rFonts w:ascii="Times New Roman" w:eastAsia="方正仿宋_GBK"/>
          <w:bCs/>
          <w:snapToGrid w:val="0"/>
          <w:color w:val="000000"/>
          <w:sz w:val="32"/>
          <w:szCs w:val="32"/>
        </w:rPr>
        <w:t>建、发改、规划和自然资源、国资等部门对项目进行研究讨论和认定，符合要求的，出具改建项目认定书，主要认定标准为：</w:t>
      </w:r>
    </w:p>
    <w:p w:rsidR="00A4185D" w:rsidRPr="00F95CD4" w:rsidRDefault="00A4185D" w:rsidP="00A4185D">
      <w:pPr>
        <w:widowControl/>
        <w:tabs>
          <w:tab w:val="left" w:pos="7920"/>
          <w:tab w:val="left" w:pos="8553"/>
          <w:tab w:val="left" w:pos="9555"/>
        </w:tabs>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楷体_GBK" w:hAnsi="Times New Roman"/>
          <w:bCs/>
          <w:snapToGrid w:val="0"/>
          <w:color w:val="000000"/>
          <w:sz w:val="32"/>
          <w:szCs w:val="32"/>
        </w:rPr>
        <w:t>（一）申请单位。</w:t>
      </w:r>
      <w:r w:rsidRPr="00F95CD4">
        <w:rPr>
          <w:rFonts w:ascii="Times New Roman" w:eastAsia="方正仿宋_GBK"/>
          <w:bCs/>
          <w:snapToGrid w:val="0"/>
          <w:color w:val="000000"/>
          <w:sz w:val="32"/>
          <w:szCs w:val="32"/>
        </w:rPr>
        <w:t>各级国有企业、大中专院校、科研院所、事业单位、民营企业。</w:t>
      </w:r>
    </w:p>
    <w:p w:rsidR="00A4185D" w:rsidRPr="00F95CD4" w:rsidRDefault="00A4185D" w:rsidP="00A4185D">
      <w:pPr>
        <w:widowControl/>
        <w:tabs>
          <w:tab w:val="left" w:pos="7920"/>
          <w:tab w:val="left" w:pos="8553"/>
          <w:tab w:val="left" w:pos="9555"/>
        </w:tabs>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楷体_GBK" w:hAnsi="Times New Roman"/>
          <w:bCs/>
          <w:snapToGrid w:val="0"/>
          <w:color w:val="000000"/>
          <w:sz w:val="32"/>
          <w:szCs w:val="32"/>
        </w:rPr>
        <w:t>（二）土地权属。</w:t>
      </w:r>
      <w:r w:rsidRPr="00F95CD4">
        <w:rPr>
          <w:rFonts w:ascii="Times New Roman" w:eastAsia="方正仿宋_GBK"/>
          <w:bCs/>
          <w:snapToGrid w:val="0"/>
          <w:color w:val="000000"/>
          <w:sz w:val="32"/>
          <w:szCs w:val="32"/>
        </w:rPr>
        <w:t>建设项目应为已取得</w:t>
      </w:r>
      <w:bookmarkStart w:id="1" w:name="_Hlk77855426"/>
      <w:r w:rsidRPr="00F95CD4">
        <w:rPr>
          <w:rFonts w:ascii="Times New Roman" w:eastAsia="方正仿宋_GBK"/>
          <w:bCs/>
          <w:snapToGrid w:val="0"/>
          <w:color w:val="000000"/>
          <w:sz w:val="32"/>
          <w:szCs w:val="32"/>
        </w:rPr>
        <w:t>合法权属证明的土地</w:t>
      </w:r>
      <w:bookmarkEnd w:id="1"/>
      <w:r w:rsidRPr="00F95CD4">
        <w:rPr>
          <w:rFonts w:ascii="Times New Roman" w:eastAsia="方正仿宋_GBK"/>
          <w:bCs/>
          <w:snapToGrid w:val="0"/>
          <w:color w:val="000000"/>
          <w:sz w:val="32"/>
          <w:szCs w:val="32"/>
        </w:rPr>
        <w:t>。</w:t>
      </w:r>
    </w:p>
    <w:p w:rsidR="00A4185D" w:rsidRPr="00F95CD4" w:rsidRDefault="00A4185D" w:rsidP="00A4185D">
      <w:pPr>
        <w:widowControl/>
        <w:tabs>
          <w:tab w:val="left" w:pos="7920"/>
          <w:tab w:val="left" w:pos="8553"/>
          <w:tab w:val="left" w:pos="9555"/>
        </w:tabs>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楷体_GBK" w:hAnsi="Times New Roman"/>
          <w:bCs/>
          <w:snapToGrid w:val="0"/>
          <w:color w:val="000000"/>
          <w:sz w:val="32"/>
          <w:szCs w:val="32"/>
        </w:rPr>
        <w:t>（三）面积规模。</w:t>
      </w:r>
      <w:r w:rsidRPr="00F95CD4">
        <w:rPr>
          <w:rFonts w:ascii="Times New Roman" w:eastAsia="方正仿宋_GBK"/>
          <w:bCs/>
          <w:snapToGrid w:val="0"/>
          <w:sz w:val="32"/>
          <w:szCs w:val="32"/>
        </w:rPr>
        <w:t>改建项目以整栋、整单元或整层为基本改建单位。</w:t>
      </w:r>
      <w:r w:rsidRPr="00F95CD4">
        <w:rPr>
          <w:rFonts w:ascii="Times New Roman" w:eastAsia="方正仿宋_GBK"/>
          <w:bCs/>
          <w:snapToGrid w:val="0"/>
          <w:color w:val="000000"/>
          <w:sz w:val="32"/>
          <w:szCs w:val="32"/>
        </w:rPr>
        <w:t>原则上改建后的保障性租赁住房不少于</w:t>
      </w:r>
      <w:r w:rsidRPr="00F95CD4">
        <w:rPr>
          <w:rFonts w:ascii="Times New Roman" w:eastAsia="方正仿宋_GBK" w:hAnsi="Times New Roman"/>
          <w:bCs/>
          <w:snapToGrid w:val="0"/>
          <w:color w:val="000000"/>
          <w:sz w:val="32"/>
          <w:szCs w:val="32"/>
        </w:rPr>
        <w:t>50</w:t>
      </w:r>
      <w:r w:rsidRPr="00F95CD4">
        <w:rPr>
          <w:rFonts w:ascii="Times New Roman" w:eastAsia="方正仿宋_GBK"/>
          <w:bCs/>
          <w:snapToGrid w:val="0"/>
          <w:color w:val="000000"/>
          <w:sz w:val="32"/>
          <w:szCs w:val="32"/>
        </w:rPr>
        <w:t>套（间）或建筑面积不低于</w:t>
      </w:r>
      <w:r w:rsidRPr="00F95CD4">
        <w:rPr>
          <w:rFonts w:ascii="Times New Roman" w:eastAsia="方正仿宋_GBK" w:hAnsi="Times New Roman"/>
          <w:bCs/>
          <w:snapToGrid w:val="0"/>
          <w:color w:val="000000"/>
          <w:sz w:val="32"/>
          <w:szCs w:val="32"/>
        </w:rPr>
        <w:t>2000</w:t>
      </w:r>
      <w:r w:rsidRPr="00F95CD4">
        <w:rPr>
          <w:rFonts w:ascii="Times New Roman" w:eastAsia="方正仿宋_GBK"/>
          <w:bCs/>
          <w:snapToGrid w:val="0"/>
          <w:color w:val="000000"/>
          <w:sz w:val="32"/>
          <w:szCs w:val="32"/>
        </w:rPr>
        <w:t>平方米。户型面积以建筑面积不超过</w:t>
      </w:r>
      <w:r w:rsidRPr="00F95CD4">
        <w:rPr>
          <w:rFonts w:ascii="Times New Roman" w:eastAsia="方正仿宋_GBK" w:hAnsi="Times New Roman"/>
          <w:bCs/>
          <w:snapToGrid w:val="0"/>
          <w:color w:val="000000"/>
          <w:sz w:val="32"/>
          <w:szCs w:val="32"/>
        </w:rPr>
        <w:t>70</w:t>
      </w:r>
      <w:r w:rsidRPr="00F95CD4">
        <w:rPr>
          <w:rFonts w:ascii="Times New Roman" w:eastAsia="方正仿宋_GBK"/>
          <w:bCs/>
          <w:snapToGrid w:val="0"/>
          <w:color w:val="000000"/>
          <w:sz w:val="32"/>
          <w:szCs w:val="32"/>
        </w:rPr>
        <w:t>平方米的小户型为主，最大不超过</w:t>
      </w:r>
      <w:r w:rsidRPr="00F95CD4">
        <w:rPr>
          <w:rFonts w:ascii="Times New Roman" w:eastAsia="方正仿宋_GBK" w:hAnsi="Times New Roman"/>
          <w:bCs/>
          <w:snapToGrid w:val="0"/>
          <w:color w:val="000000"/>
          <w:sz w:val="32"/>
          <w:szCs w:val="32"/>
        </w:rPr>
        <w:t>90</w:t>
      </w:r>
      <w:r w:rsidRPr="00F95CD4">
        <w:rPr>
          <w:rFonts w:ascii="Times New Roman" w:eastAsia="方正仿宋_GBK"/>
          <w:bCs/>
          <w:snapToGrid w:val="0"/>
          <w:color w:val="000000"/>
          <w:sz w:val="32"/>
          <w:szCs w:val="32"/>
        </w:rPr>
        <w:t>平方米，其中</w:t>
      </w:r>
      <w:r w:rsidRPr="00F95CD4">
        <w:rPr>
          <w:rFonts w:ascii="Times New Roman" w:eastAsia="方正仿宋_GBK" w:hAnsi="Times New Roman"/>
          <w:bCs/>
          <w:snapToGrid w:val="0"/>
          <w:color w:val="000000"/>
          <w:sz w:val="32"/>
          <w:szCs w:val="32"/>
        </w:rPr>
        <w:t>70</w:t>
      </w:r>
      <w:r w:rsidRPr="00F95CD4">
        <w:rPr>
          <w:rFonts w:ascii="Times New Roman" w:eastAsia="方正仿宋_GBK"/>
          <w:bCs/>
          <w:snapToGrid w:val="0"/>
          <w:color w:val="000000"/>
          <w:sz w:val="32"/>
          <w:szCs w:val="32"/>
        </w:rPr>
        <w:t>平方米以内户型建筑面积占比原则上不低于</w:t>
      </w:r>
      <w:r w:rsidRPr="00F95CD4">
        <w:rPr>
          <w:rFonts w:ascii="Times New Roman" w:eastAsia="方正仿宋_GBK" w:hAnsi="Times New Roman"/>
          <w:bCs/>
          <w:snapToGrid w:val="0"/>
          <w:color w:val="000000"/>
          <w:sz w:val="32"/>
          <w:szCs w:val="32"/>
        </w:rPr>
        <w:t>80%</w:t>
      </w:r>
      <w:r w:rsidRPr="00F95CD4">
        <w:rPr>
          <w:rFonts w:ascii="Times New Roman" w:eastAsia="方正仿宋_GBK"/>
          <w:bCs/>
          <w:snapToGrid w:val="0"/>
          <w:color w:val="000000"/>
          <w:sz w:val="32"/>
          <w:szCs w:val="32"/>
        </w:rPr>
        <w:t>。</w:t>
      </w:r>
    </w:p>
    <w:p w:rsidR="00A4185D" w:rsidRPr="00F95CD4" w:rsidRDefault="00A4185D" w:rsidP="00A4185D">
      <w:pPr>
        <w:widowControl/>
        <w:tabs>
          <w:tab w:val="left" w:pos="7920"/>
          <w:tab w:val="left" w:pos="8553"/>
          <w:tab w:val="left" w:pos="9555"/>
        </w:tabs>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楷体_GBK" w:hAnsi="Times New Roman"/>
          <w:bCs/>
          <w:snapToGrid w:val="0"/>
          <w:color w:val="000000"/>
          <w:sz w:val="32"/>
          <w:szCs w:val="32"/>
        </w:rPr>
        <w:lastRenderedPageBreak/>
        <w:t>（四）区域位置。</w:t>
      </w:r>
      <w:r w:rsidRPr="00F95CD4">
        <w:rPr>
          <w:rFonts w:ascii="Times New Roman" w:eastAsia="方正仿宋_GBK"/>
          <w:bCs/>
          <w:snapToGrid w:val="0"/>
          <w:color w:val="000000"/>
          <w:sz w:val="32"/>
          <w:szCs w:val="32"/>
        </w:rPr>
        <w:t>非居住存量房屋改建为保障性租赁住房原则上应选取在租赁需求集中、交通便捷、公共服务设施完善的区域，优先选取区域相对独立、满足安全、消防使用要求的项目。</w:t>
      </w:r>
    </w:p>
    <w:p w:rsidR="00A4185D" w:rsidRPr="00F95CD4" w:rsidRDefault="00A4185D" w:rsidP="00A4185D">
      <w:pPr>
        <w:widowControl/>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楷体_GBK" w:hAnsi="Times New Roman"/>
          <w:bCs/>
          <w:snapToGrid w:val="0"/>
          <w:color w:val="000000"/>
          <w:sz w:val="32"/>
          <w:szCs w:val="32"/>
        </w:rPr>
        <w:t>（五）产业条件履约情况。</w:t>
      </w:r>
      <w:r w:rsidRPr="00F95CD4">
        <w:rPr>
          <w:rFonts w:ascii="Times New Roman" w:eastAsia="方正仿宋_GBK"/>
          <w:bCs/>
          <w:snapToGrid w:val="0"/>
          <w:color w:val="000000"/>
          <w:sz w:val="32"/>
          <w:szCs w:val="32"/>
        </w:rPr>
        <w:t>对附带有产业条件的项目，项目主体应当先行完成产业开发履约，经招商引资主体及属地区（市）县人民政府（管委会）确认后，仍有闲置非居住存量房屋的，可申请改建为保障性租赁住房。</w:t>
      </w:r>
    </w:p>
    <w:p w:rsidR="00A4185D" w:rsidRPr="00F95CD4" w:rsidRDefault="00A4185D" w:rsidP="00A4185D">
      <w:pPr>
        <w:widowControl/>
        <w:tabs>
          <w:tab w:val="left" w:pos="7920"/>
          <w:tab w:val="left" w:pos="8553"/>
          <w:tab w:val="left" w:pos="9555"/>
        </w:tabs>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楷体_GBK" w:hAnsi="Times New Roman"/>
          <w:bCs/>
          <w:snapToGrid w:val="0"/>
          <w:color w:val="000000"/>
          <w:sz w:val="32"/>
          <w:szCs w:val="32"/>
        </w:rPr>
        <w:t>（六）其他要求。</w:t>
      </w:r>
      <w:r w:rsidRPr="00F95CD4">
        <w:rPr>
          <w:rFonts w:ascii="Times New Roman" w:eastAsia="方正仿宋_GBK"/>
          <w:bCs/>
          <w:snapToGrid w:val="0"/>
          <w:color w:val="000000"/>
          <w:sz w:val="32"/>
          <w:szCs w:val="32"/>
        </w:rPr>
        <w:t>符合纳入保障性租赁住房范畴的国家和省、市其他规定要求。</w:t>
      </w:r>
    </w:p>
    <w:p w:rsidR="00A4185D" w:rsidRPr="00F95CD4" w:rsidRDefault="00A4185D" w:rsidP="00A4185D">
      <w:pPr>
        <w:widowControl/>
        <w:tabs>
          <w:tab w:val="left" w:pos="7920"/>
          <w:tab w:val="left" w:pos="8553"/>
          <w:tab w:val="left" w:pos="9555"/>
        </w:tabs>
        <w:snapToGrid w:val="0"/>
        <w:spacing w:line="560" w:lineRule="exact"/>
        <w:ind w:firstLineChars="200" w:firstLine="640"/>
        <w:rPr>
          <w:rFonts w:ascii="Times New Roman" w:eastAsia="方正黑体_GBK" w:hAnsi="Times New Roman"/>
          <w:bCs/>
          <w:snapToGrid w:val="0"/>
          <w:color w:val="000000"/>
          <w:sz w:val="32"/>
          <w:szCs w:val="32"/>
        </w:rPr>
      </w:pPr>
      <w:r w:rsidRPr="00F95CD4">
        <w:rPr>
          <w:rFonts w:ascii="Times New Roman" w:eastAsia="方正黑体_GBK" w:hAnsi="Times New Roman"/>
          <w:bCs/>
          <w:snapToGrid w:val="0"/>
          <w:color w:val="000000"/>
          <w:sz w:val="32"/>
          <w:szCs w:val="32"/>
        </w:rPr>
        <w:t>二、项目立项</w:t>
      </w:r>
    </w:p>
    <w:p w:rsidR="00A4185D" w:rsidRPr="00F95CD4" w:rsidRDefault="00A4185D" w:rsidP="00A4185D">
      <w:pPr>
        <w:widowControl/>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仿宋_GBK"/>
          <w:bCs/>
          <w:snapToGrid w:val="0"/>
          <w:color w:val="000000"/>
          <w:sz w:val="32"/>
          <w:szCs w:val="32"/>
        </w:rPr>
        <w:t>申请单位凭《保障性租赁住房项目认定书》及办理改建项目立项所需的其他要件，按照现有审批、备案、核准等立项报批流程，向</w:t>
      </w:r>
      <w:proofErr w:type="gramStart"/>
      <w:r w:rsidRPr="00F95CD4">
        <w:rPr>
          <w:rFonts w:ascii="Times New Roman" w:eastAsia="方正仿宋_GBK"/>
          <w:bCs/>
          <w:snapToGrid w:val="0"/>
          <w:color w:val="000000"/>
          <w:sz w:val="32"/>
          <w:szCs w:val="32"/>
        </w:rPr>
        <w:t>属地发改等</w:t>
      </w:r>
      <w:proofErr w:type="gramEnd"/>
      <w:r w:rsidRPr="00F95CD4">
        <w:rPr>
          <w:rFonts w:ascii="Times New Roman" w:eastAsia="方正仿宋_GBK"/>
          <w:bCs/>
          <w:snapToGrid w:val="0"/>
          <w:color w:val="000000"/>
          <w:sz w:val="32"/>
          <w:szCs w:val="32"/>
        </w:rPr>
        <w:t>部门申请办理改建项目的立项手续。</w:t>
      </w:r>
    </w:p>
    <w:p w:rsidR="00A4185D" w:rsidRPr="00F95CD4" w:rsidRDefault="00A4185D" w:rsidP="00A4185D">
      <w:pPr>
        <w:widowControl/>
        <w:snapToGrid w:val="0"/>
        <w:spacing w:line="560" w:lineRule="exact"/>
        <w:ind w:firstLineChars="200" w:firstLine="640"/>
        <w:rPr>
          <w:rFonts w:ascii="Times New Roman" w:eastAsia="方正黑体_GBK" w:hAnsi="Times New Roman"/>
          <w:bCs/>
          <w:snapToGrid w:val="0"/>
          <w:color w:val="000000"/>
          <w:sz w:val="32"/>
          <w:szCs w:val="32"/>
        </w:rPr>
      </w:pPr>
      <w:r w:rsidRPr="00F95CD4">
        <w:rPr>
          <w:rFonts w:ascii="Times New Roman" w:eastAsia="方正黑体_GBK" w:hAnsi="Times New Roman"/>
          <w:bCs/>
          <w:snapToGrid w:val="0"/>
          <w:color w:val="000000"/>
          <w:sz w:val="32"/>
          <w:szCs w:val="32"/>
        </w:rPr>
        <w:t>三、审批流程</w:t>
      </w:r>
    </w:p>
    <w:p w:rsidR="00A4185D" w:rsidRPr="00F95CD4" w:rsidRDefault="00A4185D" w:rsidP="00A4185D">
      <w:pPr>
        <w:widowControl/>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楷体_GBK" w:hAnsi="Times New Roman"/>
          <w:bCs/>
          <w:snapToGrid w:val="0"/>
          <w:color w:val="000000"/>
          <w:sz w:val="32"/>
          <w:szCs w:val="32"/>
        </w:rPr>
        <w:t>（一）规划意见。</w:t>
      </w:r>
      <w:r w:rsidRPr="00F95CD4">
        <w:rPr>
          <w:rFonts w:ascii="Times New Roman" w:eastAsia="方正仿宋_GBK"/>
          <w:bCs/>
          <w:snapToGrid w:val="0"/>
          <w:color w:val="000000"/>
          <w:sz w:val="32"/>
          <w:szCs w:val="32"/>
        </w:rPr>
        <w:t>非居住存量房屋改建为保障性租赁住房的，无需办理建设工程规划许可证。项目方案由属地规划和自然资源主管部门参与项目会审出具规划</w:t>
      </w:r>
      <w:r>
        <w:rPr>
          <w:rFonts w:ascii="Times New Roman" w:eastAsia="方正仿宋_GBK" w:hint="eastAsia"/>
          <w:bCs/>
          <w:snapToGrid w:val="0"/>
          <w:color w:val="000000"/>
          <w:sz w:val="32"/>
          <w:szCs w:val="32"/>
        </w:rPr>
        <w:t>审批</w:t>
      </w:r>
      <w:r>
        <w:rPr>
          <w:rFonts w:ascii="Times New Roman" w:eastAsia="方正仿宋_GBK"/>
          <w:bCs/>
          <w:snapToGrid w:val="0"/>
          <w:color w:val="000000"/>
          <w:sz w:val="32"/>
          <w:szCs w:val="32"/>
        </w:rPr>
        <w:t>情况说明</w:t>
      </w:r>
      <w:r w:rsidRPr="00F95CD4">
        <w:rPr>
          <w:rFonts w:ascii="Times New Roman" w:eastAsia="方正仿宋_GBK"/>
          <w:bCs/>
          <w:snapToGrid w:val="0"/>
          <w:color w:val="000000"/>
          <w:sz w:val="32"/>
          <w:szCs w:val="32"/>
        </w:rPr>
        <w:t>。</w:t>
      </w:r>
    </w:p>
    <w:p w:rsidR="00A4185D" w:rsidRPr="00F95CD4" w:rsidRDefault="00A4185D" w:rsidP="00A4185D">
      <w:pPr>
        <w:widowControl/>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楷体_GBK" w:hAnsi="Times New Roman"/>
          <w:bCs/>
          <w:snapToGrid w:val="0"/>
          <w:color w:val="000000"/>
          <w:sz w:val="32"/>
          <w:szCs w:val="32"/>
        </w:rPr>
        <w:t>（二）施工手续。</w:t>
      </w:r>
      <w:r w:rsidRPr="00F95CD4">
        <w:rPr>
          <w:rFonts w:ascii="Times New Roman" w:eastAsia="方正仿宋_GBK"/>
          <w:bCs/>
          <w:snapToGrid w:val="0"/>
          <w:color w:val="000000"/>
          <w:sz w:val="32"/>
          <w:szCs w:val="32"/>
        </w:rPr>
        <w:t>申请单位依据《保障性租赁住房项目认定书》、立项手续、改建工程设计方案等材料办理施工图审查、施工许可等手续。</w:t>
      </w:r>
    </w:p>
    <w:p w:rsidR="00A4185D" w:rsidRPr="00F95CD4" w:rsidRDefault="00A4185D" w:rsidP="00A4185D">
      <w:pPr>
        <w:widowControl/>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楷体_GBK" w:hAnsi="Times New Roman"/>
          <w:bCs/>
          <w:snapToGrid w:val="0"/>
          <w:color w:val="000000"/>
          <w:sz w:val="32"/>
          <w:szCs w:val="32"/>
        </w:rPr>
        <w:t>（三）竣工验收。</w:t>
      </w:r>
      <w:r w:rsidRPr="00F95CD4">
        <w:rPr>
          <w:rFonts w:ascii="Times New Roman" w:eastAsia="方正仿宋_GBK"/>
          <w:bCs/>
          <w:snapToGrid w:val="0"/>
          <w:color w:val="000000"/>
          <w:sz w:val="32"/>
          <w:szCs w:val="32"/>
        </w:rPr>
        <w:t>项目完工后，建设业主（申请单位）按照现行房屋建筑工程竣工验收及备案流程，完成竣工验收和备案后，由项目认定单位对建设项目进行确认，并纳入保障性租赁住房管理服务平台进行管理。</w:t>
      </w:r>
    </w:p>
    <w:p w:rsidR="00A4185D" w:rsidRPr="00F95CD4" w:rsidRDefault="00A4185D" w:rsidP="00A4185D">
      <w:pPr>
        <w:widowControl/>
        <w:snapToGrid w:val="0"/>
        <w:spacing w:line="560" w:lineRule="exact"/>
        <w:ind w:firstLineChars="200" w:firstLine="640"/>
        <w:rPr>
          <w:rFonts w:ascii="Times New Roman" w:eastAsia="方正黑体_GBK" w:hAnsi="Times New Roman"/>
          <w:bCs/>
          <w:snapToGrid w:val="0"/>
          <w:color w:val="000000"/>
          <w:sz w:val="32"/>
          <w:szCs w:val="32"/>
        </w:rPr>
      </w:pPr>
      <w:r w:rsidRPr="00F95CD4">
        <w:rPr>
          <w:rFonts w:ascii="Times New Roman" w:eastAsia="方正黑体_GBK" w:hAnsi="Times New Roman"/>
          <w:bCs/>
          <w:snapToGrid w:val="0"/>
          <w:color w:val="000000"/>
          <w:sz w:val="32"/>
          <w:szCs w:val="32"/>
        </w:rPr>
        <w:t>四、其他事项</w:t>
      </w:r>
    </w:p>
    <w:p w:rsidR="00A4185D" w:rsidRPr="00F95CD4" w:rsidRDefault="00A4185D" w:rsidP="00A4185D">
      <w:pPr>
        <w:widowControl/>
        <w:snapToGrid w:val="0"/>
        <w:spacing w:line="560" w:lineRule="exact"/>
        <w:ind w:firstLineChars="200" w:firstLine="640"/>
        <w:rPr>
          <w:rFonts w:ascii="Times New Roman" w:eastAsia="方正仿宋_GBK" w:hAnsi="Times New Roman"/>
          <w:bCs/>
          <w:snapToGrid w:val="0"/>
          <w:color w:val="000000"/>
          <w:sz w:val="32"/>
          <w:szCs w:val="32"/>
        </w:rPr>
      </w:pPr>
      <w:r w:rsidRPr="00F95CD4">
        <w:rPr>
          <w:rFonts w:ascii="Times New Roman" w:eastAsia="方正仿宋_GBK"/>
          <w:bCs/>
          <w:snapToGrid w:val="0"/>
          <w:color w:val="000000"/>
          <w:sz w:val="32"/>
          <w:szCs w:val="32"/>
        </w:rPr>
        <w:t>各区（市）县政府（管委会）可结合属地实际对本细则进行细化完善。</w:t>
      </w:r>
    </w:p>
    <w:p w:rsidR="004240AE" w:rsidRDefault="004240AE" w:rsidP="00A4185D"/>
    <w:sectPr w:rsidR="004240AE" w:rsidSect="004240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4185D"/>
    <w:rsid w:val="004240AE"/>
    <w:rsid w:val="00A41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5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527</Characters>
  <Application>Microsoft Office Word</Application>
  <DocSecurity>0</DocSecurity>
  <Lines>31</Lines>
  <Paragraphs>16</Paragraphs>
  <ScaleCrop>false</ScaleCrop>
  <Company>Lenovo</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2023-11-03T01:34:00Z</dcterms:created>
  <dcterms:modified xsi:type="dcterms:W3CDTF">2023-11-03T01:35:00Z</dcterms:modified>
</cp:coreProperties>
</file>