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widowControl/>
        <w:spacing w:line="600" w:lineRule="exact"/>
        <w:rPr>
          <w:rFonts w:hint="default" w:ascii="Times New Roman" w:hAnsi="Times New Roman" w:eastAsia="黑体" w:cs="Times New Roman"/>
          <w:b w:val="0"/>
          <w:bCs w:val="0"/>
          <w:color w:val="000000"/>
          <w:kern w:val="0"/>
          <w:sz w:val="32"/>
          <w:szCs w:val="32"/>
          <w:highlight w:val="none"/>
          <w:u w:val="none"/>
          <w:lang w:val="en-US" w:eastAsia="zh-CN" w:bidi="ar-SA"/>
        </w:rPr>
      </w:pPr>
      <w:r>
        <w:rPr>
          <w:rFonts w:hint="default" w:ascii="Times New Roman" w:hAnsi="Times New Roman" w:eastAsia="黑体" w:cs="Times New Roman"/>
          <w:b w:val="0"/>
          <w:bCs w:val="0"/>
          <w:color w:val="000000"/>
          <w:kern w:val="0"/>
          <w:sz w:val="32"/>
          <w:szCs w:val="32"/>
          <w:highlight w:val="none"/>
          <w:u w:val="none"/>
          <w:lang w:val="en-US" w:eastAsia="zh-CN" w:bidi="ar-SA"/>
        </w:rPr>
        <w:t>附件2</w:t>
      </w:r>
    </w:p>
    <w:tbl>
      <w:tblPr>
        <w:tblStyle w:val="15"/>
        <w:tblW w:w="14213" w:type="dxa"/>
        <w:tblInd w:w="-52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3"/>
        <w:gridCol w:w="762"/>
        <w:gridCol w:w="787"/>
        <w:gridCol w:w="763"/>
        <w:gridCol w:w="700"/>
        <w:gridCol w:w="775"/>
        <w:gridCol w:w="738"/>
        <w:gridCol w:w="958"/>
        <w:gridCol w:w="769"/>
        <w:gridCol w:w="713"/>
        <w:gridCol w:w="497"/>
        <w:gridCol w:w="850"/>
        <w:gridCol w:w="567"/>
        <w:gridCol w:w="1311"/>
        <w:gridCol w:w="860"/>
        <w:gridCol w:w="1000"/>
        <w:gridCol w:w="1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4213" w:type="dxa"/>
            <w:gridSpan w:val="17"/>
            <w:tcBorders>
              <w:top w:val="nil"/>
              <w:left w:val="nil"/>
              <w:bottom w:val="nil"/>
              <w:right w:val="nil"/>
            </w:tcBorders>
            <w:noWrap/>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i w:val="0"/>
                <w:color w:val="000000"/>
                <w:sz w:val="44"/>
                <w:szCs w:val="44"/>
                <w:u w:val="none"/>
              </w:rPr>
            </w:pPr>
            <w:bookmarkStart w:id="0" w:name="_GoBack"/>
            <w:r>
              <w:rPr>
                <w:rFonts w:hint="eastAsia" w:ascii="方正小标宋简体" w:hAnsi="方正小标宋简体" w:eastAsia="方正小标宋简体" w:cs="方正小标宋简体"/>
                <w:b w:val="0"/>
                <w:bCs/>
                <w:i w:val="0"/>
                <w:color w:val="000000"/>
                <w:kern w:val="0"/>
                <w:sz w:val="44"/>
                <w:szCs w:val="44"/>
                <w:u w:val="none"/>
                <w:lang w:val="en-US" w:eastAsia="zh-CN" w:bidi="ar"/>
              </w:rPr>
              <w:t>XX医疗机构特需医疗服务（市场调节价）项目和价格情况表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213" w:type="dxa"/>
            <w:gridSpan w:val="17"/>
            <w:tcBorders>
              <w:top w:val="nil"/>
              <w:left w:val="nil"/>
              <w:bottom w:val="nil"/>
              <w:right w:val="nil"/>
            </w:tcBorders>
            <w:noWrap/>
            <w:vAlign w:val="center"/>
          </w:tcPr>
          <w:p>
            <w:pPr>
              <w:keepNext w:val="0"/>
              <w:keepLines w:val="0"/>
              <w:widowControl/>
              <w:suppressLineNumbers w:val="0"/>
              <w:spacing w:before="0" w:beforeAutospacing="0" w:after="0" w:afterAutospacing="0" w:line="560" w:lineRule="exact"/>
              <w:ind w:left="0" w:right="0"/>
              <w:jc w:val="both"/>
              <w:textAlignment w:val="center"/>
              <w:rPr>
                <w:rFonts w:hint="eastAsia" w:ascii="黑体" w:hAnsi="黑体" w:eastAsia="黑体" w:cs="黑体"/>
                <w:b w:val="0"/>
                <w:bCs w:val="0"/>
                <w:i w:val="0"/>
                <w:color w:val="000000"/>
                <w:kern w:val="0"/>
                <w:sz w:val="24"/>
                <w:szCs w:val="24"/>
                <w:u w:val="none"/>
                <w:lang w:bidi="ar"/>
              </w:rPr>
            </w:pPr>
            <w:r>
              <w:rPr>
                <w:rFonts w:hint="eastAsia" w:ascii="黑体" w:hAnsi="黑体" w:eastAsia="黑体" w:cs="黑体"/>
                <w:b w:val="0"/>
                <w:bCs w:val="0"/>
                <w:i w:val="0"/>
                <w:color w:val="000000"/>
                <w:kern w:val="0"/>
                <w:sz w:val="24"/>
                <w:szCs w:val="24"/>
                <w:u w:val="none"/>
                <w:lang w:val="en-US" w:eastAsia="zh-CN" w:bidi="ar"/>
              </w:rPr>
              <w:t>医疗机构名称（公章）：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3025" w:type="dxa"/>
            <w:gridSpan w:val="4"/>
            <w:tcBorders>
              <w:top w:val="nil"/>
              <w:left w:val="nil"/>
              <w:bottom w:val="nil"/>
              <w:right w:val="nil"/>
            </w:tcBorders>
            <w:noWrap/>
            <w:vAlign w:val="center"/>
          </w:tcPr>
          <w:p>
            <w:pPr>
              <w:keepNext w:val="0"/>
              <w:keepLines w:val="0"/>
              <w:widowControl/>
              <w:suppressLineNumbers w:val="0"/>
              <w:spacing w:before="0" w:beforeAutospacing="0" w:after="0" w:afterAutospacing="0" w:line="560" w:lineRule="exact"/>
              <w:ind w:left="0" w:right="0"/>
              <w:jc w:val="both"/>
              <w:textAlignment w:val="center"/>
              <w:rPr>
                <w:rFonts w:hint="eastAsia" w:ascii="黑体" w:hAnsi="黑体" w:eastAsia="黑体" w:cs="黑体"/>
                <w:b w:val="0"/>
                <w:bCs w:val="0"/>
                <w:i w:val="0"/>
                <w:color w:val="000000"/>
                <w:kern w:val="0"/>
                <w:sz w:val="24"/>
                <w:szCs w:val="24"/>
                <w:u w:val="none"/>
                <w:lang w:bidi="ar"/>
              </w:rPr>
            </w:pPr>
            <w:r>
              <w:rPr>
                <w:rFonts w:hint="eastAsia" w:ascii="黑体" w:hAnsi="黑体" w:eastAsia="黑体" w:cs="黑体"/>
                <w:b w:val="0"/>
                <w:bCs w:val="0"/>
                <w:i w:val="0"/>
                <w:color w:val="000000"/>
                <w:kern w:val="0"/>
                <w:sz w:val="24"/>
                <w:szCs w:val="24"/>
                <w:u w:val="none"/>
                <w:lang w:val="en-US" w:eastAsia="zh-CN" w:bidi="ar"/>
              </w:rPr>
              <w:t>特需服务项目数量合计：</w:t>
            </w:r>
          </w:p>
        </w:tc>
        <w:tc>
          <w:tcPr>
            <w:tcW w:w="7878" w:type="dxa"/>
            <w:gridSpan w:val="10"/>
            <w:tcBorders>
              <w:top w:val="nil"/>
              <w:left w:val="nil"/>
              <w:bottom w:val="nil"/>
              <w:right w:val="nil"/>
            </w:tcBorders>
            <w:noWrap/>
            <w:vAlign w:val="center"/>
          </w:tcPr>
          <w:p>
            <w:pPr>
              <w:keepNext w:val="0"/>
              <w:keepLines w:val="0"/>
              <w:widowControl/>
              <w:suppressLineNumbers w:val="0"/>
              <w:spacing w:before="0" w:beforeAutospacing="0" w:after="0" w:afterAutospacing="0" w:line="560" w:lineRule="exact"/>
              <w:ind w:left="0" w:right="0"/>
              <w:jc w:val="both"/>
              <w:textAlignment w:val="center"/>
              <w:rPr>
                <w:rFonts w:hint="eastAsia" w:ascii="黑体" w:hAnsi="黑体" w:eastAsia="黑体" w:cs="黑体"/>
                <w:b w:val="0"/>
                <w:bCs w:val="0"/>
                <w:i w:val="0"/>
                <w:color w:val="000000"/>
                <w:kern w:val="0"/>
                <w:sz w:val="24"/>
                <w:szCs w:val="24"/>
                <w:u w:val="none"/>
                <w:lang w:bidi="ar"/>
              </w:rPr>
            </w:pPr>
            <w:r>
              <w:rPr>
                <w:rFonts w:hint="eastAsia" w:ascii="黑体" w:hAnsi="黑体" w:eastAsia="黑体" w:cs="黑体"/>
                <w:b w:val="0"/>
                <w:bCs w:val="0"/>
                <w:i w:val="0"/>
                <w:color w:val="000000"/>
                <w:kern w:val="0"/>
                <w:sz w:val="24"/>
                <w:szCs w:val="24"/>
                <w:u w:val="none"/>
                <w:lang w:val="en-US" w:eastAsia="zh-CN" w:bidi="ar"/>
              </w:rPr>
              <w:t>实行市场调节价的项目（含特需服务项目和试行期内新增项目）项目数量：</w:t>
            </w:r>
          </w:p>
        </w:tc>
        <w:tc>
          <w:tcPr>
            <w:tcW w:w="3310" w:type="dxa"/>
            <w:gridSpan w:val="3"/>
            <w:tcBorders>
              <w:top w:val="nil"/>
              <w:left w:val="nil"/>
              <w:bottom w:val="nil"/>
              <w:right w:val="nil"/>
            </w:tcBorders>
            <w:noWrap/>
            <w:vAlign w:val="center"/>
          </w:tcPr>
          <w:p>
            <w:pPr>
              <w:keepNext w:val="0"/>
              <w:keepLines w:val="0"/>
              <w:widowControl/>
              <w:suppressLineNumbers w:val="0"/>
              <w:spacing w:before="0" w:beforeAutospacing="0" w:after="0" w:afterAutospacing="0" w:line="560" w:lineRule="exact"/>
              <w:ind w:left="0" w:right="0" w:firstLine="720" w:firstLineChars="300"/>
              <w:textAlignment w:val="center"/>
              <w:rPr>
                <w:rFonts w:hint="eastAsia" w:ascii="黑体" w:hAnsi="黑体" w:eastAsia="黑体" w:cs="黑体"/>
                <w:b w:val="0"/>
                <w:bCs w:val="0"/>
                <w:i w:val="0"/>
                <w:color w:val="000000"/>
                <w:kern w:val="0"/>
                <w:sz w:val="24"/>
                <w:szCs w:val="24"/>
                <w:u w:val="none"/>
                <w:lang w:bidi="ar"/>
              </w:rPr>
            </w:pPr>
            <w:r>
              <w:rPr>
                <w:rFonts w:hint="eastAsia" w:ascii="黑体" w:hAnsi="黑体" w:eastAsia="黑体" w:cs="黑体"/>
                <w:b w:val="0"/>
                <w:bCs w:val="0"/>
                <w:i w:val="0"/>
                <w:color w:val="000000"/>
                <w:kern w:val="0"/>
                <w:sz w:val="24"/>
                <w:szCs w:val="24"/>
                <w:u w:val="none"/>
                <w:lang w:val="en-US" w:eastAsia="zh-CN" w:bidi="ar"/>
              </w:rPr>
              <w:t>金额单位：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713"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spacing w:val="0"/>
                <w:kern w:val="0"/>
                <w:sz w:val="24"/>
                <w:szCs w:val="24"/>
                <w:u w:val="none"/>
                <w:fitText w:val="480" w:id="2010732666"/>
                <w:lang w:val="en-US" w:eastAsia="zh-CN" w:bidi="ar"/>
              </w:rPr>
              <w:t>财务</w:t>
            </w:r>
            <w:r>
              <w:rPr>
                <w:rFonts w:hint="default" w:ascii="Times New Roman" w:hAnsi="Times New Roman" w:eastAsia="仿宋_GB2312" w:cs="Times New Roman"/>
                <w:i w:val="0"/>
                <w:color w:val="000000"/>
                <w:kern w:val="0"/>
                <w:sz w:val="24"/>
                <w:szCs w:val="24"/>
                <w:u w:val="none"/>
                <w:lang w:val="en-US" w:eastAsia="zh-CN" w:bidi="ar"/>
              </w:rPr>
              <w:t>分类</w:t>
            </w:r>
          </w:p>
        </w:tc>
        <w:tc>
          <w:tcPr>
            <w:tcW w:w="787"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编码</w:t>
            </w:r>
          </w:p>
        </w:tc>
        <w:tc>
          <w:tcPr>
            <w:tcW w:w="763"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spacing w:val="0"/>
                <w:kern w:val="0"/>
                <w:sz w:val="24"/>
                <w:szCs w:val="24"/>
                <w:u w:val="none"/>
                <w:fitText w:val="480" w:id="429589047"/>
                <w:lang w:val="en-US" w:eastAsia="zh-CN" w:bidi="ar"/>
              </w:rPr>
              <w:t>项目</w:t>
            </w:r>
            <w:r>
              <w:rPr>
                <w:rFonts w:hint="default" w:ascii="Times New Roman" w:hAnsi="Times New Roman" w:eastAsia="仿宋_GB2312" w:cs="Times New Roman"/>
                <w:i w:val="0"/>
                <w:color w:val="000000"/>
                <w:kern w:val="0"/>
                <w:sz w:val="24"/>
                <w:szCs w:val="24"/>
                <w:u w:val="none"/>
                <w:lang w:val="en-US" w:eastAsia="zh-CN" w:bidi="ar"/>
              </w:rPr>
              <w:t>名称</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 xml:space="preserve">项目内涵                           </w:t>
            </w:r>
          </w:p>
        </w:tc>
        <w:tc>
          <w:tcPr>
            <w:tcW w:w="775"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spacing w:val="0"/>
                <w:kern w:val="0"/>
                <w:sz w:val="24"/>
                <w:szCs w:val="24"/>
                <w:u w:val="none"/>
                <w:fitText w:val="480" w:id="366616612"/>
                <w:lang w:val="en-US" w:eastAsia="zh-CN" w:bidi="ar"/>
              </w:rPr>
              <w:t>计价</w:t>
            </w:r>
            <w:r>
              <w:rPr>
                <w:rFonts w:hint="default" w:ascii="Times New Roman" w:hAnsi="Times New Roman" w:eastAsia="仿宋_GB2312" w:cs="Times New Roman"/>
                <w:i w:val="0"/>
                <w:color w:val="000000"/>
                <w:kern w:val="0"/>
                <w:sz w:val="24"/>
                <w:szCs w:val="24"/>
                <w:u w:val="none"/>
                <w:lang w:val="en-US" w:eastAsia="zh-CN" w:bidi="ar"/>
              </w:rPr>
              <w:t>单位</w:t>
            </w:r>
          </w:p>
        </w:tc>
        <w:tc>
          <w:tcPr>
            <w:tcW w:w="738"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说明</w:t>
            </w:r>
          </w:p>
        </w:tc>
        <w:tc>
          <w:tcPr>
            <w:tcW w:w="958"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项目</w:t>
            </w:r>
          </w:p>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总价格</w:t>
            </w:r>
          </w:p>
        </w:tc>
        <w:tc>
          <w:tcPr>
            <w:tcW w:w="769"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技术劳务服务费用</w:t>
            </w:r>
          </w:p>
        </w:tc>
        <w:tc>
          <w:tcPr>
            <w:tcW w:w="2627" w:type="dxa"/>
            <w:gridSpan w:val="4"/>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b/>
                <w:bCs/>
                <w:i w:val="0"/>
                <w:color w:val="000000"/>
                <w:kern w:val="0"/>
                <w:sz w:val="24"/>
                <w:szCs w:val="24"/>
                <w:u w:val="none"/>
                <w:lang w:bidi="ar"/>
              </w:rPr>
            </w:pPr>
            <w:r>
              <w:rPr>
                <w:rFonts w:hint="default" w:ascii="Times New Roman" w:hAnsi="Times New Roman" w:eastAsia="仿宋_GB2312" w:cs="Times New Roman"/>
                <w:b w:val="0"/>
                <w:bCs w:val="0"/>
                <w:i w:val="0"/>
                <w:color w:val="000000"/>
                <w:kern w:val="0"/>
                <w:sz w:val="24"/>
                <w:szCs w:val="24"/>
                <w:u w:val="none"/>
                <w:lang w:val="en-US" w:eastAsia="zh-CN" w:bidi="ar"/>
              </w:rPr>
              <w:t>一次性耗材价格</w:t>
            </w:r>
          </w:p>
        </w:tc>
        <w:tc>
          <w:tcPr>
            <w:tcW w:w="1311" w:type="dxa"/>
            <w:vMerge w:val="restart"/>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符合列入特需服务的项目</w:t>
            </w:r>
          </w:p>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类别A/B/C/D</w:t>
            </w:r>
          </w:p>
          <w:p>
            <w:pPr>
              <w:pStyle w:val="2"/>
              <w:spacing w:line="240" w:lineRule="exact"/>
              <w:rPr>
                <w:rFonts w:hint="default"/>
              </w:rPr>
            </w:pPr>
            <w:r>
              <w:rPr>
                <w:rFonts w:hint="eastAsia" w:ascii="Times New Roman" w:hAnsi="Times New Roman" w:eastAsia="仿宋_GB2312" w:cs="Times New Roman"/>
                <w:i w:val="0"/>
                <w:color w:val="000000"/>
                <w:kern w:val="0"/>
                <w:sz w:val="24"/>
                <w:szCs w:val="24"/>
                <w:u w:val="none"/>
                <w:lang w:val="en-US" w:eastAsia="zh-CN" w:bidi="ar"/>
              </w:rPr>
              <w:t>（可多选）</w:t>
            </w:r>
          </w:p>
        </w:tc>
        <w:tc>
          <w:tcPr>
            <w:tcW w:w="86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服务例数（仅在年度统计时填报）</w:t>
            </w:r>
          </w:p>
        </w:tc>
        <w:tc>
          <w:tcPr>
            <w:tcW w:w="100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val="en-US" w:eastAsia="zh-CN" w:bidi="ar"/>
              </w:rPr>
            </w:pPr>
            <w:r>
              <w:rPr>
                <w:rFonts w:hint="default" w:ascii="Times New Roman" w:hAnsi="Times New Roman" w:eastAsia="仿宋_GB2312" w:cs="Times New Roman"/>
                <w:i w:val="0"/>
                <w:color w:val="000000"/>
                <w:kern w:val="0"/>
                <w:sz w:val="24"/>
                <w:szCs w:val="24"/>
                <w:u w:val="none"/>
                <w:lang w:val="en-US" w:eastAsia="zh-CN" w:bidi="ar"/>
              </w:rPr>
              <w:t>收入（仅在年度统计时</w:t>
            </w:r>
          </w:p>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填报）</w:t>
            </w:r>
          </w:p>
        </w:tc>
        <w:tc>
          <w:tcPr>
            <w:tcW w:w="145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both"/>
              <w:textAlignment w:val="center"/>
              <w:rPr>
                <w:rFonts w:hint="default" w:ascii="Times New Roman" w:hAnsi="Times New Roman" w:eastAsia="仿宋_GB2312" w:cs="Times New Roman"/>
                <w:i w:val="0"/>
                <w:color w:val="000000"/>
                <w:kern w:val="0"/>
                <w:sz w:val="24"/>
                <w:szCs w:val="24"/>
                <w:u w:val="none"/>
                <w:lang w:bidi="ar"/>
              </w:rPr>
            </w:pPr>
            <w:r>
              <w:rPr>
                <w:rFonts w:hint="default" w:ascii="Times New Roman" w:hAnsi="Times New Roman" w:eastAsia="仿宋_GB2312" w:cs="Times New Roman"/>
                <w:i w:val="0"/>
                <w:color w:val="000000"/>
                <w:kern w:val="0"/>
                <w:sz w:val="24"/>
                <w:szCs w:val="24"/>
                <w:u w:val="none"/>
                <w:lang w:val="en-US" w:eastAsia="zh-CN" w:bidi="ar"/>
              </w:rPr>
              <w:t>备注（明确拓展的特需服务内容）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713"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62"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87"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63"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75"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738"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4"/>
                <w:szCs w:val="24"/>
                <w:u w:val="none"/>
              </w:rPr>
            </w:pPr>
          </w:p>
        </w:tc>
        <w:tc>
          <w:tcPr>
            <w:tcW w:w="958"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2"/>
                <w:szCs w:val="22"/>
                <w:u w:val="none"/>
              </w:rPr>
            </w:pPr>
          </w:p>
        </w:tc>
        <w:tc>
          <w:tcPr>
            <w:tcW w:w="769"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rPr>
                <w:rFonts w:hint="default" w:ascii="Times New Roman" w:hAnsi="Times New Roman" w:eastAsia="宋体" w:cs="Times New Roman"/>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国家医保医用耗材编码</w:t>
            </w:r>
          </w:p>
        </w:tc>
        <w:tc>
          <w:tcPr>
            <w:tcW w:w="497"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color w:val="000000"/>
                <w:sz w:val="22"/>
                <w:szCs w:val="22"/>
                <w:u w:val="none"/>
              </w:rPr>
            </w:pPr>
            <w:r>
              <w:rPr>
                <w:rFonts w:hint="eastAsia" w:eastAsia="仿宋_GB2312" w:cs="Times New Roman"/>
                <w:i w:val="0"/>
                <w:color w:val="000000"/>
                <w:kern w:val="0"/>
                <w:sz w:val="22"/>
                <w:szCs w:val="22"/>
                <w:u w:val="none"/>
                <w:lang w:val="en-US" w:eastAsia="zh-CN" w:bidi="ar"/>
              </w:rPr>
              <w:t>一次性</w:t>
            </w:r>
            <w:r>
              <w:rPr>
                <w:rFonts w:hint="default" w:ascii="Times New Roman" w:hAnsi="Times New Roman" w:eastAsia="仿宋_GB2312" w:cs="Times New Roman"/>
                <w:i w:val="0"/>
                <w:color w:val="000000"/>
                <w:kern w:val="0"/>
                <w:sz w:val="22"/>
                <w:szCs w:val="22"/>
                <w:u w:val="none"/>
                <w:lang w:val="en-US" w:eastAsia="zh-CN" w:bidi="ar"/>
              </w:rPr>
              <w:t>耗材名称</w:t>
            </w:r>
          </w:p>
        </w:tc>
        <w:tc>
          <w:tcPr>
            <w:tcW w:w="850"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生产企业名称</w:t>
            </w:r>
          </w:p>
        </w:tc>
        <w:tc>
          <w:tcPr>
            <w:tcW w:w="567"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widowControl/>
              <w:suppressLineNumbers w:val="0"/>
              <w:spacing w:before="0" w:beforeAutospacing="0" w:after="0" w:afterAutospacing="0" w:line="240" w:lineRule="exact"/>
              <w:ind w:left="0" w:right="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价格</w:t>
            </w:r>
          </w:p>
        </w:tc>
        <w:tc>
          <w:tcPr>
            <w:tcW w:w="1311" w:type="dxa"/>
            <w:vMerge w:val="continue"/>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86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00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45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713" w:type="dxa"/>
            <w:tcBorders>
              <w:top w:val="nil"/>
              <w:left w:val="single" w:color="000000" w:sz="4" w:space="0"/>
              <w:bottom w:val="single" w:color="auto"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2" w:type="dxa"/>
            <w:tcBorders>
              <w:top w:val="nil"/>
              <w:left w:val="single" w:color="000000" w:sz="4" w:space="0"/>
              <w:bottom w:val="single" w:color="auto"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87" w:type="dxa"/>
            <w:tcBorders>
              <w:top w:val="nil"/>
              <w:left w:val="single" w:color="000000" w:sz="4" w:space="0"/>
              <w:bottom w:val="single" w:color="auto"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3" w:type="dxa"/>
            <w:tcBorders>
              <w:top w:val="nil"/>
              <w:left w:val="single" w:color="000000" w:sz="4" w:space="0"/>
              <w:bottom w:val="single" w:color="auto"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00" w:type="dxa"/>
            <w:tcBorders>
              <w:top w:val="nil"/>
              <w:left w:val="single" w:color="000000" w:sz="4" w:space="0"/>
              <w:bottom w:val="single" w:color="auto"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75" w:type="dxa"/>
            <w:tcBorders>
              <w:top w:val="nil"/>
              <w:left w:val="single" w:color="000000" w:sz="4" w:space="0"/>
              <w:bottom w:val="single" w:color="auto"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38" w:type="dxa"/>
            <w:tcBorders>
              <w:top w:val="nil"/>
              <w:left w:val="single" w:color="000000" w:sz="4" w:space="0"/>
              <w:bottom w:val="single" w:color="auto"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958" w:type="dxa"/>
            <w:tcBorders>
              <w:top w:val="single" w:color="000000" w:sz="4" w:space="0"/>
              <w:left w:val="single" w:color="000000" w:sz="4" w:space="0"/>
              <w:bottom w:val="single" w:color="auto"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713" w:type="dxa"/>
            <w:tcBorders>
              <w:top w:val="single" w:color="auto"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2" w:type="dxa"/>
            <w:tcBorders>
              <w:top w:val="single" w:color="auto"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87" w:type="dxa"/>
            <w:tcBorders>
              <w:top w:val="single" w:color="auto"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3" w:type="dxa"/>
            <w:tcBorders>
              <w:top w:val="single" w:color="auto"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00" w:type="dxa"/>
            <w:tcBorders>
              <w:top w:val="single" w:color="auto"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75" w:type="dxa"/>
            <w:tcBorders>
              <w:top w:val="single" w:color="auto"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38" w:type="dxa"/>
            <w:tcBorders>
              <w:top w:val="single" w:color="auto"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958" w:type="dxa"/>
            <w:tcBorders>
              <w:top w:val="single" w:color="auto"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2"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8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63"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738"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4"/>
                <w:szCs w:val="24"/>
                <w:u w:val="none"/>
              </w:rPr>
            </w:pPr>
          </w:p>
        </w:tc>
        <w:tc>
          <w:tcPr>
            <w:tcW w:w="958"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769" w:type="dxa"/>
            <w:tcBorders>
              <w:top w:val="single" w:color="000000" w:sz="4" w:space="0"/>
              <w:left w:val="single" w:color="000000" w:sz="4" w:space="0"/>
              <w:bottom w:val="single" w:color="000000" w:sz="4" w:space="0"/>
              <w:right w:val="single" w:color="000000" w:sz="4" w:space="0"/>
            </w:tcBorders>
            <w:shd w:val="clear" w:color="auto" w:fill="E7E6E6"/>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713"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567"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color w:val="000000"/>
                <w:sz w:val="22"/>
                <w:szCs w:val="22"/>
                <w:u w:val="none"/>
              </w:rPr>
            </w:pPr>
          </w:p>
        </w:tc>
        <w:tc>
          <w:tcPr>
            <w:tcW w:w="1311" w:type="dxa"/>
            <w:tcBorders>
              <w:top w:val="single" w:color="000000" w:sz="4" w:space="0"/>
              <w:left w:val="single" w:color="000000" w:sz="4" w:space="0"/>
              <w:bottom w:val="single" w:color="000000" w:sz="4" w:space="0"/>
              <w:right w:val="single" w:color="000000" w:sz="4" w:space="0"/>
            </w:tcBorders>
            <w:shd w:val="clear" w:color="auto" w:fill="E7E6E6"/>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0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14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tc>
        <w:tc>
          <w:tcPr>
            <w:tcW w:w="762" w:type="dxa"/>
            <w:tcBorders>
              <w:top w:val="single" w:color="000000" w:sz="4" w:space="0"/>
              <w:left w:val="single" w:color="000000" w:sz="4" w:space="0"/>
              <w:bottom w:val="single" w:color="000000" w:sz="4" w:space="0"/>
              <w:right w:val="single" w:color="000000" w:sz="4" w:space="0"/>
            </w:tcBorders>
            <w:noWrap/>
            <w:vAlign w:val="center"/>
          </w:tcPr>
          <w:p/>
        </w:tc>
        <w:tc>
          <w:tcPr>
            <w:tcW w:w="787" w:type="dxa"/>
            <w:tcBorders>
              <w:top w:val="single" w:color="000000" w:sz="4" w:space="0"/>
              <w:left w:val="single" w:color="000000" w:sz="4" w:space="0"/>
              <w:bottom w:val="single" w:color="000000" w:sz="4" w:space="0"/>
              <w:right w:val="single" w:color="000000" w:sz="4" w:space="0"/>
            </w:tcBorders>
            <w:noWrap/>
            <w:vAlign w:val="center"/>
          </w:tcPr>
          <w:p/>
        </w:tc>
        <w:tc>
          <w:tcPr>
            <w:tcW w:w="763" w:type="dxa"/>
            <w:tcBorders>
              <w:top w:val="single" w:color="000000" w:sz="4" w:space="0"/>
              <w:left w:val="single" w:color="000000" w:sz="4" w:space="0"/>
              <w:bottom w:val="single" w:color="000000" w:sz="4" w:space="0"/>
              <w:right w:val="single" w:color="000000" w:sz="4" w:space="0"/>
            </w:tcBorders>
            <w:noWrap/>
            <w:vAlign w:val="center"/>
          </w:tcPr>
          <w:p/>
        </w:tc>
        <w:tc>
          <w:tcPr>
            <w:tcW w:w="700" w:type="dxa"/>
            <w:tcBorders>
              <w:top w:val="single" w:color="000000" w:sz="4" w:space="0"/>
              <w:left w:val="single" w:color="000000" w:sz="4" w:space="0"/>
              <w:bottom w:val="single" w:color="000000" w:sz="4" w:space="0"/>
              <w:right w:val="single" w:color="000000" w:sz="4" w:space="0"/>
            </w:tcBorders>
            <w:noWrap/>
            <w:vAlign w:val="center"/>
          </w:tcPr>
          <w:p/>
        </w:tc>
        <w:tc>
          <w:tcPr>
            <w:tcW w:w="775" w:type="dxa"/>
            <w:tcBorders>
              <w:top w:val="single" w:color="000000" w:sz="4" w:space="0"/>
              <w:left w:val="single" w:color="000000" w:sz="4" w:space="0"/>
              <w:bottom w:val="single" w:color="000000" w:sz="4" w:space="0"/>
              <w:right w:val="single" w:color="000000" w:sz="4" w:space="0"/>
            </w:tcBorders>
            <w:noWrap/>
            <w:vAlign w:val="center"/>
          </w:tcPr>
          <w:p/>
        </w:tc>
        <w:tc>
          <w:tcPr>
            <w:tcW w:w="738" w:type="dxa"/>
            <w:tcBorders>
              <w:top w:val="single" w:color="000000" w:sz="4" w:space="0"/>
              <w:left w:val="single" w:color="000000" w:sz="4" w:space="0"/>
              <w:bottom w:val="single" w:color="000000" w:sz="4" w:space="0"/>
              <w:right w:val="single" w:color="000000" w:sz="4" w:space="0"/>
            </w:tcBorders>
            <w:noWrap/>
            <w:vAlign w:val="center"/>
          </w:tcPr>
          <w:p/>
        </w:tc>
        <w:tc>
          <w:tcPr>
            <w:tcW w:w="958" w:type="dxa"/>
            <w:tcBorders>
              <w:top w:val="single" w:color="000000" w:sz="4" w:space="0"/>
              <w:left w:val="single" w:color="000000" w:sz="4" w:space="0"/>
              <w:bottom w:val="single" w:color="000000" w:sz="4" w:space="0"/>
              <w:right w:val="single" w:color="000000" w:sz="4" w:space="0"/>
            </w:tcBorders>
            <w:noWrap/>
            <w:vAlign w:val="center"/>
          </w:tcPr>
          <w:p/>
        </w:tc>
        <w:tc>
          <w:tcPr>
            <w:tcW w:w="769" w:type="dxa"/>
            <w:tcBorders>
              <w:top w:val="single" w:color="000000" w:sz="4" w:space="0"/>
              <w:left w:val="single" w:color="000000" w:sz="4" w:space="0"/>
              <w:bottom w:val="single" w:color="000000" w:sz="4" w:space="0"/>
              <w:right w:val="single" w:color="000000" w:sz="4" w:space="0"/>
            </w:tcBorders>
            <w:noWrap/>
            <w:vAlign w:val="center"/>
          </w:tcPr>
          <w:p/>
        </w:tc>
        <w:tc>
          <w:tcPr>
            <w:tcW w:w="713" w:type="dxa"/>
            <w:tcBorders>
              <w:top w:val="single" w:color="000000" w:sz="4" w:space="0"/>
              <w:left w:val="single" w:color="000000" w:sz="4" w:space="0"/>
              <w:bottom w:val="single" w:color="000000" w:sz="4" w:space="0"/>
              <w:right w:val="single" w:color="000000" w:sz="4" w:space="0"/>
            </w:tcBorders>
            <w:noWrap/>
            <w:vAlign w:val="center"/>
          </w:tcPr>
          <w:p/>
        </w:tc>
        <w:tc>
          <w:tcPr>
            <w:tcW w:w="497" w:type="dxa"/>
            <w:tcBorders>
              <w:top w:val="single" w:color="000000" w:sz="4" w:space="0"/>
              <w:left w:val="single" w:color="000000" w:sz="4" w:space="0"/>
              <w:bottom w:val="single" w:color="000000" w:sz="4" w:space="0"/>
              <w:right w:val="single" w:color="000000" w:sz="4" w:space="0"/>
            </w:tcBorders>
            <w:noWrap/>
            <w:vAlign w:val="center"/>
          </w:tcPr>
          <w:p/>
        </w:tc>
        <w:tc>
          <w:tcPr>
            <w:tcW w:w="850" w:type="dxa"/>
            <w:tcBorders>
              <w:top w:val="single" w:color="000000" w:sz="4" w:space="0"/>
              <w:left w:val="single" w:color="000000" w:sz="4" w:space="0"/>
              <w:bottom w:val="single" w:color="000000" w:sz="4" w:space="0"/>
              <w:right w:val="single" w:color="000000" w:sz="4" w:space="0"/>
            </w:tcBorders>
            <w:noWrap/>
            <w:vAlign w:val="center"/>
          </w:tcPr>
          <w:p/>
        </w:tc>
        <w:tc>
          <w:tcPr>
            <w:tcW w:w="567" w:type="dxa"/>
            <w:tcBorders>
              <w:top w:val="single" w:color="000000" w:sz="4" w:space="0"/>
              <w:left w:val="single" w:color="000000" w:sz="4" w:space="0"/>
              <w:bottom w:val="single" w:color="000000" w:sz="4" w:space="0"/>
              <w:right w:val="single" w:color="000000" w:sz="4" w:space="0"/>
            </w:tcBorders>
            <w:noWrap/>
            <w:vAlign w:val="center"/>
          </w:tcPr>
          <w:p/>
        </w:tc>
        <w:tc>
          <w:tcPr>
            <w:tcW w:w="1311" w:type="dxa"/>
            <w:tcBorders>
              <w:top w:val="single" w:color="000000" w:sz="4" w:space="0"/>
              <w:left w:val="single" w:color="000000" w:sz="4" w:space="0"/>
              <w:bottom w:val="single" w:color="000000" w:sz="4" w:space="0"/>
              <w:right w:val="single" w:color="000000" w:sz="4" w:space="0"/>
            </w:tcBorders>
            <w:noWrap/>
            <w:vAlign w:val="center"/>
          </w:tcPr>
          <w:p/>
        </w:tc>
        <w:tc>
          <w:tcPr>
            <w:tcW w:w="860" w:type="dxa"/>
            <w:tcBorders>
              <w:top w:val="single" w:color="000000" w:sz="4" w:space="0"/>
              <w:left w:val="single" w:color="000000" w:sz="4" w:space="0"/>
              <w:bottom w:val="single" w:color="000000" w:sz="4" w:space="0"/>
              <w:right w:val="single" w:color="000000" w:sz="4" w:space="0"/>
            </w:tcBorders>
            <w:noWrap/>
            <w:vAlign w:val="center"/>
          </w:tcPr>
          <w:p/>
        </w:tc>
        <w:tc>
          <w:tcPr>
            <w:tcW w:w="1000" w:type="dxa"/>
            <w:tcBorders>
              <w:top w:val="single" w:color="000000" w:sz="4" w:space="0"/>
              <w:left w:val="single" w:color="000000" w:sz="4" w:space="0"/>
              <w:bottom w:val="single" w:color="000000" w:sz="4" w:space="0"/>
              <w:right w:val="single" w:color="000000" w:sz="4" w:space="0"/>
            </w:tcBorders>
            <w:noWrap/>
            <w:vAlign w:val="center"/>
          </w:tcPr>
          <w:p/>
        </w:tc>
        <w:tc>
          <w:tcPr>
            <w:tcW w:w="1450" w:type="dxa"/>
            <w:tcBorders>
              <w:top w:val="single" w:color="000000" w:sz="4" w:space="0"/>
              <w:left w:val="single" w:color="000000" w:sz="4" w:space="0"/>
              <w:bottom w:val="single" w:color="000000" w:sz="4" w:space="0"/>
              <w:right w:val="single" w:color="000000" w:sz="4" w:space="0"/>
            </w:tcBorders>
            <w:noWrap/>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4"/>
                <w:szCs w:val="24"/>
                <w:u w:val="none"/>
              </w:rPr>
            </w:pPr>
          </w:p>
        </w:tc>
        <w:tc>
          <w:tcPr>
            <w:tcW w:w="8879"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特需医疗服务收入占医疗机构年度医疗收入比例（%）</w:t>
            </w:r>
          </w:p>
        </w:tc>
        <w:tc>
          <w:tcPr>
            <w:tcW w:w="3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仅在年度统计时填报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4"/>
                <w:szCs w:val="24"/>
                <w:u w:val="none"/>
              </w:rPr>
            </w:pPr>
          </w:p>
        </w:tc>
        <w:tc>
          <w:tcPr>
            <w:tcW w:w="8879"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实行市场调节价的项目（含特需服务项目和试行期内新增项目）占医疗机构年度医疗收入比例（%）</w:t>
            </w:r>
          </w:p>
        </w:tc>
        <w:tc>
          <w:tcPr>
            <w:tcW w:w="3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仅在年度统计时填报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8879" w:type="dxa"/>
            <w:gridSpan w:val="1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特需服务项目占医疗机构年度</w:t>
            </w:r>
            <w:r>
              <w:rPr>
                <w:rFonts w:hint="eastAsia" w:eastAsia="仿宋_GB2312" w:cs="Times New Roman"/>
                <w:i w:val="0"/>
                <w:color w:val="000000"/>
                <w:kern w:val="0"/>
                <w:sz w:val="24"/>
                <w:szCs w:val="24"/>
                <w:u w:val="none"/>
                <w:lang w:val="en-US" w:eastAsia="zh-CN" w:bidi="ar"/>
              </w:rPr>
              <w:t>已</w:t>
            </w:r>
            <w:r>
              <w:rPr>
                <w:rFonts w:hint="default" w:ascii="Times New Roman" w:hAnsi="Times New Roman" w:eastAsia="仿宋_GB2312" w:cs="Times New Roman"/>
                <w:i w:val="0"/>
                <w:color w:val="000000"/>
                <w:kern w:val="0"/>
                <w:sz w:val="24"/>
                <w:szCs w:val="24"/>
                <w:u w:val="none"/>
                <w:lang w:val="en-US" w:eastAsia="zh-CN" w:bidi="ar"/>
              </w:rPr>
              <w:t>开展的医疗服务价格项目比例（%）</w:t>
            </w:r>
          </w:p>
        </w:tc>
        <w:tc>
          <w:tcPr>
            <w:tcW w:w="3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仅在年度统计时填报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6"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8879"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实行市场调节价的项目（含特需服务项目和试行期内新增项目）占医疗机构年度</w:t>
            </w:r>
            <w:r>
              <w:rPr>
                <w:rFonts w:hint="eastAsia" w:eastAsia="仿宋_GB2312" w:cs="Times New Roman"/>
                <w:i w:val="0"/>
                <w:color w:val="000000"/>
                <w:kern w:val="0"/>
                <w:sz w:val="24"/>
                <w:szCs w:val="24"/>
                <w:u w:val="none"/>
                <w:lang w:val="en-US" w:eastAsia="zh-CN" w:bidi="ar"/>
              </w:rPr>
              <w:t>已</w:t>
            </w:r>
            <w:r>
              <w:rPr>
                <w:rFonts w:hint="default" w:ascii="Times New Roman" w:hAnsi="Times New Roman" w:eastAsia="仿宋_GB2312" w:cs="Times New Roman"/>
                <w:i w:val="0"/>
                <w:color w:val="000000"/>
                <w:kern w:val="0"/>
                <w:sz w:val="24"/>
                <w:szCs w:val="24"/>
                <w:u w:val="none"/>
                <w:lang w:val="en-US" w:eastAsia="zh-CN" w:bidi="ar"/>
              </w:rPr>
              <w:t>开展的医疗服务价格项目总数量比例（%）</w:t>
            </w:r>
          </w:p>
        </w:tc>
        <w:tc>
          <w:tcPr>
            <w:tcW w:w="3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仅在年度统计时填报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i w:val="0"/>
                <w:color w:val="000000"/>
                <w:sz w:val="22"/>
                <w:szCs w:val="22"/>
                <w:u w:val="none"/>
              </w:rPr>
            </w:pPr>
          </w:p>
        </w:tc>
        <w:tc>
          <w:tcPr>
            <w:tcW w:w="8879"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上年度已开展的基本医疗服务项目数量及服务量</w:t>
            </w:r>
          </w:p>
        </w:tc>
        <w:tc>
          <w:tcPr>
            <w:tcW w:w="3171"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i w:val="0"/>
                <w:color w:val="000000"/>
                <w:sz w:val="24"/>
                <w:szCs w:val="24"/>
                <w:u w:val="none"/>
              </w:rPr>
            </w:pPr>
          </w:p>
        </w:tc>
        <w:tc>
          <w:tcPr>
            <w:tcW w:w="14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line="240" w:lineRule="exact"/>
              <w:ind w:left="0" w:right="0"/>
              <w:jc w:val="left"/>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仅在年度统计时填报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4213" w:type="dxa"/>
            <w:gridSpan w:val="17"/>
            <w:tcBorders>
              <w:top w:val="nil"/>
              <w:left w:val="nil"/>
              <w:bottom w:val="nil"/>
              <w:right w:val="nil"/>
            </w:tcBorders>
            <w:noWrap w:val="0"/>
            <w:vAlign w:val="center"/>
          </w:tcPr>
          <w:p>
            <w:pPr>
              <w:keepNext w:val="0"/>
              <w:keepLines w:val="0"/>
              <w:widowControl/>
              <w:suppressLineNumbers w:val="0"/>
              <w:spacing w:before="0" w:beforeAutospacing="0" w:after="0" w:afterAutospacing="0" w:line="400" w:lineRule="exact"/>
              <w:ind w:left="0" w:right="0" w:firstLine="480" w:firstLineChars="200"/>
              <w:jc w:val="left"/>
              <w:textAlignment w:val="center"/>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 xml:space="preserve">注：1.此表作为医疗机构申报备案和报送年度情况时使用，一式两份，医疗保障部门和医疗机构分别存档。其中，备案事项如有调整的（一次性耗材部分有变动的除外），医疗机构应重新备案。                                                               </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eastAsia"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2.</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项目内涵</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应包括基本医疗服务的内涵、除外内容，</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备注</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中明确拓展的特需服务内容，实施一口价；</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eastAsia"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3.项目总价格的价格构成包括技术劳务服务和一次性耗材。其中：技术劳务服务价格</w:t>
            </w:r>
            <w:r>
              <w:rPr>
                <w:rFonts w:hint="eastAsia" w:eastAsia="仿宋_GB2312" w:cs="Times New Roman"/>
                <w:i w:val="0"/>
                <w:color w:val="000000"/>
                <w:kern w:val="0"/>
                <w:sz w:val="24"/>
                <w:szCs w:val="24"/>
                <w:u w:val="none"/>
                <w:lang w:val="en-US" w:eastAsia="zh-CN" w:bidi="ar"/>
              </w:rPr>
              <w:t>包含</w:t>
            </w:r>
            <w:r>
              <w:rPr>
                <w:rFonts w:hint="default" w:ascii="Times New Roman" w:hAnsi="Times New Roman" w:eastAsia="仿宋_GB2312" w:cs="Times New Roman"/>
                <w:i w:val="0"/>
                <w:color w:val="000000"/>
                <w:kern w:val="0"/>
                <w:sz w:val="24"/>
                <w:szCs w:val="24"/>
                <w:u w:val="none"/>
                <w:lang w:val="en-US" w:eastAsia="zh-CN" w:bidi="ar"/>
              </w:rPr>
              <w:t>医护人员劳务服务费用</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分摊费用和基本物耗；</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一次性耗材</w:t>
            </w:r>
            <w:r>
              <w:rPr>
                <w:rFonts w:hint="eastAsia" w:eastAsia="仿宋_GB2312" w:cs="Times New Roman"/>
                <w:i w:val="0"/>
                <w:color w:val="000000"/>
                <w:kern w:val="0"/>
                <w:sz w:val="24"/>
                <w:szCs w:val="24"/>
                <w:u w:val="none"/>
                <w:lang w:val="en-US" w:eastAsia="zh-CN" w:bidi="ar"/>
              </w:rPr>
              <w:t>价格”</w:t>
            </w:r>
            <w:r>
              <w:rPr>
                <w:rFonts w:hint="default" w:ascii="Times New Roman" w:hAnsi="Times New Roman" w:eastAsia="仿宋_GB2312" w:cs="Times New Roman"/>
                <w:i w:val="0"/>
                <w:color w:val="000000"/>
                <w:kern w:val="0"/>
                <w:sz w:val="24"/>
                <w:szCs w:val="24"/>
                <w:u w:val="none"/>
                <w:lang w:val="en-US" w:eastAsia="zh-CN" w:bidi="ar"/>
              </w:rPr>
              <w:t xml:space="preserve">是指诊疗过程中患者需要使用的主要一次性耗材，价格可以为价格区间，不包括基本物耗。同一特需项目医疗机构可根据不同技术或耗材制定不同档次的一口价，供患者选择。                                                                                                                                           </w:t>
            </w:r>
            <w:r>
              <w:rPr>
                <w:rFonts w:hint="default" w:ascii="Times New Roman" w:hAnsi="Times New Roman" w:eastAsia="仿宋_GB2312" w:cs="Times New Roman"/>
                <w:i w:val="0"/>
                <w:color w:val="000000"/>
                <w:kern w:val="0"/>
                <w:sz w:val="24"/>
                <w:szCs w:val="24"/>
                <w:u w:val="none"/>
                <w:lang w:val="en-US" w:eastAsia="zh-CN" w:bidi="ar"/>
              </w:rPr>
              <w:br w:type="textWrapping"/>
            </w:r>
            <w:r>
              <w:rPr>
                <w:rFonts w:hint="default" w:ascii="Times New Roman" w:hAnsi="Times New Roman" w:eastAsia="仿宋_GB2312" w:cs="Times New Roman"/>
                <w:i w:val="0"/>
                <w:color w:val="000000"/>
                <w:kern w:val="0"/>
                <w:sz w:val="24"/>
                <w:szCs w:val="24"/>
                <w:u w:val="none"/>
                <w:lang w:val="en-US" w:eastAsia="zh-CN" w:bidi="ar"/>
              </w:rPr>
              <w:t xml:space="preserve">      </w:t>
            </w:r>
            <w:r>
              <w:rPr>
                <w:rFonts w:hint="eastAsia" w:eastAsia="仿宋_GB2312" w:cs="Times New Roman"/>
                <w:i w:val="0"/>
                <w:color w:val="000000"/>
                <w:kern w:val="0"/>
                <w:sz w:val="24"/>
                <w:szCs w:val="24"/>
                <w:u w:val="none"/>
                <w:lang w:val="en-US" w:eastAsia="zh-CN" w:bidi="ar"/>
              </w:rPr>
              <w:t xml:space="preserve">  </w:t>
            </w:r>
            <w:r>
              <w:rPr>
                <w:rFonts w:hint="default" w:ascii="Times New Roman" w:hAnsi="Times New Roman" w:eastAsia="仿宋_GB2312" w:cs="Times New Roman"/>
                <w:i w:val="0"/>
                <w:color w:val="000000"/>
                <w:kern w:val="0"/>
                <w:sz w:val="24"/>
                <w:szCs w:val="24"/>
                <w:u w:val="none"/>
                <w:lang w:val="en-US" w:eastAsia="zh-CN" w:bidi="ar"/>
              </w:rPr>
              <w:t>4.</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符合列入特需服务的项目类别</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指：A.我省现行基本医疗服务价格项目目录中属于</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一般医疗服务</w:t>
            </w:r>
            <w:r>
              <w:rPr>
                <w:rFonts w:hint="eastAsia" w:eastAsia="仿宋_GB2312" w:cs="Times New Roman"/>
                <w:i w:val="0"/>
                <w:color w:val="000000"/>
                <w:kern w:val="0"/>
                <w:sz w:val="24"/>
                <w:szCs w:val="24"/>
                <w:u w:val="none"/>
                <w:lang w:val="en-US" w:eastAsia="zh-CN" w:bidi="ar"/>
              </w:rPr>
              <w:t>”</w:t>
            </w:r>
            <w:r>
              <w:rPr>
                <w:rFonts w:hint="default" w:ascii="Times New Roman" w:hAnsi="Times New Roman" w:eastAsia="仿宋_GB2312" w:cs="Times New Roman"/>
                <w:i w:val="0"/>
                <w:color w:val="000000"/>
                <w:kern w:val="0"/>
                <w:sz w:val="24"/>
                <w:szCs w:val="24"/>
                <w:u w:val="none"/>
                <w:lang w:val="en-US" w:eastAsia="zh-CN" w:bidi="ar"/>
              </w:rPr>
              <w:t xml:space="preserve">项目；B.属于市级以上临床重点专科的项目；C.以非疾病治疗为目的的项目；D.现行价格构成中技术劳务占比未达60%的项目。表格填写类别的对应字母。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2262" w:type="dxa"/>
            <w:gridSpan w:val="3"/>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80" w:firstLineChars="200"/>
              <w:jc w:val="left"/>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填报人：</w:t>
            </w:r>
          </w:p>
        </w:tc>
        <w:tc>
          <w:tcPr>
            <w:tcW w:w="2976" w:type="dxa"/>
            <w:gridSpan w:val="4"/>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80" w:firstLineChars="200"/>
              <w:jc w:val="left"/>
              <w:rPr>
                <w:rFonts w:hint="default" w:ascii="Times New Roman" w:hAnsi="Times New Roman" w:eastAsia="仿宋_GB2312" w:cs="Times New Roman"/>
                <w:i w:val="0"/>
                <w:color w:val="000000"/>
                <w:sz w:val="24"/>
                <w:szCs w:val="24"/>
                <w:u w:val="none"/>
              </w:rPr>
            </w:pPr>
            <w:r>
              <w:rPr>
                <w:rFonts w:hint="default" w:ascii="Times New Roman" w:hAnsi="Times New Roman" w:eastAsia="仿宋_GB2312" w:cs="Times New Roman"/>
                <w:i w:val="0"/>
                <w:color w:val="000000"/>
                <w:kern w:val="0"/>
                <w:sz w:val="24"/>
                <w:szCs w:val="24"/>
                <w:u w:val="none"/>
                <w:lang w:val="en-US" w:eastAsia="zh-CN" w:bidi="ar"/>
              </w:rPr>
              <w:t>填报日期：</w:t>
            </w:r>
          </w:p>
        </w:tc>
        <w:tc>
          <w:tcPr>
            <w:tcW w:w="2937" w:type="dxa"/>
            <w:gridSpan w:val="4"/>
            <w:tcBorders>
              <w:top w:val="nil"/>
              <w:left w:val="nil"/>
              <w:bottom w:val="nil"/>
              <w:right w:val="nil"/>
            </w:tcBorders>
            <w:noWrap w:val="0"/>
            <w:vAlign w:val="center"/>
          </w:tcPr>
          <w:p>
            <w:pPr>
              <w:keepNext w:val="0"/>
              <w:keepLines w:val="0"/>
              <w:suppressLineNumbers w:val="0"/>
              <w:spacing w:before="0" w:beforeAutospacing="0" w:after="0" w:afterAutospacing="0" w:line="400" w:lineRule="exact"/>
              <w:ind w:left="0" w:right="0" w:firstLine="480" w:firstLineChars="200"/>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4"/>
                <w:szCs w:val="24"/>
                <w:u w:val="none"/>
                <w:lang w:val="en-US" w:eastAsia="zh-CN" w:bidi="ar"/>
              </w:rPr>
              <w:t>联系方式：</w:t>
            </w:r>
          </w:p>
        </w:tc>
        <w:tc>
          <w:tcPr>
            <w:tcW w:w="850"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c>
          <w:tcPr>
            <w:tcW w:w="567"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c>
          <w:tcPr>
            <w:tcW w:w="1311"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c>
          <w:tcPr>
            <w:tcW w:w="860"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c>
          <w:tcPr>
            <w:tcW w:w="1000"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c>
          <w:tcPr>
            <w:tcW w:w="1450" w:type="dxa"/>
            <w:tcBorders>
              <w:top w:val="nil"/>
              <w:left w:val="nil"/>
              <w:bottom w:val="nil"/>
              <w:right w:val="nil"/>
            </w:tcBorders>
            <w:noWrap/>
            <w:vAlign w:val="center"/>
          </w:tcPr>
          <w:p>
            <w:pPr>
              <w:keepNext w:val="0"/>
              <w:keepLines w:val="0"/>
              <w:suppressLineNumbers w:val="0"/>
              <w:spacing w:before="0" w:beforeAutospacing="0" w:after="0" w:afterAutospacing="0" w:line="400" w:lineRule="exact"/>
              <w:ind w:left="0" w:right="0" w:firstLine="440" w:firstLineChars="200"/>
              <w:rPr>
                <w:rFonts w:hint="default" w:ascii="Times New Roman" w:hAnsi="Times New Roman" w:eastAsia="仿宋_GB2312" w:cs="Times New Roman"/>
                <w:i w:val="0"/>
                <w:color w:val="000000"/>
                <w:sz w:val="22"/>
                <w:szCs w:val="22"/>
                <w:u w:val="none"/>
              </w:rPr>
            </w:pP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12"/>
                    </w:pPr>
                    <w:r>
                      <w:t>—</w:t>
                    </w: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9261E6"/>
    <w:multiLevelType w:val="multilevel"/>
    <w:tmpl w:val="2B9261E6"/>
    <w:lvl w:ilvl="0" w:tentative="0">
      <w:start w:val="1"/>
      <w:numFmt w:val="decimal"/>
      <w:pStyle w:val="3"/>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F1744"/>
    <w:rsid w:val="5D2F1744"/>
    <w:rsid w:val="644C1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beforeLines="0" w:beforeAutospacing="0" w:after="330" w:afterLines="0" w:afterAutospacing="0" w:line="576" w:lineRule="auto"/>
      <w:ind w:left="432" w:hanging="432"/>
      <w:outlineLvl w:val="0"/>
    </w:pPr>
    <w:rPr>
      <w:b/>
      <w:kern w:val="44"/>
      <w:sz w:val="44"/>
    </w:rPr>
  </w:style>
  <w:style w:type="paragraph" w:styleId="4">
    <w:name w:val="heading 2"/>
    <w:basedOn w:val="1"/>
    <w:next w:val="1"/>
    <w:link w:val="17"/>
    <w:semiHidden/>
    <w:unhideWhenUsed/>
    <w:qFormat/>
    <w:uiPriority w:val="0"/>
    <w:pPr>
      <w:keepNext/>
      <w:keepLines/>
      <w:numPr>
        <w:ilvl w:val="1"/>
        <w:numId w:val="1"/>
      </w:numPr>
      <w:spacing w:before="260" w:after="260" w:line="416" w:lineRule="auto"/>
      <w:outlineLvl w:val="1"/>
    </w:pPr>
    <w:rPr>
      <w:rFonts w:ascii="Arial" w:hAnsi="Arial" w:eastAsia="宋体" w:cs="Times New Roman"/>
      <w:b/>
      <w:bCs/>
      <w:sz w:val="28"/>
      <w:szCs w:val="32"/>
    </w:rPr>
  </w:style>
  <w:style w:type="paragraph" w:styleId="5">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left="720" w:hanging="720"/>
      <w:outlineLvl w:val="2"/>
    </w:pPr>
    <w:rPr>
      <w:b/>
      <w:sz w:val="32"/>
    </w:rPr>
  </w:style>
  <w:style w:type="paragraph" w:styleId="6">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left="864" w:hanging="864"/>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1" w:hanging="1151"/>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Default"/>
    <w:next w:val="1"/>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paragraph" w:styleId="12">
    <w:name w:val="footer"/>
    <w:basedOn w:val="1"/>
    <w:uiPriority w:val="0"/>
    <w:pPr>
      <w:tabs>
        <w:tab w:val="center" w:pos="4153"/>
        <w:tab w:val="right" w:pos="8306"/>
      </w:tabs>
      <w:snapToGrid w:val="0"/>
      <w:jc w:val="left"/>
    </w:pPr>
    <w:rPr>
      <w:sz w:val="18"/>
    </w:rPr>
  </w:style>
  <w:style w:type="paragraph" w:styleId="1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7">
    <w:name w:val="标题 2 Char"/>
    <w:basedOn w:val="16"/>
    <w:link w:val="4"/>
    <w:qFormat/>
    <w:uiPriority w:val="0"/>
    <w:rPr>
      <w:rFonts w:ascii="Arial" w:hAnsi="Arial" w:eastAsia="宋体" w:cs="Times New Roman"/>
      <w:b/>
      <w:bCs/>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2023-12-29T09:44:00Z</dcterms:created>
  <dc:creator>李华润（驻场）</dc:creator>
  <cp:lastModifiedBy>李华润（驻场）</cp:lastModifiedBy>
  <dcterms:modified xsi:type="dcterms:W3CDTF">2023-12-29T09:45:36Z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DD6003DBCEC04AD2BE189B21DD423418</vt:lpwstr>
  </property>
</Properties>
</file>