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utoSpaceDN w:val="0"/>
        <w:adjustRightInd/>
        <w:snapToGrid/>
        <w:spacing w:before="0" w:beforeAutospacing="0" w:after="0" w:afterAutospacing="0" w:line="580" w:lineRule="exact"/>
        <w:ind w:left="0" w:leftChars="0" w:right="0"/>
        <w:jc w:val="both"/>
        <w:textAlignment w:val="auto"/>
        <w:outlineLvl w:val="9"/>
        <w:rPr>
          <w:rFonts w:hint="eastAsia" w:ascii="方正小标宋简体" w:hAnsi="方正小标宋简体" w:eastAsia="方正小标宋简体" w:cs="方正小标宋简体"/>
          <w:sz w:val="44"/>
          <w:szCs w:val="44"/>
          <w:lang w:val="en-US" w:eastAsia="zh-CN"/>
        </w:rPr>
      </w:pPr>
      <w:bookmarkStart w:id="0" w:name="_GoBack"/>
      <w:bookmarkEnd w:id="0"/>
    </w:p>
    <w:p>
      <w:pPr>
        <w:widowControl w:val="0"/>
        <w:wordWrap/>
        <w:autoSpaceDN w:val="0"/>
        <w:adjustRightInd/>
        <w:snapToGrid/>
        <w:spacing w:before="0" w:beforeAutospacing="0" w:after="0" w:afterAutospacing="0" w:line="580" w:lineRule="exact"/>
        <w:ind w:left="0" w:leftChars="0" w:right="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广东省农村人居环境整治项目</w:t>
      </w:r>
    </w:p>
    <w:p>
      <w:pPr>
        <w:widowControl w:val="0"/>
        <w:wordWrap/>
        <w:autoSpaceDN w:val="0"/>
        <w:adjustRightInd/>
        <w:snapToGrid/>
        <w:spacing w:before="0" w:beforeAutospacing="0" w:after="0" w:afterAutospacing="0" w:line="580" w:lineRule="exact"/>
        <w:ind w:left="0" w:leftChars="0" w:right="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实施以工代赈工作指引</w:t>
      </w:r>
    </w:p>
    <w:p>
      <w:pPr>
        <w:widowControl w:val="0"/>
        <w:wordWrap/>
        <w:autoSpaceDN w:val="0"/>
        <w:adjustRightInd/>
        <w:snapToGrid/>
        <w:spacing w:before="0" w:beforeAutospacing="0" w:after="0" w:afterAutospacing="0" w:line="58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p>
    <w:p>
      <w:pPr>
        <w:widowControl w:val="0"/>
        <w:wordWrap/>
        <w:autoSpaceDN w:val="0"/>
        <w:adjustRightInd/>
        <w:snapToGrid/>
        <w:spacing w:before="0" w:beforeAutospacing="0" w:after="0" w:afterAutospacing="0" w:line="58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关于在农业农村基础设施建设领域积极推广以工代赈方式的意见》等文件精神，实现巩固拓展脱贫攻坚成果同乡村振兴有效衔接，建设生态宜居美丽乡村，结合工作实际，特制定广东省农村人居环境整治项目实施以工代赈工作指引。</w:t>
      </w:r>
    </w:p>
    <w:p>
      <w:pPr>
        <w:widowControl w:val="0"/>
        <w:numPr>
          <w:numId w:val="0"/>
        </w:numPr>
        <w:wordWrap/>
        <w:autoSpaceDN w:val="0"/>
        <w:adjustRightInd/>
        <w:snapToGrid/>
        <w:spacing w:before="0" w:beforeAutospacing="0" w:after="0" w:afterAutospacing="0" w:line="580" w:lineRule="exact"/>
        <w:ind w:left="0" w:leftChars="0" w:right="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一、项目储备</w:t>
      </w:r>
    </w:p>
    <w:p>
      <w:pPr>
        <w:widowControl w:val="0"/>
        <w:numPr>
          <w:numId w:val="0"/>
        </w:numPr>
        <w:wordWrap/>
        <w:autoSpaceDN w:val="0"/>
        <w:adjustRightInd/>
        <w:snapToGrid/>
        <w:spacing w:before="0" w:beforeAutospacing="0" w:after="0" w:afterAutospacing="0" w:line="580" w:lineRule="exact"/>
        <w:ind w:left="0" w:leftChars="0" w:right="0" w:firstLine="640" w:firstLineChars="200"/>
        <w:jc w:val="both"/>
        <w:textAlignment w:val="auto"/>
        <w:outlineLvl w:val="9"/>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各地统筹整合涉农资金，在实施</w:t>
      </w:r>
      <w:r>
        <w:rPr>
          <w:rFonts w:hint="eastAsia" w:ascii="仿宋_GB2312" w:hAnsi="仿宋_GB2312" w:eastAsia="仿宋_GB2312" w:cs="仿宋_GB2312"/>
          <w:sz w:val="32"/>
          <w:szCs w:val="32"/>
          <w:lang w:eastAsia="zh-CN"/>
        </w:rPr>
        <w:t>农村生活垃圾、污水治理设施建设，农村厕所粪污集中处理，农房管控和乡村风貌提升，以及后期长效管护、维护机制等</w:t>
      </w:r>
      <w:r>
        <w:rPr>
          <w:rFonts w:hint="eastAsia" w:ascii="仿宋_GB2312" w:hAnsi="仿宋_GB2312" w:eastAsia="仿宋_GB2312" w:cs="仿宋_GB2312"/>
          <w:sz w:val="32"/>
          <w:szCs w:val="32"/>
          <w:lang w:val="en-US" w:eastAsia="zh-CN"/>
        </w:rPr>
        <w:t>农村人居环境整治中，优先采用以工代赈方式。县级农业农村部门牵头，会同相关部门，做好农村人居环境整治领域实施以工代赈项目的谋划储备，储备项目</w:t>
      </w:r>
      <w:r>
        <w:rPr>
          <w:rFonts w:hint="eastAsia" w:ascii="Times New Roman" w:hAnsi="Times New Roman" w:eastAsia="仿宋_GB2312"/>
          <w:sz w:val="32"/>
          <w:szCs w:val="32"/>
          <w:lang w:val="en-US" w:eastAsia="zh-CN"/>
        </w:rPr>
        <w:t>在涉农资金项目库中增加“以工代赈”标识。</w:t>
      </w:r>
    </w:p>
    <w:p>
      <w:pPr>
        <w:widowControl w:val="0"/>
        <w:numPr>
          <w:numId w:val="0"/>
        </w:numPr>
        <w:wordWrap/>
        <w:autoSpaceDN w:val="0"/>
        <w:adjustRightInd/>
        <w:snapToGrid/>
        <w:spacing w:before="0" w:beforeAutospacing="0" w:after="0" w:afterAutospacing="0" w:line="580" w:lineRule="exact"/>
        <w:ind w:leftChars="200" w:right="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二、项目前期工作</w:t>
      </w:r>
    </w:p>
    <w:p>
      <w:pPr>
        <w:widowControl w:val="0"/>
        <w:numPr>
          <w:numId w:val="0"/>
        </w:numPr>
        <w:wordWrap/>
        <w:autoSpaceDN w:val="0"/>
        <w:adjustRightInd/>
        <w:snapToGrid/>
        <w:spacing w:before="0" w:beforeAutospacing="0" w:after="0" w:afterAutospacing="0" w:line="580" w:lineRule="exact"/>
        <w:ind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农业农村部门会同相关部门，对纳入项目库中的、条件成熟的储备项目，择优、择重、择急选取，编制本地年度农村人居环境整治领域实施以工代赈项目建议计划，报市级农业农村等部门审核确认。纳入年度建议计划的项目，应完成前期工作，审批手续齐全，具备开工条件。项目立项审批根据当地农村人居环境整治项目管理规定以及村庄建设项目简易审批的要求予以办理，其中涉及施工主体选择方式、劳务务工组织、劳务报酬发放等事项，由县级发展改革部门会同同级农业农村部门予以明确。</w:t>
      </w:r>
    </w:p>
    <w:p>
      <w:pPr>
        <w:widowControl w:val="0"/>
        <w:numPr>
          <w:numId w:val="0"/>
        </w:numPr>
        <w:wordWrap/>
        <w:autoSpaceDN w:val="0"/>
        <w:adjustRightInd/>
        <w:snapToGrid/>
        <w:spacing w:before="0" w:beforeAutospacing="0" w:after="0" w:afterAutospacing="0" w:line="580" w:lineRule="exact"/>
        <w:ind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业主单位自行或委托第三方机构编制项目可行性研究报告（或实施方案），根据需要依法依规完成用地预审、项目选址、环境影响评价、水土保持、节能审查等前期工作。项目业主单位可以为村委会、镇级政府、县级行业部门等。</w:t>
      </w:r>
    </w:p>
    <w:p>
      <w:pPr>
        <w:widowControl w:val="0"/>
        <w:numPr>
          <w:numId w:val="0"/>
        </w:numPr>
        <w:wordWrap/>
        <w:autoSpaceDN w:val="0"/>
        <w:adjustRightInd/>
        <w:snapToGrid/>
        <w:spacing w:before="0" w:beforeAutospacing="0" w:after="0" w:afterAutospacing="0" w:line="580" w:lineRule="exact"/>
        <w:ind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可行性研究报告（或实施方案）主要内容包括：建设内容及规模、建设方式（包括招投标方式、政府采购方式、竞争方式、村民自建方式等）、建设性质、建设地址、建设工期，布置图、投资规模、资金来源和落实情况、务工组织、劳务报酬论证等。劳务报酬论证须明确劳务报酬发放比例、金额、标准和可行性。</w:t>
      </w:r>
    </w:p>
    <w:p>
      <w:pPr>
        <w:widowControl w:val="0"/>
        <w:numPr>
          <w:numId w:val="0"/>
        </w:numPr>
        <w:wordWrap/>
        <w:autoSpaceDN w:val="0"/>
        <w:adjustRightInd/>
        <w:snapToGrid/>
        <w:spacing w:before="0" w:beforeAutospacing="0" w:after="0" w:afterAutospacing="0" w:line="580" w:lineRule="exact"/>
        <w:ind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市级农业农村部门会同相关部门将确定的年度计划下达至县，抄送省直相关部门。县级农业农村部门负责将计划落实到具体项目。</w:t>
      </w:r>
    </w:p>
    <w:p>
      <w:pPr>
        <w:widowControl w:val="0"/>
        <w:numPr>
          <w:numId w:val="0"/>
        </w:numPr>
        <w:wordWrap/>
        <w:autoSpaceDN w:val="0"/>
        <w:adjustRightInd/>
        <w:snapToGrid/>
        <w:spacing w:before="0" w:beforeAutospacing="0" w:after="0" w:afterAutospacing="0" w:line="580" w:lineRule="exact"/>
        <w:ind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计划一经下达，不得擅自调整或变更项目内容。如因特殊原因，确需调整的，应当根据项目审批权限按程序履行报批手续，并抄送省相关部门备案。</w:t>
      </w:r>
    </w:p>
    <w:p>
      <w:pPr>
        <w:widowControl w:val="0"/>
        <w:numPr>
          <w:numId w:val="0"/>
        </w:numPr>
        <w:wordWrap/>
        <w:autoSpaceDN w:val="0"/>
        <w:adjustRightInd/>
        <w:snapToGrid/>
        <w:spacing w:before="0" w:beforeAutospacing="0" w:after="0" w:afterAutospacing="0" w:line="580" w:lineRule="exact"/>
        <w:ind w:right="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三、项目实施</w:t>
      </w:r>
    </w:p>
    <w:p>
      <w:pPr>
        <w:widowControl w:val="0"/>
        <w:numPr>
          <w:numId w:val="0"/>
        </w:numPr>
        <w:wordWrap/>
        <w:autoSpaceDN w:val="0"/>
        <w:adjustRightInd/>
        <w:snapToGrid/>
        <w:spacing w:before="0" w:beforeAutospacing="0" w:after="0" w:afterAutospacing="0" w:line="580" w:lineRule="exact"/>
        <w:ind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项目业主单位根据计划下达的建设内容和规模优化项目设计方案，编制施工设计图纸、工程预算，委托财政评审，落实项目建设方式。</w:t>
      </w:r>
    </w:p>
    <w:p>
      <w:pPr>
        <w:widowControl w:val="0"/>
        <w:numPr>
          <w:numId w:val="0"/>
        </w:numPr>
        <w:wordWrap/>
        <w:autoSpaceDN w:val="0"/>
        <w:adjustRightInd/>
        <w:snapToGrid/>
        <w:spacing w:before="0" w:beforeAutospacing="0" w:after="0" w:afterAutospacing="0" w:line="580" w:lineRule="exact"/>
        <w:ind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工代赈项目可以不招标。具体建设方式，根据批复文件确定的招投标、政府采购、竞争谈判、村民自建等方式进行。鼓励和支持村集体经济组织承接实施，采取组建劳务合作社、工程队等方式，组织动员当地群众参与工程建设，提高劳务报酬比例。</w:t>
      </w:r>
    </w:p>
    <w:p>
      <w:pPr>
        <w:widowControl w:val="0"/>
        <w:numPr>
          <w:numId w:val="0"/>
        </w:numPr>
        <w:wordWrap/>
        <w:autoSpaceDN w:val="0"/>
        <w:adjustRightInd/>
        <w:snapToGrid/>
        <w:spacing w:before="0" w:beforeAutospacing="0" w:after="0" w:afterAutospacing="0" w:line="580" w:lineRule="exact"/>
        <w:ind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取村民自建方式的以工代赈项目，项目村委会为村民自建项目的责任主体，主要负责监督项目理事会、协调建设条件、审查账务、开展村级项目竣工验收、制定落实管护制度等。村民代表会议民主选举产生的项目理事会作为项目实施主体。村两委会同项目理事会宣传以工代赈项目务工政策，组建项目建设施工队伍，动员项目区群众积极参与工程建设，优先满足脱贫不稳定户、边缘易致贫户、其他农村低收入人口等群体务工需要。</w:t>
      </w:r>
    </w:p>
    <w:p>
      <w:pPr>
        <w:widowControl w:val="0"/>
        <w:numPr>
          <w:numId w:val="0"/>
        </w:numPr>
        <w:wordWrap/>
        <w:autoSpaceDN w:val="0"/>
        <w:adjustRightInd/>
        <w:snapToGrid/>
        <w:spacing w:before="0" w:beforeAutospacing="0" w:after="0" w:afterAutospacing="0" w:line="580" w:lineRule="exact"/>
        <w:ind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施工单位严格按照工程设计、技术规范和质量标准施工。项目业主单位应成立工程建设协调机构，改善施工环境，组织好当地群众参加工程建设。承担监理职责的机构要安排专人跟班作业，全程监管，确保工程质量和进度。县级相关部门要履行好监管职责。</w:t>
      </w:r>
    </w:p>
    <w:p>
      <w:pPr>
        <w:widowControl w:val="0"/>
        <w:numPr>
          <w:ilvl w:val="0"/>
          <w:numId w:val="1"/>
        </w:numPr>
        <w:wordWrap/>
        <w:autoSpaceDN w:val="0"/>
        <w:adjustRightInd/>
        <w:snapToGrid/>
        <w:spacing w:before="0" w:beforeAutospacing="0" w:after="0" w:afterAutospacing="0" w:line="580" w:lineRule="exact"/>
        <w:ind w:right="0" w:firstLine="640" w:firstLineChars="200"/>
        <w:jc w:val="both"/>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劳务报酬发放</w:t>
      </w:r>
    </w:p>
    <w:p>
      <w:pPr>
        <w:widowControl w:val="0"/>
        <w:numPr>
          <w:numId w:val="0"/>
        </w:numPr>
        <w:wordWrap/>
        <w:autoSpaceDN w:val="0"/>
        <w:adjustRightInd/>
        <w:snapToGrid/>
        <w:spacing w:before="0" w:beforeAutospacing="0" w:after="0" w:afterAutospacing="0" w:line="580" w:lineRule="exact"/>
        <w:ind w:right="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农村人居环境整治实施以工代赈项目的劳务报酬，要按照不低于国家、省明确的比例和标准进行发放。县级发展改革部门在以工代赈项目审核中，要对劳务报酬发放比例作出明确要求。项目业主和施工单位签订的施工合同，应将劳务报酬发放作为专门条款，纳入合同内容。劳务报酬发放要做到公平、公开、足额、及时，通过银行卡发放到个人，确保可追踪、查询，严禁克扣和拖欠。</w:t>
      </w:r>
    </w:p>
    <w:p>
      <w:pPr>
        <w:widowControl w:val="0"/>
        <w:numPr>
          <w:ilvl w:val="0"/>
          <w:numId w:val="2"/>
        </w:numPr>
        <w:wordWrap/>
        <w:autoSpaceDN w:val="0"/>
        <w:adjustRightInd/>
        <w:snapToGrid/>
        <w:spacing w:before="0" w:beforeAutospacing="0" w:after="0" w:afterAutospacing="0" w:line="580" w:lineRule="exact"/>
        <w:ind w:right="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竣工验收与运行管护</w:t>
      </w:r>
    </w:p>
    <w:p>
      <w:pPr>
        <w:widowControl w:val="0"/>
        <w:numPr>
          <w:numId w:val="0"/>
        </w:numPr>
        <w:wordWrap/>
        <w:autoSpaceDN w:val="0"/>
        <w:adjustRightInd/>
        <w:snapToGrid/>
        <w:spacing w:before="0" w:beforeAutospacing="0" w:after="0" w:afterAutospacing="0" w:line="580" w:lineRule="exact"/>
        <w:ind w:right="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项目实施分级验收。项目建成后，项目业主组织初验，县级农业农村部门牵头会同相关部门，组成县级验收小组，对项目进行全面验收并出具验收报告。村民委员会作为业主的项目，实行县、乡、村三级验收制度。项目验收实行工程质量“一票否决”，凡存在工程质量问题的，一律不得通过竣工验收。</w:t>
      </w:r>
    </w:p>
    <w:p>
      <w:pPr>
        <w:widowControl w:val="0"/>
        <w:numPr>
          <w:numId w:val="0"/>
        </w:numPr>
        <w:wordWrap/>
        <w:autoSpaceDN w:val="0"/>
        <w:adjustRightInd/>
        <w:snapToGrid/>
        <w:spacing w:before="0" w:beforeAutospacing="0" w:after="0" w:afterAutospacing="0" w:line="580" w:lineRule="exact"/>
        <w:ind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竣工验收合格后，县级农业农村部门督促项目业主单位及时将工程产权移交给项目村投入使用并完善相关手续。项目移交后，项目村应制定项目运行管理、养护制度，落实管护责任人，确保项目长期发挥效益。</w:t>
      </w:r>
    </w:p>
    <w:p>
      <w:pPr>
        <w:widowControl w:val="0"/>
        <w:numPr>
          <w:numId w:val="0"/>
        </w:numPr>
        <w:wordWrap/>
        <w:autoSpaceDN w:val="0"/>
        <w:adjustRightInd/>
        <w:snapToGrid/>
        <w:spacing w:before="0" w:beforeAutospacing="0" w:after="0" w:afterAutospacing="0" w:line="580" w:lineRule="exact"/>
        <w:ind w:right="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六、绩效评价和资金管理</w:t>
      </w:r>
    </w:p>
    <w:p>
      <w:pPr>
        <w:widowControl w:val="0"/>
        <w:numPr>
          <w:numId w:val="0"/>
        </w:numPr>
        <w:wordWrap/>
        <w:autoSpaceDN w:val="0"/>
        <w:adjustRightInd/>
        <w:snapToGrid/>
        <w:spacing w:before="0" w:beforeAutospacing="0" w:after="0" w:afterAutospacing="0" w:line="580" w:lineRule="exact"/>
        <w:ind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绩效评价。县级农业农村部门牵头，会同财政等相关部门，按照农村人居环境整治项目管理要求，组织有关专家开展项目绩效评价。</w:t>
      </w:r>
    </w:p>
    <w:p>
      <w:pPr>
        <w:widowControl w:val="0"/>
        <w:numPr>
          <w:numId w:val="0"/>
        </w:numPr>
        <w:wordWrap/>
        <w:autoSpaceDN w:val="0"/>
        <w:adjustRightInd/>
        <w:snapToGrid/>
        <w:spacing w:before="0" w:beforeAutospacing="0" w:after="0" w:afterAutospacing="0" w:line="580" w:lineRule="exact"/>
        <w:ind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资金管理。农村人居环境整治实施以工代赈项目，按要求执行县级报账制。村民自建项目竣工验收合格后可按决算金额全额报账。发包项目可按决算金额的97%报账，3%作为工程质量保证金，待工程交付一年通过复查验收，复验合格后拨付。</w:t>
      </w:r>
    </w:p>
    <w:p>
      <w:pPr>
        <w:widowControl w:val="0"/>
        <w:numPr>
          <w:ilvl w:val="0"/>
          <w:numId w:val="3"/>
        </w:numPr>
        <w:wordWrap/>
        <w:autoSpaceDN w:val="0"/>
        <w:adjustRightInd/>
        <w:snapToGrid/>
        <w:spacing w:before="0" w:beforeAutospacing="0" w:after="0" w:afterAutospacing="0" w:line="580" w:lineRule="exact"/>
        <w:ind w:right="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公告公示</w:t>
      </w:r>
    </w:p>
    <w:p>
      <w:pPr>
        <w:widowControl w:val="0"/>
        <w:numPr>
          <w:numId w:val="0"/>
        </w:numPr>
        <w:wordWrap/>
        <w:autoSpaceDN w:val="0"/>
        <w:adjustRightInd/>
        <w:snapToGrid/>
        <w:spacing w:before="0" w:beforeAutospacing="0" w:after="0" w:afterAutospacing="0" w:line="580" w:lineRule="exact"/>
        <w:ind w:right="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年度计划确定后，县级农业农村部门要以适当方式，进行项目公开公示，内容包括：项目名称、投资规模、建设地点、建设内容等。</w:t>
      </w:r>
    </w:p>
    <w:p>
      <w:pPr>
        <w:widowControl w:val="0"/>
        <w:numPr>
          <w:numId w:val="0"/>
        </w:numPr>
        <w:wordWrap/>
        <w:autoSpaceDN w:val="0"/>
        <w:adjustRightInd/>
        <w:snapToGrid/>
        <w:spacing w:before="0" w:beforeAutospacing="0" w:after="0" w:afterAutospacing="0" w:line="580" w:lineRule="exact"/>
        <w:ind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项目开工前，项目所在镇村应在政务公开栏、村务公开栏分别进行项目公示，内容包括：项目名称、项目投资、建设方式、建设地点、建设内容与规模、建设期限、监督举报电话等。</w:t>
      </w:r>
    </w:p>
    <w:p>
      <w:pPr>
        <w:widowControl w:val="0"/>
        <w:numPr>
          <w:numId w:val="0"/>
        </w:numPr>
        <w:wordWrap/>
        <w:autoSpaceDN w:val="0"/>
        <w:adjustRightInd/>
        <w:snapToGrid/>
        <w:spacing w:before="0" w:beforeAutospacing="0" w:after="0" w:afterAutospacing="0" w:line="580" w:lineRule="exact"/>
        <w:ind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施工单位应在项目施工现场，发布施工公告，内容包括项目名称、总投资及资金来源，建设内容与规模、技术标准、施工期限、项目业主（村民自建项目理事会）及负责人、施工单位及负责人、监理（监督）单位、投诉电话等。</w:t>
      </w:r>
    </w:p>
    <w:p>
      <w:pPr>
        <w:widowControl w:val="0"/>
        <w:numPr>
          <w:numId w:val="0"/>
        </w:numPr>
        <w:wordWrap/>
        <w:autoSpaceDN w:val="0"/>
        <w:adjustRightInd/>
        <w:snapToGrid/>
        <w:spacing w:before="0" w:beforeAutospacing="0" w:after="0" w:afterAutospacing="0" w:line="580" w:lineRule="exact"/>
        <w:ind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项目实施期间，项目村应在村务公开栏，对劳务报酬发放情况进行公示，内容包括姓名、家庭住址、务工时间、发放金额、监督举报电话等。</w:t>
      </w:r>
    </w:p>
    <w:p>
      <w:pPr>
        <w:widowControl w:val="0"/>
        <w:numPr>
          <w:numId w:val="0"/>
        </w:numPr>
        <w:wordWrap/>
        <w:autoSpaceDN w:val="0"/>
        <w:adjustRightInd/>
        <w:snapToGrid/>
        <w:spacing w:before="0" w:beforeAutospacing="0" w:after="0" w:afterAutospacing="0" w:line="580" w:lineRule="exact"/>
        <w:ind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项目建成后，项目业主应在项目点设立公示牌，内容包括项目名称、建设时间、建设内容、投资构成、运行管护责任等。</w:t>
      </w:r>
    </w:p>
    <w:p>
      <w:pPr>
        <w:widowControl w:val="0"/>
        <w:numPr>
          <w:ilvl w:val="0"/>
          <w:numId w:val="4"/>
        </w:numPr>
        <w:wordWrap/>
        <w:autoSpaceDN w:val="0"/>
        <w:adjustRightInd/>
        <w:snapToGrid/>
        <w:spacing w:before="0" w:beforeAutospacing="0" w:after="0" w:afterAutospacing="0" w:line="580" w:lineRule="exact"/>
        <w:ind w:right="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资料归档</w:t>
      </w:r>
    </w:p>
    <w:p>
      <w:pPr>
        <w:widowControl w:val="0"/>
        <w:numPr>
          <w:numId w:val="0"/>
        </w:numPr>
        <w:wordWrap/>
        <w:autoSpaceDN w:val="0"/>
        <w:adjustRightInd/>
        <w:snapToGrid/>
        <w:spacing w:before="0" w:beforeAutospacing="0" w:after="0" w:afterAutospacing="0" w:line="580" w:lineRule="exact"/>
        <w:ind w:right="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项目档案由县级农业农村部门会同县级发展改革等相关部门、相关乡镇负责整理存档。项目档案应按照一个项目一套档案的原则和全过程全内容管理要求，收集、归档，不得遗漏和缺失。</w:t>
      </w:r>
    </w:p>
    <w:p>
      <w:pPr>
        <w:widowControl w:val="0"/>
        <w:numPr>
          <w:numId w:val="0"/>
        </w:numPr>
        <w:wordWrap/>
        <w:autoSpaceDN w:val="0"/>
        <w:adjustRightInd/>
        <w:snapToGrid/>
        <w:spacing w:before="0" w:beforeAutospacing="0" w:after="0" w:afterAutospacing="0" w:line="580" w:lineRule="exact"/>
        <w:ind w:right="0" w:firstLine="640" w:firstLineChars="200"/>
        <w:jc w:val="both"/>
        <w:textAlignment w:val="auto"/>
        <w:outlineLvl w:val="9"/>
        <w:rPr>
          <w:rFonts w:hint="eastAsia" w:ascii="仿宋_GB2312" w:hAnsi="仿宋_GB2312" w:eastAsia="仿宋_GB2312" w:cs="仿宋_GB2312"/>
          <w:sz w:val="32"/>
          <w:szCs w:val="32"/>
          <w:lang w:val="en-US" w:eastAsia="zh-CN"/>
        </w:rPr>
      </w:pPr>
    </w:p>
    <w:p>
      <w:pPr>
        <w:widowControl w:val="0"/>
        <w:numPr>
          <w:numId w:val="0"/>
        </w:numPr>
        <w:wordWrap/>
        <w:autoSpaceDN w:val="0"/>
        <w:adjustRightInd/>
        <w:snapToGrid/>
        <w:spacing w:before="0" w:beforeAutospacing="0" w:after="0" w:afterAutospacing="0" w:line="580" w:lineRule="exact"/>
        <w:ind w:leftChars="200" w:right="0"/>
        <w:jc w:val="both"/>
        <w:textAlignment w:val="auto"/>
        <w:outlineLvl w:val="9"/>
        <w:rPr>
          <w:rFonts w:hint="eastAsia" w:ascii="黑体" w:hAnsi="黑体" w:eastAsia="黑体" w:cs="黑体"/>
          <w:sz w:val="32"/>
          <w:szCs w:val="32"/>
          <w:lang w:eastAsia="zh-CN"/>
        </w:rPr>
      </w:pPr>
    </w:p>
    <w:p>
      <w:pPr>
        <w:widowControl w:val="0"/>
        <w:numPr>
          <w:numId w:val="0"/>
        </w:numPr>
        <w:wordWrap/>
        <w:autoSpaceDN w:val="0"/>
        <w:adjustRightInd/>
        <w:snapToGrid/>
        <w:spacing w:before="0" w:beforeAutospacing="0" w:after="0" w:afterAutospacing="0" w:line="580" w:lineRule="exact"/>
        <w:ind w:leftChars="200" w:right="0"/>
        <w:jc w:val="both"/>
        <w:textAlignment w:val="auto"/>
        <w:outlineLvl w:val="9"/>
        <w:rPr>
          <w:rFonts w:hint="eastAsia" w:ascii="黑体" w:hAnsi="黑体" w:eastAsia="黑体" w:cs="黑体"/>
          <w:sz w:val="32"/>
          <w:szCs w:val="32"/>
          <w:lang w:eastAsia="zh-CN"/>
        </w:rPr>
      </w:pPr>
    </w:p>
    <w:p/>
    <w:sectPr>
      <w:headerReference r:id="rId4" w:type="default"/>
      <w:footerReference r:id="rId5" w:type="default"/>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10002FF" w:usb1="4000ACFF" w:usb2="00000009"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_GB2312">
    <w:panose1 w:val="02010609030101010101"/>
    <w:charset w:val="86"/>
    <w:family w:val="auto"/>
    <w:pitch w:val="default"/>
    <w:sig w:usb0="00000001" w:usb1="080E0000" w:usb2="00000000" w:usb3="00000000" w:csb0="00040000" w:csb1="00000000"/>
  </w:font>
  <w:font w:name="Times">
    <w:altName w:val="Times New Roman"/>
    <w:panose1 w:val="02020603050405020304"/>
    <w:charset w:val="00"/>
    <w:family w:val="auto"/>
    <w:pitch w:val="default"/>
    <w:sig w:usb0="00000000" w:usb1="00000000" w:usb2="00000008" w:usb3="00000000" w:csb0="000001FF" w:csb1="00000000"/>
  </w:font>
  <w:font w:name="Calibri Light">
    <w:altName w:val="Calibri"/>
    <w:panose1 w:val="020F0302020204030204"/>
    <w:charset w:val="00"/>
    <w:family w:val="auto"/>
    <w:pitch w:val="default"/>
    <w:sig w:usb0="A00002EF" w:usb1="4000207B" w:usb2="00000000" w:usb3="00000000" w:csb0="2000019F" w:csb1="00000000"/>
  </w:font>
  <w:font w:name="文星标宋">
    <w:altName w:val="微软雅黑"/>
    <w:panose1 w:val="02010609000101010101"/>
    <w:charset w:val="86"/>
    <w:family w:val="auto"/>
    <w:pitch w:val="default"/>
    <w:sig w:usb0="00000000" w:usb1="00000000" w:usb2="00000010" w:usb3="00000000" w:csb0="00040000" w:csb1="00000000"/>
  </w:font>
  <w:font w:name="文星仿宋">
    <w:altName w:val="仿宋"/>
    <w:panose1 w:val="02010609000101010101"/>
    <w:charset w:val="86"/>
    <w:family w:val="auto"/>
    <w:pitch w:val="default"/>
    <w:sig w:usb0="00000000" w:usb1="00000000" w:usb2="00000010" w:usb3="00000000" w:csb0="00040000" w:csb1="00000000"/>
  </w:font>
  <w:font w:name="文星黑体">
    <w:altName w:val="黑体"/>
    <w:panose1 w:val="02010609000101010101"/>
    <w:charset w:val="86"/>
    <w:family w:val="auto"/>
    <w:pitch w:val="default"/>
    <w:sig w:usb0="00000000" w:usb1="00000000" w:usb2="00000010" w:usb3="00000000" w:csb0="00040000" w:csb1="00000000"/>
  </w:font>
  <w:font w:name="文星楷体">
    <w:altName w:val="宋体"/>
    <w:panose1 w:val="02010609000101010101"/>
    <w:charset w:val="86"/>
    <w:family w:val="auto"/>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PMingLiU">
    <w:panose1 w:val="02020500000000000000"/>
    <w:charset w:val="88"/>
    <w:family w:val="auto"/>
    <w:pitch w:val="default"/>
    <w:sig w:usb0="A00002FF" w:usb1="28CFFCFA" w:usb2="00000016" w:usb3="00000000" w:csb0="00100001" w:csb1="00000000"/>
  </w:font>
  <w:font w:name="Rod">
    <w:panose1 w:val="02030509050101010101"/>
    <w:charset w:val="00"/>
    <w:family w:val="auto"/>
    <w:pitch w:val="default"/>
    <w:sig w:usb0="00000801" w:usb1="00000000" w:usb2="00000000" w:usb3="00000000" w:csb0="00000020" w:csb1="00200000"/>
  </w:font>
  <w:font w:name="Sakkal Majalla">
    <w:panose1 w:val="02000000000000000000"/>
    <w:charset w:val="00"/>
    <w:family w:val="auto"/>
    <w:pitch w:val="default"/>
    <w:sig w:usb0="A000207F" w:usb1="C000204B" w:usb2="00000008" w:usb3="00000000" w:csb0="200000D3"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Times New Roman" w:hAnsi="Times New Roman" w:eastAsia="宋体" w:cs="Times New Roman"/>
        <w:kern w:val="2"/>
        <w:sz w:val="18"/>
        <w:lang w:val="en-US" w:eastAsia="zh-CN" w:bidi="ar-SA"/>
      </w:rPr>
      <w:pict>
        <v:shape id="文本框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7">
    <w:nsid w:val="00000007"/>
    <w:multiLevelType w:val="singleLevel"/>
    <w:tmpl w:val="00000007"/>
    <w:lvl w:ilvl="0" w:tentative="1">
      <w:start w:val="5"/>
      <w:numFmt w:val="chineseCounting"/>
      <w:suff w:val="nothing"/>
      <w:lvlText w:val="%1、"/>
      <w:lvlJc w:val="left"/>
    </w:lvl>
  </w:abstractNum>
  <w:abstractNum w:abstractNumId="8">
    <w:nsid w:val="00000008"/>
    <w:multiLevelType w:val="singleLevel"/>
    <w:tmpl w:val="00000008"/>
    <w:lvl w:ilvl="0" w:tentative="1">
      <w:start w:val="7"/>
      <w:numFmt w:val="chineseCounting"/>
      <w:suff w:val="nothing"/>
      <w:lvlText w:val="%1、"/>
      <w:lvlJc w:val="left"/>
    </w:lvl>
  </w:abstractNum>
  <w:abstractNum w:abstractNumId="9">
    <w:nsid w:val="00000009"/>
    <w:multiLevelType w:val="singleLevel"/>
    <w:tmpl w:val="00000009"/>
    <w:lvl w:ilvl="0" w:tentative="1">
      <w:start w:val="4"/>
      <w:numFmt w:val="chineseCounting"/>
      <w:suff w:val="nothing"/>
      <w:lvlText w:val="%1、"/>
      <w:lvlJc w:val="left"/>
    </w:lvl>
  </w:abstractNum>
  <w:abstractNum w:abstractNumId="10">
    <w:nsid w:val="0000000A"/>
    <w:multiLevelType w:val="singleLevel"/>
    <w:tmpl w:val="0000000A"/>
    <w:lvl w:ilvl="0" w:tentative="1">
      <w:start w:val="8"/>
      <w:numFmt w:val="chineseCounting"/>
      <w:suff w:val="nothing"/>
      <w:lvlText w:val="%1、"/>
      <w:lvlJc w:val="left"/>
    </w:lvl>
  </w:abstractNum>
  <w:num w:numId="1">
    <w:abstractNumId w:val="9"/>
  </w:num>
  <w:num w:numId="2">
    <w:abstractNumId w:val="7"/>
  </w:num>
  <w:num w:numId="3">
    <w:abstractNumId w:val="8"/>
  </w:num>
  <w:num w:numId="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tyle>
  <w:style w:type="paragraph" w:styleId="2">
    <w:name w:val="footer"/>
    <w:basedOn w:val="1"/>
    <w:pPr>
      <w:tabs>
        <w:tab w:val="center" w:pos="4153"/>
        <w:tab w:val="right" w:pos="8306"/>
      </w:tabs>
      <w:snapToGrid w:val="0"/>
      <w:jc w:val="left"/>
    </w:pPr>
    <w:rPr>
      <w:sz w:val="18"/>
    </w:rPr>
  </w:style>
  <w:style w:type="paragraph" w:styleId="3">
    <w:name w:val="header"/>
    <w:basedOn w:val="1"/>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省农业农村厅</Company>
  <Pages>1</Pages>
  <Words>0</Words>
  <Characters>0</Characters>
  <Lines>0</Lines>
  <Paragraphs>0</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2021-05-12T01:18:00Z</dcterms:created>
  <dc:creator>江永强</dc:creator>
  <cp:lastPrinted>2021-06-02T10:49:00Z</cp:lastPrinted>
  <dcterms:modified xsi:type="dcterms:W3CDTF">2021-08-18T15:07:25Z</dcterms:modified>
  <dc:title>余露</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