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2 -->
  <w:body>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p>
    <w:p w:rsidR="00520EEA">
      <w:pPr>
        <w:spacing w:line="560" w:lineRule="exact"/>
        <w:jc w:val="center"/>
        <w:rPr>
          <w:rFonts w:ascii="仿宋" w:eastAsia="仿宋" w:hAnsi="仿宋"/>
          <w:sz w:val="32"/>
          <w:szCs w:val="32"/>
        </w:rPr>
      </w:pPr>
      <w:r>
        <w:rPr>
          <w:rFonts w:ascii="仿宋" w:eastAsia="仿宋" w:hAnsi="仿宋" w:hint="eastAsia"/>
          <w:sz w:val="32"/>
          <w:szCs w:val="32"/>
        </w:rPr>
        <w:t>德医保发〔</w:t>
      </w:r>
      <w:r>
        <w:rPr>
          <w:rFonts w:ascii="仿宋" w:eastAsia="仿宋" w:hAnsi="仿宋" w:hint="eastAsia"/>
          <w:sz w:val="32"/>
          <w:szCs w:val="32"/>
        </w:rPr>
        <w:t>2020</w:t>
      </w:r>
      <w:r>
        <w:rPr>
          <w:rFonts w:ascii="仿宋" w:eastAsia="仿宋" w:hAnsi="仿宋" w:hint="eastAsia"/>
          <w:sz w:val="32"/>
          <w:szCs w:val="32"/>
        </w:rPr>
        <w:t>〕</w:t>
      </w:r>
      <w:r w:rsidR="005817A5">
        <w:rPr>
          <w:rFonts w:ascii="仿宋" w:eastAsia="仿宋" w:hAnsi="仿宋" w:hint="eastAsia"/>
          <w:sz w:val="32"/>
          <w:szCs w:val="32"/>
        </w:rPr>
        <w:t>63</w:t>
      </w:r>
      <w:r>
        <w:rPr>
          <w:rFonts w:ascii="仿宋" w:eastAsia="仿宋" w:hAnsi="仿宋" w:hint="eastAsia"/>
          <w:sz w:val="32"/>
          <w:szCs w:val="32"/>
        </w:rPr>
        <w:t>号</w:t>
      </w:r>
    </w:p>
    <w:p w:rsidR="00520EEA">
      <w:pPr>
        <w:spacing w:line="560" w:lineRule="exact"/>
        <w:rPr>
          <w:rFonts w:ascii="方正小标宋简体" w:eastAsia="方正小标宋简体" w:hAnsi="仿宋" w:hint="eastAsia"/>
          <w:sz w:val="44"/>
          <w:szCs w:val="44"/>
        </w:rPr>
      </w:pPr>
    </w:p>
    <w:p w:rsidR="005F0692">
      <w:pPr>
        <w:spacing w:line="560" w:lineRule="exact"/>
        <w:rPr>
          <w:rFonts w:ascii="方正小标宋简体" w:eastAsia="方正小标宋简体" w:hAnsi="仿宋"/>
          <w:sz w:val="44"/>
          <w:szCs w:val="44"/>
        </w:rPr>
      </w:pPr>
    </w:p>
    <w:p w:rsidR="00520EEA">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德州市医疗保障局关于</w:t>
      </w:r>
    </w:p>
    <w:p w:rsidR="00520EEA">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将部分中药自制剂纳入医保支付的通知</w:t>
      </w:r>
    </w:p>
    <w:p w:rsidR="00520EEA">
      <w:pPr>
        <w:rPr>
          <w:rFonts w:ascii="仿宋" w:eastAsia="仿宋" w:hAnsi="仿宋"/>
          <w:sz w:val="32"/>
          <w:szCs w:val="32"/>
        </w:rPr>
      </w:pPr>
    </w:p>
    <w:p w:rsidR="00520EEA">
      <w:pPr>
        <w:spacing w:line="576"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各县（市、区）医疗保障局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市医保事业中心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市直医疗机构</w:t>
      </w:r>
      <w:r>
        <w:rPr>
          <w:rFonts w:ascii="仿宋_GB2312" w:eastAsia="仿宋_GB2312" w:hAnsi="仿宋_GB2312" w:cs="仿宋_GB2312" w:hint="eastAsia"/>
          <w:bCs/>
          <w:color w:val="000000"/>
          <w:sz w:val="32"/>
          <w:szCs w:val="32"/>
        </w:rPr>
        <w:t>：</w:t>
      </w:r>
    </w:p>
    <w:p w:rsidR="00520EEA">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按照《关于执行新版</w:t>
      </w:r>
      <w:r>
        <w:rPr>
          <w:rFonts w:ascii="仿宋" w:eastAsia="仿宋" w:hAnsi="仿宋" w:hint="eastAsia"/>
          <w:sz w:val="32"/>
          <w:szCs w:val="32"/>
        </w:rPr>
        <w:t>&lt;</w:t>
      </w:r>
      <w:r>
        <w:rPr>
          <w:rFonts w:ascii="仿宋" w:eastAsia="仿宋" w:hAnsi="仿宋" w:hint="eastAsia"/>
          <w:sz w:val="32"/>
          <w:szCs w:val="32"/>
        </w:rPr>
        <w:t>国家基本医疗保险、工伤保险和生育保险药品目录</w:t>
      </w:r>
      <w:r>
        <w:rPr>
          <w:rFonts w:ascii="仿宋" w:eastAsia="仿宋" w:hAnsi="仿宋" w:hint="eastAsia"/>
          <w:sz w:val="32"/>
          <w:szCs w:val="32"/>
        </w:rPr>
        <w:t>&gt;</w:t>
      </w:r>
      <w:r>
        <w:rPr>
          <w:rFonts w:ascii="仿宋" w:eastAsia="仿宋" w:hAnsi="仿宋" w:hint="eastAsia"/>
          <w:sz w:val="32"/>
          <w:szCs w:val="32"/>
        </w:rPr>
        <w:t>的通知》（鲁医保发〔</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98</w:t>
      </w:r>
      <w:r>
        <w:rPr>
          <w:rFonts w:ascii="仿宋" w:eastAsia="仿宋" w:hAnsi="仿宋" w:hint="eastAsia"/>
          <w:sz w:val="32"/>
          <w:szCs w:val="32"/>
        </w:rPr>
        <w:t>号）相关要求，我市对部分定点医疗机构使用的山东中医药大学附属医院的中药自制剂组织了专家评审。经研究，将部分临床疗效好、经济性评价高的药品（具体情况见附表），在省药品监督管理部门批准使用的特定医疗机构的使用纳入医保支付。</w:t>
      </w:r>
    </w:p>
    <w:p w:rsidR="00520EEA">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使用附表所列药品的医疗机构需持经山东省药品监督</w:t>
      </w:r>
      <w:r>
        <w:rPr>
          <w:rFonts w:ascii="仿宋" w:eastAsia="仿宋" w:hAnsi="仿宋" w:hint="eastAsia"/>
          <w:sz w:val="32"/>
          <w:szCs w:val="32"/>
        </w:rPr>
        <w:t>管理局审批的《医疗机构制剂调剂使用批件》到同级医保经办机构办理备案手续，医保经办机构根据批件审批情况，对该医疗机构使用的相关药品进行备案并按标准支付。</w:t>
      </w:r>
    </w:p>
    <w:p w:rsidR="00520EEA">
      <w:pPr>
        <w:widowControl/>
        <w:spacing w:line="560" w:lineRule="exact"/>
        <w:ind w:firstLine="615"/>
        <w:jc w:val="left"/>
        <w:rPr>
          <w:rFonts w:ascii="仿宋" w:eastAsia="仿宋" w:hAnsi="仿宋"/>
          <w:sz w:val="32"/>
          <w:szCs w:val="32"/>
        </w:rPr>
      </w:pPr>
      <w:r>
        <w:rPr>
          <w:rFonts w:ascii="仿宋_GB2312" w:eastAsia="仿宋_GB2312" w:hAnsi="微软雅黑" w:cs="宋体" w:hint="eastAsia"/>
          <w:kern w:val="0"/>
          <w:sz w:val="32"/>
          <w:szCs w:val="32"/>
        </w:rPr>
        <w:t>本通知自</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7</w:t>
      </w:r>
      <w:r>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rPr>
        <w:t>15</w:t>
      </w:r>
      <w:r>
        <w:rPr>
          <w:rFonts w:ascii="仿宋_GB2312" w:eastAsia="仿宋_GB2312" w:hAnsi="微软雅黑" w:cs="宋体" w:hint="eastAsia"/>
          <w:kern w:val="0"/>
          <w:sz w:val="32"/>
          <w:szCs w:val="32"/>
        </w:rPr>
        <w:t>日起执行。</w:t>
      </w:r>
    </w:p>
    <w:p w:rsidR="00520EEA">
      <w:pPr>
        <w:ind w:left="1558" w:hanging="1558" w:hangingChars="487"/>
        <w:jc w:val="left"/>
        <w:rPr>
          <w:rFonts w:ascii="仿宋" w:eastAsia="仿宋" w:hAnsi="仿宋"/>
          <w:sz w:val="32"/>
          <w:szCs w:val="32"/>
        </w:rPr>
      </w:pPr>
    </w:p>
    <w:p w:rsidR="00520EEA">
      <w:pPr>
        <w:ind w:left="1558" w:hanging="1558" w:hangingChars="487"/>
        <w:jc w:val="lef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sz w:val="32"/>
          <w:szCs w:val="32"/>
        </w:rPr>
        <w:t>附件</w:t>
      </w:r>
      <w:r>
        <w:rPr>
          <w:rFonts w:ascii="仿宋" w:eastAsia="仿宋" w:hAnsi="仿宋" w:hint="eastAsia"/>
          <w:sz w:val="32"/>
          <w:szCs w:val="32"/>
        </w:rPr>
        <w:t>：</w:t>
      </w:r>
      <w:r>
        <w:rPr>
          <w:rFonts w:ascii="仿宋" w:eastAsia="仿宋" w:hAnsi="仿宋" w:hint="eastAsia"/>
          <w:sz w:val="32"/>
          <w:szCs w:val="32"/>
        </w:rPr>
        <w:t>山东中医药大学附属医院中药自制剂医保支付标准明细表</w:t>
      </w:r>
    </w:p>
    <w:p w:rsidR="00513162" w:rsidRPr="00513162">
      <w:pPr>
        <w:ind w:left="1558" w:hanging="1558" w:hangingChars="487"/>
        <w:jc w:val="left"/>
        <w:rPr>
          <w:rFonts w:ascii="仿宋" w:eastAsia="仿宋" w:hAnsi="仿宋"/>
          <w:sz w:val="32"/>
          <w:szCs w:val="32"/>
        </w:rPr>
      </w:pPr>
    </w:p>
    <w:p w:rsidR="00520EEA">
      <w:pPr>
        <w:rPr>
          <w:rFonts w:ascii="仿宋" w:eastAsia="仿宋" w:hAnsi="仿宋"/>
          <w:sz w:val="32"/>
          <w:szCs w:val="32"/>
        </w:rPr>
      </w:pPr>
      <w:r>
        <w:rPr>
          <w:rFonts w:ascii="仿宋" w:eastAsia="仿宋" w:hAnsi="仿宋" w:hint="eastAsia"/>
          <w:sz w:val="32"/>
          <w:szCs w:val="32"/>
        </w:rPr>
        <w:t xml:space="preserve">                           </w:t>
      </w:r>
      <w:r w:rsidR="003941AC">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德州市医疗保障局</w:t>
      </w:r>
    </w:p>
    <w:p w:rsidR="00520EEA">
      <w:pPr>
        <w:rPr>
          <w:rFonts w:ascii="仿宋" w:eastAsia="仿宋" w:hAnsi="仿宋"/>
          <w:sz w:val="32"/>
          <w:szCs w:val="32"/>
        </w:rPr>
      </w:pPr>
      <w:r>
        <w:rPr>
          <w:rFonts w:ascii="仿宋" w:eastAsia="仿宋" w:hAnsi="仿宋" w:hint="eastAsia"/>
          <w:sz w:val="32"/>
          <w:szCs w:val="32"/>
        </w:rPr>
        <w:t xml:space="preserve">                            </w:t>
      </w:r>
      <w:r w:rsidR="003941AC">
        <w:rPr>
          <w:rFonts w:ascii="仿宋" w:eastAsia="仿宋" w:hAnsi="仿宋" w:hint="eastAsia"/>
          <w:sz w:val="32"/>
          <w:szCs w:val="32"/>
        </w:rPr>
        <w:t xml:space="preserve"> </w:t>
      </w:r>
      <w:r>
        <w:rPr>
          <w:rFonts w:ascii="仿宋" w:eastAsia="仿宋" w:hAnsi="仿宋" w:hint="eastAsia"/>
          <w:sz w:val="32"/>
          <w:szCs w:val="32"/>
        </w:rPr>
        <w:t xml:space="preserve">   2020</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sidR="005817A5">
        <w:rPr>
          <w:rFonts w:ascii="仿宋" w:eastAsia="仿宋" w:hAnsi="仿宋" w:hint="eastAsia"/>
          <w:sz w:val="32"/>
          <w:szCs w:val="32"/>
        </w:rPr>
        <w:t>1</w:t>
      </w:r>
      <w:r>
        <w:rPr>
          <w:rFonts w:ascii="仿宋" w:eastAsia="仿宋" w:hAnsi="仿宋" w:hint="eastAsia"/>
          <w:sz w:val="32"/>
          <w:szCs w:val="32"/>
        </w:rPr>
        <w:t>日</w:t>
      </w: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20EEA">
      <w:pPr>
        <w:jc w:val="center"/>
        <w:rPr>
          <w:rFonts w:ascii="方正小标宋简体" w:eastAsia="方正小标宋简体" w:hAnsi="仿宋"/>
          <w:sz w:val="32"/>
          <w:szCs w:val="32"/>
        </w:rPr>
      </w:pPr>
    </w:p>
    <w:p w:rsidR="00513162">
      <w:pPr>
        <w:spacing w:line="400" w:lineRule="exact"/>
        <w:jc w:val="center"/>
        <w:rPr>
          <w:rFonts w:ascii="方正小标宋简体" w:eastAsia="方正小标宋简体" w:hAnsi="仿宋" w:hint="eastAsia"/>
          <w:sz w:val="32"/>
          <w:szCs w:val="32"/>
        </w:rPr>
      </w:pPr>
    </w:p>
    <w:p w:rsidR="00520EEA">
      <w:pPr>
        <w:spacing w:line="40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山东</w:t>
      </w:r>
      <w:r>
        <w:rPr>
          <w:rFonts w:ascii="方正小标宋简体" w:eastAsia="方正小标宋简体" w:hAnsi="仿宋" w:hint="eastAsia"/>
          <w:sz w:val="32"/>
          <w:szCs w:val="32"/>
        </w:rPr>
        <w:t>中医药大学附属医院中药自制剂医保支付标准明细表</w:t>
      </w:r>
    </w:p>
    <w:tbl>
      <w:tblPr>
        <w:tblW w:w="8237" w:type="dxa"/>
        <w:tblInd w:w="93" w:type="dxa"/>
        <w:tblLayout w:type="fixed"/>
        <w:tblLook w:val="04A0"/>
      </w:tblPr>
      <w:tblGrid>
        <w:gridCol w:w="1443"/>
        <w:gridCol w:w="1691"/>
        <w:gridCol w:w="992"/>
        <w:gridCol w:w="1559"/>
        <w:gridCol w:w="993"/>
        <w:gridCol w:w="850"/>
        <w:gridCol w:w="709"/>
      </w:tblGrid>
      <w:tr>
        <w:tblPrEx>
          <w:tblW w:w="8237" w:type="dxa"/>
          <w:tblInd w:w="93" w:type="dxa"/>
          <w:tblLayout w:type="fixed"/>
          <w:tblLook w:val="04A0"/>
        </w:tblPrEx>
        <w:trPr>
          <w:trHeight w:val="1290"/>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编码</w:t>
            </w:r>
          </w:p>
        </w:tc>
        <w:tc>
          <w:tcPr>
            <w:tcW w:w="1691" w:type="dxa"/>
            <w:tcBorders>
              <w:top w:val="single" w:sz="4" w:space="0" w:color="auto"/>
              <w:left w:val="nil"/>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剂型</w:t>
            </w:r>
          </w:p>
        </w:tc>
        <w:tc>
          <w:tcPr>
            <w:tcW w:w="1559" w:type="dxa"/>
            <w:tcBorders>
              <w:top w:val="single" w:sz="4" w:space="0" w:color="auto"/>
              <w:left w:val="nil"/>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规格</w:t>
            </w:r>
          </w:p>
        </w:tc>
        <w:tc>
          <w:tcPr>
            <w:tcW w:w="993" w:type="dxa"/>
            <w:tcBorders>
              <w:top w:val="single" w:sz="4" w:space="0" w:color="auto"/>
              <w:left w:val="nil"/>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医保支付标准限额（元</w:t>
            </w:r>
            <w:r w:rsidRPr="00513162">
              <w:rPr>
                <w:rFonts w:ascii="宋体" w:eastAsia="宋体" w:hAnsi="宋体" w:cs="宋体" w:hint="eastAsia"/>
                <w:b/>
                <w:bCs/>
                <w:color w:val="000000"/>
                <w:kern w:val="0"/>
                <w:sz w:val="24"/>
                <w:szCs w:val="24"/>
              </w:rPr>
              <w:t xml:space="preserve"> </w:t>
            </w:r>
            <w:r w:rsidRPr="00513162">
              <w:rPr>
                <w:rFonts w:ascii="宋体" w:eastAsia="宋体" w:hAnsi="宋体" w:cs="宋体" w:hint="eastAsia"/>
                <w:b/>
                <w:bCs/>
                <w:color w:val="000000"/>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是否纳入医保支付</w:t>
            </w:r>
          </w:p>
        </w:tc>
        <w:tc>
          <w:tcPr>
            <w:tcW w:w="709" w:type="dxa"/>
            <w:tcBorders>
              <w:top w:val="single" w:sz="4" w:space="0" w:color="auto"/>
              <w:left w:val="nil"/>
              <w:bottom w:val="single" w:sz="4" w:space="0" w:color="auto"/>
              <w:right w:val="single" w:sz="4" w:space="0" w:color="auto"/>
            </w:tcBorders>
            <w:shd w:val="clear" w:color="auto" w:fill="auto"/>
            <w:vAlign w:val="center"/>
          </w:tcPr>
          <w:p w:rsidR="00520EEA" w:rsidRPr="00513162">
            <w:pPr>
              <w:widowControl/>
              <w:jc w:val="center"/>
              <w:rPr>
                <w:rFonts w:ascii="宋体" w:eastAsia="宋体" w:hAnsi="宋体" w:cs="宋体"/>
                <w:b/>
                <w:bCs/>
                <w:color w:val="000000"/>
                <w:kern w:val="0"/>
                <w:sz w:val="24"/>
                <w:szCs w:val="24"/>
              </w:rPr>
            </w:pPr>
            <w:r w:rsidRPr="00513162">
              <w:rPr>
                <w:rFonts w:ascii="宋体" w:eastAsia="宋体" w:hAnsi="宋体" w:cs="宋体" w:hint="eastAsia"/>
                <w:b/>
                <w:bCs/>
                <w:color w:val="000000"/>
                <w:kern w:val="0"/>
                <w:sz w:val="24"/>
                <w:szCs w:val="24"/>
              </w:rPr>
              <w:t>首先自负比例</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yyzzj0001</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天麻止痛颗粒</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颗粒剂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3g*18</w:t>
            </w:r>
            <w:r>
              <w:rPr>
                <w:rFonts w:ascii="仿宋" w:eastAsia="仿宋" w:hAnsi="仿宋" w:cs="宋体" w:hint="eastAsia"/>
                <w:color w:val="000000"/>
                <w:kern w:val="0"/>
                <w:sz w:val="24"/>
                <w:szCs w:val="24"/>
              </w:rPr>
              <w:t>包</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盒</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yyzzj0002</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四虫片</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片剂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0.3g*100</w:t>
            </w:r>
            <w:r>
              <w:rPr>
                <w:rFonts w:ascii="仿宋" w:eastAsia="仿宋" w:hAnsi="仿宋" w:cs="宋体" w:hint="eastAsia"/>
                <w:color w:val="000000"/>
                <w:kern w:val="0"/>
                <w:sz w:val="24"/>
                <w:szCs w:val="24"/>
              </w:rPr>
              <w:t>片</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yyzzj0003</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肺得宁合剂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yyzzj0004</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桑菊止咳合剂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yyzzj0005</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滋肾安神合剂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yyzzj0006</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人参健心胶囊</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胶囊剂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0.25g*50</w:t>
            </w:r>
            <w:r>
              <w:rPr>
                <w:rFonts w:ascii="仿宋" w:eastAsia="仿宋" w:hAnsi="仿宋" w:cs="宋体" w:hint="eastAsia"/>
                <w:color w:val="000000"/>
                <w:kern w:val="0"/>
                <w:sz w:val="24"/>
                <w:szCs w:val="24"/>
              </w:rPr>
              <w:t>粒</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yyzzj0007</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止咳化痰合剂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yyzzj0008</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散结片</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片剂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0.3g*100</w:t>
            </w:r>
            <w:r>
              <w:rPr>
                <w:rFonts w:ascii="仿宋" w:eastAsia="仿宋" w:hAnsi="仿宋" w:cs="宋体" w:hint="eastAsia"/>
                <w:color w:val="000000"/>
                <w:kern w:val="0"/>
                <w:sz w:val="24"/>
                <w:szCs w:val="24"/>
              </w:rPr>
              <w:t>片</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yyzzj0009</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糖肾康颗粒</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颗粒剂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3g*21</w:t>
            </w:r>
            <w:r>
              <w:rPr>
                <w:rFonts w:ascii="仿宋" w:eastAsia="仿宋" w:hAnsi="仿宋" w:cs="宋体" w:hint="eastAsia"/>
                <w:color w:val="000000"/>
                <w:kern w:val="0"/>
                <w:sz w:val="24"/>
                <w:szCs w:val="24"/>
              </w:rPr>
              <w:t>包</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盒</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41.6</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yyzzj0010</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复方黄柏滴鼻液</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滴鼻剂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8ml/</w:t>
            </w:r>
            <w:r>
              <w:rPr>
                <w:rFonts w:ascii="仿宋" w:eastAsia="仿宋" w:hAnsi="仿宋" w:cs="宋体" w:hint="eastAsia"/>
                <w:color w:val="000000"/>
                <w:kern w:val="0"/>
                <w:sz w:val="24"/>
                <w:szCs w:val="24"/>
              </w:rPr>
              <w:t>支</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yyzzj0011</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银柴感冒颗粒</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颗粒剂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3g*27</w:t>
            </w:r>
            <w:r>
              <w:rPr>
                <w:rFonts w:ascii="仿宋" w:eastAsia="仿宋" w:hAnsi="仿宋" w:cs="宋体" w:hint="eastAsia"/>
                <w:color w:val="000000"/>
                <w:kern w:val="0"/>
                <w:sz w:val="24"/>
                <w:szCs w:val="24"/>
              </w:rPr>
              <w:t>包</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盒</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yyzzj0012</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芪连扶正胶囊</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胶囊剂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0.3g*50</w:t>
            </w:r>
            <w:r>
              <w:rPr>
                <w:rFonts w:ascii="仿宋" w:eastAsia="仿宋" w:hAnsi="仿宋" w:cs="宋体" w:hint="eastAsia"/>
                <w:color w:val="000000"/>
                <w:kern w:val="0"/>
                <w:sz w:val="24"/>
                <w:szCs w:val="24"/>
              </w:rPr>
              <w:t>粒</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33.7</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yyzzj0013</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生肌愈红膏</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软膏剂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30g/</w:t>
            </w:r>
            <w:r>
              <w:rPr>
                <w:rFonts w:ascii="仿宋" w:eastAsia="仿宋" w:hAnsi="仿宋" w:cs="宋体" w:hint="eastAsia"/>
                <w:color w:val="000000"/>
                <w:kern w:val="0"/>
                <w:sz w:val="24"/>
                <w:szCs w:val="24"/>
              </w:rPr>
              <w:t>盒</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yyzzj0014</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平喘合剂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49.8</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yyzzj0015</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乳宁合剂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yyzzj0016</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活血止痛熏洗剂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熏洗剂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75g</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r w:rsidTr="00513162">
        <w:tblPrEx>
          <w:tblW w:w="8237" w:type="dxa"/>
          <w:tblInd w:w="93" w:type="dxa"/>
          <w:tblLayout w:type="fixed"/>
          <w:tblLook w:val="04A0"/>
        </w:tblPrEx>
        <w:trPr>
          <w:trHeight w:val="680"/>
        </w:trPr>
        <w:tc>
          <w:tcPr>
            <w:tcW w:w="1443" w:type="dxa"/>
            <w:tcBorders>
              <w:top w:val="nil"/>
              <w:left w:val="single" w:sz="4" w:space="0" w:color="auto"/>
              <w:bottom w:val="single" w:sz="4" w:space="0" w:color="auto"/>
              <w:right w:val="single" w:sz="4" w:space="0" w:color="auto"/>
            </w:tcBorders>
            <w:shd w:val="clear" w:color="auto" w:fill="auto"/>
            <w:vAlign w:val="center"/>
          </w:tcPr>
          <w:p w:rsidR="00520EE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yyzzj0017</w:t>
            </w:r>
          </w:p>
        </w:tc>
        <w:tc>
          <w:tcPr>
            <w:tcW w:w="1691"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灵菇合剂</w:t>
            </w:r>
          </w:p>
        </w:tc>
        <w:tc>
          <w:tcPr>
            <w:tcW w:w="992"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合剂</w:t>
            </w:r>
          </w:p>
        </w:tc>
        <w:tc>
          <w:tcPr>
            <w:tcW w:w="1559" w:type="dxa"/>
            <w:tcBorders>
              <w:top w:val="nil"/>
              <w:left w:val="nil"/>
              <w:bottom w:val="single" w:sz="4" w:space="0" w:color="auto"/>
              <w:right w:val="single" w:sz="4" w:space="0" w:color="auto"/>
            </w:tcBorders>
            <w:shd w:val="clear" w:color="auto" w:fill="auto"/>
            <w:vAlign w:val="center"/>
          </w:tcPr>
          <w:p w:rsidR="00520EEA">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250ml/</w:t>
            </w:r>
            <w:r>
              <w:rPr>
                <w:rFonts w:ascii="仿宋" w:eastAsia="仿宋" w:hAnsi="仿宋" w:cs="宋体" w:hint="eastAsia"/>
                <w:color w:val="000000"/>
                <w:kern w:val="0"/>
                <w:sz w:val="24"/>
                <w:szCs w:val="24"/>
              </w:rPr>
              <w:t>瓶</w:t>
            </w:r>
          </w:p>
        </w:tc>
        <w:tc>
          <w:tcPr>
            <w:tcW w:w="993"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850"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709" w:type="dxa"/>
            <w:tcBorders>
              <w:top w:val="nil"/>
              <w:left w:val="nil"/>
              <w:bottom w:val="single" w:sz="4" w:space="0" w:color="auto"/>
              <w:right w:val="single" w:sz="4" w:space="0" w:color="auto"/>
            </w:tcBorders>
            <w:shd w:val="clear" w:color="auto" w:fill="auto"/>
            <w:vAlign w:val="center"/>
          </w:tcPr>
          <w:p w:rsidR="00520E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bl>
    <w:p w:rsidR="00520EEA">
      <w:pPr>
        <w:rPr>
          <w:rFonts w:ascii="仿宋" w:eastAsia="仿宋" w:hAnsi="仿宋"/>
          <w:sz w:val="32"/>
          <w:szCs w:val="32"/>
          <w:u w:val="single" w:color="000000"/>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20EEA">
      <w:pPr>
        <w:spacing w:line="560" w:lineRule="exact"/>
        <w:rPr>
          <w:rFonts w:ascii="仿宋_GB2312" w:eastAsia="仿宋_GB2312" w:hAnsi="仿宋_GB2312" w:cs="仿宋_GB2312"/>
          <w:bCs/>
          <w:color w:val="000000"/>
          <w:sz w:val="32"/>
          <w:szCs w:val="32"/>
        </w:rPr>
      </w:pPr>
    </w:p>
    <w:p w:rsidR="00513162" w:rsidP="00513162">
      <w:pPr>
        <w:spacing w:line="560" w:lineRule="exact"/>
        <w:rPr>
          <w:rFonts w:ascii="仿宋_GB2312" w:eastAsia="仿宋_GB2312" w:hAnsi="仿宋_GB2312" w:cs="仿宋_GB2312" w:hint="eastAsia"/>
          <w:bCs/>
          <w:color w:val="000000"/>
          <w:sz w:val="32"/>
          <w:szCs w:val="32"/>
        </w:rPr>
      </w:pPr>
    </w:p>
    <w:p w:rsidR="00513162" w:rsidP="00513162">
      <w:pPr>
        <w:spacing w:line="560" w:lineRule="exact"/>
        <w:rPr>
          <w:rFonts w:ascii="仿宋_GB2312" w:eastAsia="仿宋_GB2312" w:hAnsi="仿宋_GB2312" w:cs="仿宋_GB2312" w:hint="eastAsia"/>
          <w:bCs/>
          <w:color w:val="000000"/>
          <w:sz w:val="32"/>
          <w:szCs w:val="32"/>
        </w:rPr>
      </w:pPr>
    </w:p>
    <w:p w:rsidR="00520EEA" w:rsidP="00513162">
      <w:pPr>
        <w:spacing w:line="560" w:lineRule="exact"/>
        <w:rPr>
          <w:rFonts w:ascii="仿宋" w:eastAsia="仿宋" w:hAnsi="仿宋"/>
          <w:sz w:val="32"/>
          <w:szCs w:val="32"/>
        </w:rPr>
      </w:pPr>
      <w:r>
        <w:rPr>
          <w:rFonts w:ascii="仿宋_GB2312" w:eastAsia="仿宋_GB2312" w:hAnsi="仿宋_GB2312" w:cs="仿宋_GB2312"/>
          <w:sz w:val="32"/>
          <w:szCs w:val="32"/>
        </w:rPr>
        <w:pict>
          <v:line id="直接连接符 1" o:spid="_x0000_s1025" style="position:absolute;z-index:251658240" from="0,2pt" to="415.5pt,2pt"/>
        </w:pict>
      </w:r>
      <w:r>
        <w:rPr>
          <w:rFonts w:ascii="仿宋_GB2312" w:eastAsia="仿宋_GB2312" w:hAnsi="仿宋_GB2312" w:cs="仿宋_GB2312"/>
          <w:sz w:val="32"/>
          <w:szCs w:val="32"/>
        </w:rPr>
        <w:pict>
          <v:line id="直接连接符 2" o:spid="_x0000_s1026" style="position:absolute;z-index:251659264" from="0,34.25pt" to="415.5pt,34.25pt"/>
        </w:pict>
      </w:r>
      <w:r w:rsidR="00E33A2D">
        <w:rPr>
          <w:rFonts w:ascii="仿宋_GB2312" w:eastAsia="仿宋_GB2312" w:hAnsi="仿宋_GB2312" w:cs="仿宋_GB2312" w:hint="eastAsia"/>
          <w:bCs/>
          <w:color w:val="000000"/>
          <w:sz w:val="32"/>
          <w:szCs w:val="32"/>
        </w:rPr>
        <w:t>德州市医疗保障局办公室　</w:t>
      </w:r>
      <w:r w:rsidR="00E33A2D">
        <w:rPr>
          <w:rFonts w:ascii="仿宋_GB2312" w:eastAsia="仿宋_GB2312" w:hAnsi="仿宋_GB2312" w:cs="仿宋_GB2312" w:hint="eastAsia"/>
          <w:bCs/>
          <w:color w:val="000000"/>
          <w:sz w:val="32"/>
          <w:szCs w:val="32"/>
        </w:rPr>
        <w:t xml:space="preserve">          </w:t>
      </w:r>
      <w:r w:rsidR="00E33A2D">
        <w:rPr>
          <w:rFonts w:ascii="仿宋_GB2312" w:eastAsia="仿宋_GB2312" w:hAnsi="仿宋_GB2312" w:cs="仿宋_GB2312" w:hint="eastAsia"/>
          <w:bCs/>
          <w:color w:val="000000"/>
          <w:sz w:val="32"/>
          <w:szCs w:val="32"/>
        </w:rPr>
        <w:t>2020</w:t>
      </w:r>
      <w:r w:rsidR="00E33A2D">
        <w:rPr>
          <w:rFonts w:ascii="仿宋_GB2312" w:eastAsia="仿宋_GB2312" w:hAnsi="仿宋_GB2312" w:cs="仿宋_GB2312" w:hint="eastAsia"/>
          <w:bCs/>
          <w:color w:val="000000"/>
          <w:sz w:val="32"/>
          <w:szCs w:val="32"/>
        </w:rPr>
        <w:t>年</w:t>
      </w:r>
      <w:r w:rsidR="00E33A2D">
        <w:rPr>
          <w:rFonts w:ascii="仿宋_GB2312" w:eastAsia="仿宋_GB2312" w:hAnsi="仿宋_GB2312" w:cs="仿宋_GB2312" w:hint="eastAsia"/>
          <w:bCs/>
          <w:color w:val="000000"/>
          <w:sz w:val="32"/>
          <w:szCs w:val="32"/>
        </w:rPr>
        <w:t>7</w:t>
      </w:r>
      <w:r w:rsidR="00E33A2D">
        <w:rPr>
          <w:rFonts w:ascii="仿宋_GB2312" w:eastAsia="仿宋_GB2312" w:hAnsi="仿宋_GB2312" w:cs="仿宋_GB2312" w:hint="eastAsia"/>
          <w:bCs/>
          <w:color w:val="000000"/>
          <w:sz w:val="32"/>
          <w:szCs w:val="32"/>
        </w:rPr>
        <w:t>月</w:t>
      </w:r>
      <w:r w:rsidR="005817A5">
        <w:rPr>
          <w:rFonts w:ascii="仿宋_GB2312" w:eastAsia="仿宋_GB2312" w:hAnsi="仿宋_GB2312" w:cs="仿宋_GB2312" w:hint="eastAsia"/>
          <w:bCs/>
          <w:color w:val="000000"/>
          <w:sz w:val="32"/>
          <w:szCs w:val="32"/>
        </w:rPr>
        <w:t>1</w:t>
      </w:r>
      <w:r w:rsidR="00E33A2D">
        <w:rPr>
          <w:rFonts w:ascii="仿宋_GB2312" w:eastAsia="仿宋_GB2312" w:hAnsi="仿宋_GB2312" w:cs="仿宋_GB2312" w:hint="eastAsia"/>
          <w:bCs/>
          <w:color w:val="000000"/>
          <w:sz w:val="32"/>
          <w:szCs w:val="32"/>
        </w:rPr>
        <w:t>日</w:t>
      </w:r>
      <w:r w:rsidR="00E33A2D">
        <w:rPr>
          <w:rFonts w:ascii="仿宋_GB2312" w:eastAsia="仿宋_GB2312" w:hAnsi="仿宋_GB2312" w:cs="仿宋_GB2312" w:hint="eastAsia"/>
          <w:bCs/>
          <w:color w:val="000000"/>
          <w:sz w:val="32"/>
          <w:szCs w:val="32"/>
        </w:rPr>
        <w:t>印发</w:t>
      </w:r>
    </w:p>
    <w:sectPr w:rsidSect="00520EEA">
      <w:headerReference w:type="default" r:id="rId5"/>
      <w:footerReference w:type="default" r:id="rId6"/>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A">
    <w:pPr>
      <w:pStyle w:val="Footer"/>
    </w:pPr>
    <w:r>
      <w:pict>
        <v:shapetype id="_x0000_t202" coordsize="21600,21600" o:spt="202" path="m,l,21600r21600,l21600,xe">
          <v:stroke joinstyle="miter"/>
          <v:path gradientshapeok="t" o:connecttype="rect"/>
        </v:shapetype>
        <v:shape id="_x0000_s2050" type="#_x0000_t202" style="width:2in;height:2in;margin-top:0;margin-left:0;mso-position-horizontal:center;mso-position-horizontal-relative:margin;mso-wrap-style:none;position:absolute;z-index:251659264" filled="f" stroked="f">
          <v:textbox style="mso-fit-shape-to-text:t" inset="0,0,0,0">
            <w:txbxContent>
              <w:p w:rsidR="00520EEA">
                <w:pPr>
                  <w:pStyle w:val="Footer"/>
                </w:pPr>
                <w:r>
                  <w:rPr>
                    <w:rFonts w:hint="eastAsia"/>
                  </w:rPr>
                  <w:fldChar w:fldCharType="begin"/>
                </w:r>
                <w:r w:rsidR="00E33A2D">
                  <w:rPr>
                    <w:rFonts w:hint="eastAsia"/>
                  </w:rPr>
                  <w:instrText xml:space="preserve"> PAGE  \* MERGEFORMAT </w:instrText>
                </w:r>
                <w:r>
                  <w:rPr>
                    <w:rFonts w:hint="eastAsia"/>
                  </w:rPr>
                  <w:fldChar w:fldCharType="separate"/>
                </w:r>
                <w:r w:rsidR="003941AC">
                  <w:rPr>
                    <w:noProof/>
                  </w:rPr>
                  <w:t>- 2 -</w:t>
                </w:r>
                <w:r>
                  <w:rPr>
                    <w:rFonts w:hint="eastAsia"/>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EA">
    <w:pPr>
      <w:pStyle w:val="Header"/>
      <w:pBdr>
        <w:bottom w:val="none" w:sz="0" w:space="1" w:color="auto"/>
      </w:pBdr>
    </w:pPr>
    <w:bookmarkStart w:id="0" w:name="_GoBack"/>
    <w:bookmarkEnd w:id="0"/>
  </w:p>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00pt;height:100pt;margin-top:0;margin-left:0;mso-position-horizontal:center;mso-position-horizontal-relative:page;mso-position-vertical:center;mso-position-vertical-relative:page;position:absolute;rotation:-40;z-index:251658240" fillcolor="#e0e0e0" strokecolor="#e0e0e0">
          <v:textpath style="font-family:Arial" string="德州市政府"/>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F89"/>
    <w:rsid w:val="00002B27"/>
    <w:rsid w:val="000265F8"/>
    <w:rsid w:val="0008088A"/>
    <w:rsid w:val="001654B6"/>
    <w:rsid w:val="001913F6"/>
    <w:rsid w:val="001952F1"/>
    <w:rsid w:val="001A7883"/>
    <w:rsid w:val="00387262"/>
    <w:rsid w:val="003941AC"/>
    <w:rsid w:val="00396765"/>
    <w:rsid w:val="003C1292"/>
    <w:rsid w:val="00513162"/>
    <w:rsid w:val="00520EEA"/>
    <w:rsid w:val="00572782"/>
    <w:rsid w:val="005817A5"/>
    <w:rsid w:val="005F0692"/>
    <w:rsid w:val="005F4452"/>
    <w:rsid w:val="00612996"/>
    <w:rsid w:val="006D6394"/>
    <w:rsid w:val="00705CEC"/>
    <w:rsid w:val="0078243D"/>
    <w:rsid w:val="00796BC5"/>
    <w:rsid w:val="007A5E18"/>
    <w:rsid w:val="007A6F89"/>
    <w:rsid w:val="007C1792"/>
    <w:rsid w:val="008C50C6"/>
    <w:rsid w:val="00AA2213"/>
    <w:rsid w:val="00AE1297"/>
    <w:rsid w:val="00B33DB1"/>
    <w:rsid w:val="00BD5B22"/>
    <w:rsid w:val="00C17BA8"/>
    <w:rsid w:val="00C45CE7"/>
    <w:rsid w:val="00CF2C8B"/>
    <w:rsid w:val="00E33A2D"/>
    <w:rsid w:val="00E66628"/>
    <w:rsid w:val="00E701D2"/>
    <w:rsid w:val="00EA0733"/>
    <w:rsid w:val="00EA751F"/>
    <w:rsid w:val="00F31C06"/>
    <w:rsid w:val="00F37AE8"/>
    <w:rsid w:val="00FA482E"/>
    <w:rsid w:val="00FA6215"/>
    <w:rsid w:val="00FE72D4"/>
    <w:rsid w:val="0E182052"/>
    <w:rsid w:val="20FD4C6C"/>
    <w:rsid w:val="2E782B18"/>
    <w:rsid w:val="3A025806"/>
    <w:rsid w:val="4DE52126"/>
    <w:rsid w:val="4F872F45"/>
    <w:rsid w:val="61005312"/>
    <w:rsid w:val="717B7EE2"/>
    <w:rsid w:val="74027756"/>
    <w:rsid w:val="77197FAF"/>
    <w:rsid w:val="7AC7756A"/>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EA"/>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semiHidden/>
    <w:unhideWhenUsed/>
    <w:qFormat/>
    <w:rsid w:val="00520EEA"/>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rsid w:val="00520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qFormat/>
    <w:rsid w:val="00520EEA"/>
    <w:rPr>
      <w:sz w:val="18"/>
      <w:szCs w:val="18"/>
    </w:rPr>
  </w:style>
  <w:style w:type="character" w:customStyle="1" w:styleId="Char0">
    <w:name w:val="页脚 Char"/>
    <w:basedOn w:val="DefaultParagraphFont"/>
    <w:link w:val="Footer"/>
    <w:uiPriority w:val="99"/>
    <w:semiHidden/>
    <w:qFormat/>
    <w:rsid w:val="00520EE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2</cp:revision>
  <cp:lastPrinted>2020-07-02T02:59:00Z</cp:lastPrinted>
  <dcterms:created xsi:type="dcterms:W3CDTF">2020-07-02T03:03:00Z</dcterms:created>
  <dcterms:modified xsi:type="dcterms:W3CDTF">2020-07-02T03:03:00Z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