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Times New Roman" w:hAnsi="Times New Roman" w:eastAsia="方正仿宋_GBK"/>
          <w:spacing w:val="11"/>
          <w:sz w:val="32"/>
          <w:szCs w:val="32"/>
        </w:rPr>
      </w:pPr>
      <w:r>
        <w:rPr>
          <w:rFonts w:ascii="Times New Roman" w:hAnsi="Times New Roman" w:eastAsia="方正仿宋_GBK"/>
          <w:spacing w:val="11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扬州市市级财政支出事前绩效评估表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670"/>
        <w:gridCol w:w="14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评估实施单位</w:t>
            </w:r>
          </w:p>
        </w:tc>
        <w:tc>
          <w:tcPr>
            <w:tcW w:w="7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评估内容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评估标准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评估等级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立项必要性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1.项目设立是否依据充分、需求迫切，与宏观政策和部门职责衔接紧密，且属于市级财政事权。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2.是否与其他项目交叉重复；能否通过与其他项目整合、改善行政管理、市场化运作等方式实现目标。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优  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良  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一般□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差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投入经济性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1.项目支持的对象、范围、方式、标准等是否合理。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2.能否从整体上节约财政资金。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优  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良  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一般□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差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绩效目标合理性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1.项目绩效目标是否经过调查研究和科学论证，符合客观实际和发展规律，预期可实现。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2.绩效指标和指标值是否规范科学，相关数据是否便于获取。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优  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良  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一般□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差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实施方案可行性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1.项目实施方案是否经过规范的可行性论证，具备实施条件。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2.是否制定防范项目实施风险和不确定因素的应对措施。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优  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良  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一般□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差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筹资合规性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1.项目筹资行为是否符合预算法及实施条例等相关规定。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2.资金来源是否合法合规，真实可靠。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优  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良  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一般□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差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优  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良  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一般□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差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7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综合评估等级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优  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良  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一般□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差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7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综合评估意见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adjustRightInd w:val="0"/>
              <w:snapToGrid w:val="0"/>
              <w:jc w:val="right"/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评估实施单位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备注：综合评估等级不能高于立项必要性和实施方案可行性评估等级。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72012AFE"/>
    <w:rsid w:val="7201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2022-11-18T01:35:00Z</dcterms:created>
  <dc:creator>以日之年我行四方</dc:creator>
  <cp:lastModifiedBy>以日之年我行四方</cp:lastModifiedBy>
  <dcterms:modified xsi:type="dcterms:W3CDTF">2022-11-18T01:35:57Z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BD52A0CB13F84CE29DD872F793AB2459</vt:lpwstr>
  </property>
</Properties>
</file>