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bidi w:val="0"/>
        <w:spacing w:before="0" w:beforeAutospacing="0" w:after="0" w:afterAutospacing="0" w:line="600" w:lineRule="exact"/>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附件4</w:t>
      </w:r>
    </w:p>
    <w:p>
      <w:pPr>
        <w:pStyle w:val="5"/>
        <w:keepNext w:val="0"/>
        <w:keepLines w:val="0"/>
        <w:pageBreakBefore w:val="0"/>
        <w:kinsoku/>
        <w:wordWrap/>
        <w:overflowPunct/>
        <w:topLinePunct w:val="0"/>
        <w:bidi w:val="0"/>
        <w:spacing w:line="600" w:lineRule="exact"/>
        <w:ind w:left="-2" w:leftChars="-1" w:firstLine="2"/>
        <w:jc w:val="center"/>
        <w:rPr>
          <w:rFonts w:hint="default" w:ascii="Times New Roman" w:hAnsi="Times New Roman" w:eastAsia="仿宋_GB2312" w:cs="Times New Roman"/>
          <w:b w:val="0"/>
          <w:bCs/>
          <w:sz w:val="44"/>
          <w:szCs w:val="44"/>
        </w:rPr>
      </w:pPr>
      <w:r>
        <w:rPr>
          <w:rFonts w:hint="default" w:ascii="Times New Roman" w:hAnsi="Times New Roman" w:eastAsia="方正小标宋简体" w:cs="Times New Roman"/>
          <w:b w:val="0"/>
          <w:bCs/>
          <w:spacing w:val="-8"/>
          <w:sz w:val="44"/>
          <w:szCs w:val="44"/>
        </w:rPr>
        <w:t>《</w:t>
      </w:r>
      <w:r>
        <w:rPr>
          <w:rFonts w:hint="eastAsia" w:ascii="Times New Roman" w:hAnsi="Times New Roman" w:eastAsia="方正小标宋简体" w:cs="Times New Roman"/>
          <w:b w:val="0"/>
          <w:bCs/>
          <w:spacing w:val="-8"/>
          <w:sz w:val="44"/>
          <w:szCs w:val="44"/>
          <w:lang w:eastAsia="zh-CN"/>
        </w:rPr>
        <w:t>温州市建设行业企业技术中心</w:t>
      </w:r>
      <w:r>
        <w:rPr>
          <w:rFonts w:hint="default" w:ascii="Times New Roman" w:hAnsi="Times New Roman" w:eastAsia="方正小标宋简体" w:cs="Times New Roman"/>
          <w:b w:val="0"/>
          <w:bCs/>
          <w:spacing w:val="-8"/>
          <w:sz w:val="44"/>
          <w:szCs w:val="44"/>
        </w:rPr>
        <w:t>评价指标体系》</w:t>
      </w:r>
    </w:p>
    <w:p>
      <w:pPr>
        <w:pStyle w:val="5"/>
        <w:keepNext w:val="0"/>
        <w:keepLines w:val="0"/>
        <w:pageBreakBefore w:val="0"/>
        <w:kinsoku/>
        <w:wordWrap/>
        <w:overflowPunct/>
        <w:topLinePunct w:val="0"/>
        <w:bidi w:val="0"/>
        <w:spacing w:line="600" w:lineRule="exact"/>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32"/>
          <w:szCs w:val="32"/>
        </w:rPr>
        <w:t>一、</w:t>
      </w:r>
      <w:r>
        <w:rPr>
          <w:rFonts w:hint="eastAsia" w:ascii="Times New Roman" w:hAnsi="Times New Roman" w:eastAsia="黑体" w:cs="Times New Roman"/>
          <w:b w:val="0"/>
          <w:bCs/>
          <w:sz w:val="32"/>
          <w:szCs w:val="32"/>
          <w:lang w:eastAsia="zh-CN"/>
        </w:rPr>
        <w:t>温州市建设行业企业技术中心</w:t>
      </w:r>
      <w:r>
        <w:rPr>
          <w:rFonts w:hint="default" w:ascii="Times New Roman" w:hAnsi="Times New Roman" w:eastAsia="黑体" w:cs="Times New Roman"/>
          <w:b w:val="0"/>
          <w:bCs/>
          <w:sz w:val="32"/>
          <w:szCs w:val="32"/>
        </w:rPr>
        <w:t>评价指标</w:t>
      </w:r>
    </w:p>
    <w:tbl>
      <w:tblPr>
        <w:tblStyle w:val="7"/>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65"/>
        <w:gridCol w:w="945"/>
        <w:gridCol w:w="4980"/>
        <w:gridCol w:w="7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49" w:hRule="atLeast"/>
        </w:trPr>
        <w:tc>
          <w:tcPr>
            <w:tcW w:w="765"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一级指标</w:t>
            </w:r>
          </w:p>
        </w:tc>
        <w:tc>
          <w:tcPr>
            <w:tcW w:w="945"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二级</w:t>
            </w:r>
          </w:p>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指标</w:t>
            </w: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三级指标</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权重（分）</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1" w:hRule="atLeast"/>
        </w:trPr>
        <w:tc>
          <w:tcPr>
            <w:tcW w:w="765" w:type="dxa"/>
            <w:vMerge w:val="restart"/>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创新</w:t>
            </w:r>
          </w:p>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机制</w:t>
            </w:r>
          </w:p>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（30）</w:t>
            </w:r>
          </w:p>
        </w:tc>
        <w:tc>
          <w:tcPr>
            <w:tcW w:w="945" w:type="dxa"/>
            <w:vMerge w:val="restart"/>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创新体系（8）</w:t>
            </w: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kern w:val="0"/>
              </w:rPr>
            </w:pPr>
            <w:r>
              <w:rPr>
                <w:rFonts w:hint="default" w:ascii="Times New Roman" w:hAnsi="Times New Roman" w:cs="Times New Roman"/>
                <w:b w:val="0"/>
                <w:bCs/>
                <w:kern w:val="0"/>
              </w:rPr>
              <w:t>企业技术创新战略制定与实施效果</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5</w:t>
            </w:r>
          </w:p>
        </w:tc>
        <w:tc>
          <w:tcPr>
            <w:tcW w:w="180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default" w:ascii="Times New Roman" w:hAnsi="Times New Roman" w:cs="Times New Roman"/>
                <w:b w:val="0"/>
                <w:bCs/>
                <w:kern w:val="0"/>
              </w:rPr>
            </w:pPr>
            <w:r>
              <w:rPr>
                <w:rFonts w:hint="default" w:ascii="Times New Roman" w:hAnsi="Times New Roman" w:cs="Times New Roman"/>
                <w:b w:val="0"/>
                <w:bCs/>
                <w:kern w:val="0"/>
              </w:rPr>
              <w:t>好5分、较好3分、</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default" w:ascii="Times New Roman" w:hAnsi="Times New Roman" w:cs="Times New Roman"/>
                <w:b w:val="0"/>
                <w:bCs/>
                <w:kern w:val="0"/>
              </w:rPr>
            </w:pPr>
            <w:r>
              <w:rPr>
                <w:rFonts w:hint="default" w:ascii="Times New Roman" w:hAnsi="Times New Roman" w:cs="Times New Roman"/>
                <w:b w:val="0"/>
                <w:bCs/>
                <w:kern w:val="0"/>
              </w:rPr>
              <w:t>一般1分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1"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kern w:val="0"/>
              </w:rPr>
            </w:pPr>
            <w:r>
              <w:rPr>
                <w:rFonts w:hint="default" w:ascii="Times New Roman" w:hAnsi="Times New Roman" w:cs="Times New Roman"/>
                <w:b w:val="0"/>
                <w:bCs/>
                <w:kern w:val="0"/>
              </w:rPr>
              <w:t>技术中心组织机构与运行机制</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3</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restart"/>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经费投入</w:t>
            </w:r>
          </w:p>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（12）</w:t>
            </w: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研究与试验发展经费投入机制与执行情况</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4</w:t>
            </w:r>
          </w:p>
        </w:tc>
        <w:tc>
          <w:tcPr>
            <w:tcW w:w="1800" w:type="dxa"/>
            <w:noWrap w:val="0"/>
            <w:vAlign w:val="center"/>
          </w:tcPr>
          <w:p>
            <w:pPr>
              <w:keepNext w:val="0"/>
              <w:keepLines w:val="0"/>
              <w:pageBreakBefore w:val="0"/>
              <w:kinsoku/>
              <w:wordWrap/>
              <w:overflowPunct/>
              <w:topLinePunct w:val="0"/>
              <w:autoSpaceDE w:val="0"/>
              <w:autoSpaceDN w:val="0"/>
              <w:bidi w:val="0"/>
              <w:adjustRightInd w:val="0"/>
              <w:snapToGri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94"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研究与试验发展经费占企业结算收入的比重</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8</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94"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restart"/>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人才投入</w:t>
            </w:r>
          </w:p>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（10）</w:t>
            </w: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中心年人员年人均收入与企业职工年人均收入之比</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5</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7"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技术中心人员培训费占研发经费比重</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5</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eastAsia="宋体" w:cs="Times New Roman"/>
                <w:b w:val="0"/>
                <w:bCs/>
                <w:color w:val="auto"/>
                <w:kern w:val="0"/>
                <w:lang w:eastAsia="zh-CN"/>
              </w:rPr>
            </w:pPr>
            <w:r>
              <w:rPr>
                <w:rFonts w:hint="default" w:ascii="Times New Roman" w:hAnsi="Times New Roman" w:cs="Times New Roman"/>
                <w:b w:val="0"/>
                <w:bCs/>
                <w:color w:val="auto"/>
                <w:kern w:val="0"/>
              </w:rPr>
              <w:t>≥</w:t>
            </w:r>
            <w:r>
              <w:rPr>
                <w:rFonts w:hint="default" w:ascii="Times New Roman" w:hAnsi="Times New Roman" w:cs="Times New Roman"/>
                <w:b w:val="0"/>
                <w:bCs/>
                <w:color w:val="auto"/>
                <w:kern w:val="0"/>
                <w:lang w:val="en-US" w:eastAsia="zh-CN"/>
              </w:rPr>
              <w:t>2</w:t>
            </w:r>
            <w:r>
              <w:rPr>
                <w:rFonts w:hint="default" w:ascii="Times New Roman" w:hAnsi="Times New Roman" w:cs="Times New Roman"/>
                <w:b w:val="0"/>
                <w:bCs/>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35" w:hRule="atLeast"/>
        </w:trPr>
        <w:tc>
          <w:tcPr>
            <w:tcW w:w="765" w:type="dxa"/>
            <w:vMerge w:val="restart"/>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创新</w:t>
            </w:r>
          </w:p>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过程</w:t>
            </w:r>
          </w:p>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（30）</w:t>
            </w:r>
          </w:p>
        </w:tc>
        <w:tc>
          <w:tcPr>
            <w:tcW w:w="945" w:type="dxa"/>
            <w:vMerge w:val="restart"/>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创新队伍</w:t>
            </w:r>
          </w:p>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建设（8）</w:t>
            </w: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一级注册执业资格人员数</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5</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eastAsia="宋体" w:cs="Times New Roman"/>
                <w:b w:val="0"/>
                <w:bCs/>
                <w:color w:val="auto"/>
                <w:kern w:val="0"/>
                <w:lang w:eastAsia="zh-CN"/>
              </w:rPr>
            </w:pPr>
            <w:r>
              <w:rPr>
                <w:rFonts w:hint="default" w:ascii="Times New Roman" w:hAnsi="Times New Roman" w:cs="Times New Roman"/>
                <w:b w:val="0"/>
                <w:bCs/>
                <w:color w:val="auto"/>
                <w:kern w:val="0"/>
              </w:rPr>
              <w:t>≥1</w:t>
            </w:r>
            <w:r>
              <w:rPr>
                <w:rFonts w:hint="default" w:ascii="Times New Roman" w:hAnsi="Times New Roman" w:cs="Times New Roman"/>
                <w:b w:val="0"/>
                <w:bCs/>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79"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技术中心高级职称人员占中心人数比重</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4</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08"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restart"/>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条件建设（12）</w:t>
            </w: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企业技术开发仪器设备原值</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3</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31"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rPr>
              <w:t>近两年企业信息化建设投入和BIM技术应用情况</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6</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91"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restart"/>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技术储备</w:t>
            </w:r>
          </w:p>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（10）</w:t>
            </w: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企业研发项目数</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6</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91"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 xml:space="preserve">    近两年中长期研发项目数</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1</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eastAsia="宋体" w:cs="Times New Roman"/>
                <w:b w:val="0"/>
                <w:bCs/>
                <w:color w:val="auto"/>
                <w:kern w:val="0"/>
                <w:lang w:eastAsia="zh-CN"/>
              </w:rPr>
            </w:pPr>
            <w:r>
              <w:rPr>
                <w:rFonts w:hint="default" w:ascii="Times New Roman" w:hAnsi="Times New Roman" w:cs="Times New Roman"/>
                <w:b w:val="0"/>
                <w:bCs/>
                <w:color w:val="auto"/>
                <w:kern w:val="0"/>
              </w:rPr>
              <w:t>≥</w:t>
            </w:r>
            <w:r>
              <w:rPr>
                <w:rFonts w:hint="default" w:ascii="Times New Roman" w:hAnsi="Times New Roman" w:cs="Times New Roman"/>
                <w:b w:val="0"/>
                <w:bCs/>
                <w:color w:val="auto"/>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91"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 xml:space="preserve">    近两年产学研合作项目数</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1</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eastAsia="宋体" w:cs="Times New Roman"/>
                <w:b w:val="0"/>
                <w:bCs/>
                <w:color w:val="auto"/>
                <w:kern w:val="0"/>
                <w:lang w:eastAsia="zh-CN"/>
              </w:rPr>
            </w:pPr>
            <w:r>
              <w:rPr>
                <w:rFonts w:hint="default" w:ascii="Times New Roman" w:hAnsi="Times New Roman" w:cs="Times New Roman"/>
                <w:b w:val="0"/>
                <w:bCs/>
                <w:color w:val="auto"/>
                <w:kern w:val="0"/>
              </w:rPr>
              <w:t>≥</w:t>
            </w:r>
            <w:r>
              <w:rPr>
                <w:rFonts w:hint="default" w:ascii="Times New Roman" w:hAnsi="Times New Roman" w:cs="Times New Roman"/>
                <w:b w:val="0"/>
                <w:bCs/>
                <w:color w:val="auto"/>
                <w:kern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82"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企业有效专利数</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4</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6" w:hRule="atLeast"/>
        </w:trPr>
        <w:tc>
          <w:tcPr>
            <w:tcW w:w="765" w:type="dxa"/>
            <w:vMerge w:val="restart"/>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创新</w:t>
            </w:r>
          </w:p>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绩效</w:t>
            </w:r>
          </w:p>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（40）</w:t>
            </w:r>
          </w:p>
        </w:tc>
        <w:tc>
          <w:tcPr>
            <w:tcW w:w="945" w:type="dxa"/>
            <w:vMerge w:val="restart"/>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技术创新</w:t>
            </w:r>
          </w:p>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产出（20）</w:t>
            </w: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近两年企业的授权专利数</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5</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39"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近两年获得省级工法数</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eastAsia="宋体" w:cs="Times New Roman"/>
                <w:b w:val="0"/>
                <w:bCs/>
                <w:color w:val="auto"/>
                <w:kern w:val="0"/>
                <w:lang w:eastAsia="zh-CN"/>
              </w:rPr>
            </w:pPr>
            <w:r>
              <w:rPr>
                <w:rFonts w:hint="default" w:ascii="Times New Roman" w:hAnsi="Times New Roman" w:cs="Times New Roman"/>
                <w:b w:val="0"/>
                <w:bCs/>
                <w:color w:val="auto"/>
                <w:kern w:val="0"/>
                <w:lang w:val="en-US" w:eastAsia="zh-CN"/>
              </w:rPr>
              <w:t>6</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39"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eastAsia" w:ascii="Times New Roman" w:hAnsi="Times New Roman" w:eastAsia="宋体" w:cs="Times New Roman"/>
                <w:b w:val="0"/>
                <w:bCs/>
                <w:color w:val="auto"/>
                <w:kern w:val="0"/>
                <w:lang w:val="en-US" w:eastAsia="zh-CN"/>
              </w:rPr>
            </w:pPr>
            <w:r>
              <w:rPr>
                <w:rFonts w:hint="default" w:ascii="Times New Roman" w:hAnsi="Times New Roman" w:cs="Times New Roman"/>
                <w:b w:val="0"/>
                <w:bCs/>
                <w:color w:val="auto"/>
                <w:kern w:val="0"/>
              </w:rPr>
              <w:t>近两年获得温州市工法</w:t>
            </w:r>
            <w:r>
              <w:rPr>
                <w:rFonts w:hint="eastAsia" w:ascii="Times New Roman" w:hAnsi="Times New Roman" w:cs="Times New Roman"/>
                <w:b w:val="0"/>
                <w:bCs/>
                <w:color w:val="auto"/>
                <w:kern w:val="0"/>
                <w:lang w:val="en-US" w:eastAsia="zh-CN"/>
              </w:rPr>
              <w:t>数</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lang w:val="en-US" w:eastAsia="zh-CN"/>
              </w:rPr>
            </w:pPr>
            <w:r>
              <w:rPr>
                <w:rFonts w:hint="default" w:ascii="Times New Roman" w:hAnsi="Times New Roman" w:cs="Times New Roman"/>
                <w:b w:val="0"/>
                <w:bCs/>
                <w:color w:val="auto"/>
                <w:kern w:val="0"/>
                <w:lang w:val="en-US" w:eastAsia="zh-CN"/>
              </w:rPr>
              <w:t>3</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92"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rPr>
              <w:t>近两年主持和参与制定的国家、行业、地方标准数</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6</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85"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restart"/>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创新效益</w:t>
            </w:r>
          </w:p>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（20）</w:t>
            </w: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近两年获国家级、省级建筑业示范工程数</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5</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71"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近两年获省级优质工程质量奖数</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5</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eastAsia="宋体" w:cs="Times New Roman"/>
                <w:b w:val="0"/>
                <w:bCs/>
                <w:color w:val="auto"/>
                <w:kern w:val="0"/>
                <w:lang w:eastAsia="zh-CN"/>
              </w:rPr>
            </w:pPr>
            <w:r>
              <w:rPr>
                <w:rFonts w:hint="default" w:ascii="Times New Roman" w:hAnsi="Times New Roman" w:cs="Times New Roman"/>
                <w:b w:val="0"/>
                <w:bCs/>
                <w:color w:val="auto"/>
                <w:kern w:val="0"/>
              </w:rPr>
              <w:t>≥</w:t>
            </w:r>
            <w:r>
              <w:rPr>
                <w:rFonts w:hint="default" w:ascii="Times New Roman" w:hAnsi="Times New Roman" w:cs="Times New Roman"/>
                <w:b w:val="0"/>
                <w:bCs/>
                <w:color w:val="auto"/>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94"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产值利润率(%)</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10</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69" w:hRule="atLeast"/>
        </w:trPr>
        <w:tc>
          <w:tcPr>
            <w:tcW w:w="765" w:type="dxa"/>
            <w:vMerge w:val="restart"/>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加分</w:t>
            </w:r>
          </w:p>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与</w:t>
            </w:r>
          </w:p>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扣分</w:t>
            </w:r>
          </w:p>
        </w:tc>
        <w:tc>
          <w:tcPr>
            <w:tcW w:w="945" w:type="dxa"/>
            <w:vMerge w:val="restart"/>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加分</w:t>
            </w: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近五年获詹天佑奖、鲁班奖、国家优质工程奖、国家技术发明奖、国家科技进步奖、省级技术发明一等奖、省级科技进步一等奖</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3</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5"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企业拥有博士后科研工作站、院士专家工作站数</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3</w:t>
            </w:r>
          </w:p>
        </w:tc>
        <w:tc>
          <w:tcPr>
            <w:tcW w:w="1800" w:type="dxa"/>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cs="Times New Roman"/>
                <w:b w:val="0"/>
                <w:bCs/>
                <w:color w:val="auto"/>
              </w:rPr>
            </w:pPr>
            <w:r>
              <w:rPr>
                <w:rFonts w:hint="default" w:ascii="Times New Roman" w:hAnsi="Times New Roman" w:cs="Times New Roman"/>
                <w:b w:val="0"/>
                <w:bCs/>
                <w:color w:val="auto"/>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95"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4980" w:type="dxa"/>
            <w:noWrap w:val="0"/>
            <w:vAlign w:val="center"/>
          </w:tcPr>
          <w:p>
            <w:pPr>
              <w:keepNext w:val="0"/>
              <w:keepLines w:val="0"/>
              <w:pageBreakBefore w:val="0"/>
              <w:kinsoku/>
              <w:wordWrap/>
              <w:overflowPunct/>
              <w:topLinePunct w:val="0"/>
              <w:bidi w:val="0"/>
              <w:snapToGrid w:val="0"/>
              <w:spacing w:line="600" w:lineRule="exact"/>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近两年企业与国际科研机构合作研发项目数</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2</w:t>
            </w:r>
          </w:p>
        </w:tc>
        <w:tc>
          <w:tcPr>
            <w:tcW w:w="1800" w:type="dxa"/>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cs="Times New Roman"/>
                <w:b w:val="0"/>
                <w:bCs/>
                <w:color w:val="auto"/>
              </w:rPr>
            </w:pPr>
            <w:r>
              <w:rPr>
                <w:rFonts w:hint="default" w:ascii="Times New Roman" w:hAnsi="Times New Roman" w:cs="Times New Roman"/>
                <w:b w:val="0"/>
                <w:bCs/>
                <w:color w:val="auto"/>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48"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4980" w:type="dxa"/>
            <w:noWrap w:val="0"/>
            <w:vAlign w:val="center"/>
          </w:tcPr>
          <w:p>
            <w:pPr>
              <w:keepNext w:val="0"/>
              <w:keepLines w:val="0"/>
              <w:pageBreakBefore w:val="0"/>
              <w:kinsoku/>
              <w:wordWrap/>
              <w:overflowPunct/>
              <w:topLinePunct w:val="0"/>
              <w:bidi w:val="0"/>
              <w:snapToGrid w:val="0"/>
              <w:spacing w:line="600" w:lineRule="exact"/>
              <w:rPr>
                <w:rFonts w:hint="default" w:ascii="Times New Roman" w:hAnsi="Times New Roman" w:eastAsia="宋体" w:cs="Times New Roman"/>
                <w:b w:val="0"/>
                <w:bCs/>
                <w:color w:val="auto"/>
                <w:kern w:val="0"/>
                <w:lang w:eastAsia="zh-CN"/>
              </w:rPr>
            </w:pPr>
            <w:r>
              <w:rPr>
                <w:rFonts w:hint="default" w:ascii="Times New Roman" w:hAnsi="Times New Roman" w:cs="Times New Roman"/>
                <w:b w:val="0"/>
                <w:bCs/>
                <w:color w:val="auto"/>
                <w:kern w:val="0"/>
              </w:rPr>
              <w:t>近两年BIM技术应用成果获省级以上奖项数</w:t>
            </w:r>
            <w:r>
              <w:rPr>
                <w:rFonts w:hint="default" w:ascii="Times New Roman" w:hAnsi="Times New Roman" w:cs="Times New Roman"/>
                <w:b w:val="0"/>
                <w:bCs/>
                <w:color w:val="auto"/>
                <w:kern w:val="0"/>
                <w:lang w:eastAsia="zh-CN"/>
              </w:rPr>
              <w:t>（智能制造场景应用、智慧工地）</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color w:val="auto"/>
                <w:kern w:val="0"/>
              </w:rPr>
            </w:pPr>
            <w:r>
              <w:rPr>
                <w:rFonts w:hint="default" w:ascii="Times New Roman" w:hAnsi="Times New Roman" w:cs="Times New Roman"/>
                <w:b w:val="0"/>
                <w:bCs/>
                <w:color w:val="auto"/>
                <w:kern w:val="0"/>
              </w:rPr>
              <w:t>2</w:t>
            </w:r>
          </w:p>
        </w:tc>
        <w:tc>
          <w:tcPr>
            <w:tcW w:w="1800" w:type="dxa"/>
            <w:noWrap w:val="0"/>
            <w:vAlign w:val="center"/>
          </w:tcPr>
          <w:p>
            <w:pPr>
              <w:keepNext w:val="0"/>
              <w:keepLines w:val="0"/>
              <w:pageBreakBefore w:val="0"/>
              <w:kinsoku/>
              <w:wordWrap/>
              <w:overflowPunct/>
              <w:topLinePunct w:val="0"/>
              <w:bidi w:val="0"/>
              <w:spacing w:line="600" w:lineRule="exact"/>
              <w:jc w:val="center"/>
              <w:rPr>
                <w:rFonts w:hint="default" w:ascii="Times New Roman" w:hAnsi="Times New Roman" w:cs="Times New Roman"/>
                <w:b w:val="0"/>
                <w:bCs/>
                <w:color w:val="auto"/>
              </w:rPr>
            </w:pPr>
            <w:r>
              <w:rPr>
                <w:rFonts w:hint="default" w:ascii="Times New Roman" w:hAnsi="Times New Roman" w:cs="Times New Roman"/>
                <w:b w:val="0"/>
                <w:bCs/>
                <w:color w:val="auto"/>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36" w:hRule="atLeast"/>
        </w:trPr>
        <w:tc>
          <w:tcPr>
            <w:tcW w:w="765" w:type="dxa"/>
            <w:vMerge w:val="continue"/>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p>
        </w:tc>
        <w:tc>
          <w:tcPr>
            <w:tcW w:w="945"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扣分</w:t>
            </w:r>
          </w:p>
        </w:tc>
        <w:tc>
          <w:tcPr>
            <w:tcW w:w="498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kern w:val="0"/>
              </w:rPr>
            </w:pPr>
            <w:r>
              <w:rPr>
                <w:rFonts w:hint="default" w:ascii="Times New Roman" w:hAnsi="Times New Roman" w:cs="Times New Roman"/>
                <w:b w:val="0"/>
                <w:bCs/>
                <w:kern w:val="0"/>
              </w:rPr>
              <w:t>企业经营亏损</w:t>
            </w:r>
          </w:p>
        </w:tc>
        <w:tc>
          <w:tcPr>
            <w:tcW w:w="720" w:type="dxa"/>
            <w:noWrap w:val="0"/>
            <w:vAlign w:val="center"/>
          </w:tcPr>
          <w:p>
            <w:pPr>
              <w:keepNext w:val="0"/>
              <w:keepLines w:val="0"/>
              <w:pageBreakBefore w:val="0"/>
              <w:kinsoku/>
              <w:wordWrap/>
              <w:overflowPunct/>
              <w:topLinePunct w:val="0"/>
              <w:autoSpaceDE w:val="0"/>
              <w:autoSpaceDN w:val="0"/>
              <w:bidi w:val="0"/>
              <w:adjustRightInd w:val="0"/>
              <w:spacing w:line="600" w:lineRule="exact"/>
              <w:jc w:val="center"/>
              <w:rPr>
                <w:rFonts w:hint="default" w:ascii="Times New Roman" w:hAnsi="Times New Roman" w:cs="Times New Roman"/>
                <w:b w:val="0"/>
                <w:bCs/>
                <w:kern w:val="0"/>
              </w:rPr>
            </w:pPr>
            <w:r>
              <w:rPr>
                <w:rFonts w:hint="default" w:ascii="Times New Roman" w:hAnsi="Times New Roman" w:cs="Times New Roman"/>
                <w:b w:val="0"/>
                <w:bCs/>
                <w:kern w:val="0"/>
              </w:rPr>
              <w:t>5</w:t>
            </w:r>
          </w:p>
        </w:tc>
        <w:tc>
          <w:tcPr>
            <w:tcW w:w="1800" w:type="dxa"/>
            <w:noWrap w:val="0"/>
            <w:vAlign w:val="center"/>
          </w:tcPr>
          <w:p>
            <w:pPr>
              <w:keepNext w:val="0"/>
              <w:keepLines w:val="0"/>
              <w:pageBreakBefore w:val="0"/>
              <w:kinsoku/>
              <w:wordWrap/>
              <w:overflowPunct/>
              <w:topLinePunct w:val="0"/>
              <w:autoSpaceDE w:val="0"/>
              <w:autoSpaceDN w:val="0"/>
              <w:bidi w:val="0"/>
              <w:adjustRightInd w:val="0"/>
              <w:spacing w:line="600" w:lineRule="exact"/>
              <w:rPr>
                <w:rFonts w:hint="default" w:ascii="Times New Roman" w:hAnsi="Times New Roman" w:cs="Times New Roman"/>
                <w:b w:val="0"/>
                <w:bCs/>
                <w:kern w:val="0"/>
              </w:rPr>
            </w:pPr>
          </w:p>
        </w:tc>
      </w:tr>
    </w:tbl>
    <w:p>
      <w:pPr>
        <w:pStyle w:val="5"/>
        <w:keepNext w:val="0"/>
        <w:keepLines w:val="0"/>
        <w:pageBreakBefore w:val="0"/>
        <w:kinsoku/>
        <w:wordWrap/>
        <w:overflowPunct/>
        <w:topLinePunct w:val="0"/>
        <w:bidi w:val="0"/>
        <w:spacing w:before="0" w:beforeAutospacing="0" w:after="0" w:afterAutospacing="0" w:line="600" w:lineRule="exact"/>
        <w:ind w:firstLine="640" w:firstLineChars="200"/>
        <w:rPr>
          <w:rFonts w:hint="default" w:ascii="Times New Roman" w:hAnsi="Times New Roman" w:eastAsia="黑体" w:cs="Times New Roman"/>
          <w:b w:val="0"/>
          <w:bCs/>
          <w:sz w:val="32"/>
          <w:szCs w:val="32"/>
        </w:rPr>
      </w:pPr>
    </w:p>
    <w:p>
      <w:pPr>
        <w:pStyle w:val="5"/>
        <w:keepNext w:val="0"/>
        <w:keepLines w:val="0"/>
        <w:pageBreakBefore w:val="0"/>
        <w:kinsoku/>
        <w:wordWrap/>
        <w:overflowPunct/>
        <w:topLinePunct w:val="0"/>
        <w:bidi w:val="0"/>
        <w:spacing w:before="0" w:beforeAutospacing="0" w:after="0" w:afterAutospacing="0" w:line="600" w:lineRule="exact"/>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br w:type="page"/>
      </w:r>
      <w:r>
        <w:rPr>
          <w:rFonts w:hint="default" w:ascii="Times New Roman" w:hAnsi="Times New Roman" w:eastAsia="黑体" w:cs="Times New Roman"/>
          <w:b w:val="0"/>
          <w:bCs/>
          <w:sz w:val="32"/>
          <w:szCs w:val="32"/>
        </w:rPr>
        <w:t>二、</w:t>
      </w:r>
      <w:r>
        <w:rPr>
          <w:rFonts w:hint="eastAsia" w:ascii="Times New Roman" w:hAnsi="Times New Roman" w:eastAsia="黑体" w:cs="Times New Roman"/>
          <w:b w:val="0"/>
          <w:bCs/>
          <w:sz w:val="32"/>
          <w:szCs w:val="32"/>
          <w:lang w:eastAsia="zh-CN"/>
        </w:rPr>
        <w:t>温州市建设行业企业技术中心</w:t>
      </w:r>
      <w:r>
        <w:rPr>
          <w:rFonts w:hint="default" w:ascii="Times New Roman" w:hAnsi="Times New Roman" w:eastAsia="黑体" w:cs="Times New Roman"/>
          <w:b w:val="0"/>
          <w:bCs/>
          <w:sz w:val="32"/>
          <w:szCs w:val="32"/>
        </w:rPr>
        <w:t>评价指标解释</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1.企业技术创新战略制定与实施效果：技术中心中长期创新战略具体内容，近期在技术创新方面拟实施的重点举措，技术创新战略的实施进展和保障措施。</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2.技术中心组织机构与运行机制：技术中心建立明确的组织机构、独立的财务核算体系和健全的运行机制，包括经费预算制度、组织管理体系、规章制度、人才引进培养和激励机制等。</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3.研究与试验发展经费投入制度与执行情况：技术中心研究与试验发展经费预决算机制及其实际执行与监管情况。</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4.研究与试验发展经费支出额：报告年度内企业研究与试验发展活动的经费支出合计，包括企业内部的日常研发经费支出，当年形成用于研发的固定资产支出和委托外单位开展研发的经费支出。</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5.企业结算收入：报告年度内企业确认的销售商品、提供劳务等主营业务的收入。根据会计“主营业务收入”科目的期末贷方余额填报。若审计报告或财务报表中未设置该科目，以“营业收入”代替填报。</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6.技术中心人员年收入总额：技术中心在册全体工作人员的年货币总收入，包括工资、福利费、奖金、政策补贴、项目提成等各项货币收入的总和。</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7.技术中心人员数：在技术中心工作并取得劳动报酬的从业人员数目。</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8.企业职工年人均收入：在报告年度内直接支付给本单位全部就业人员的劳动报酬，包括计时工资、计件工资、奖金、津贴和补贴、加班加点工资、特殊情况下支付的工资，是在岗职工工资总额、劳务派遣人员工资总额和其他就业人员工资总额之和。</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9.企业职工总数：企业在岗职工人数。</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10.技术中心人员培训费：技术中心工作人员在国内外接受继续教育和专项培训的费用总支出。</w:t>
      </w:r>
      <w:r>
        <w:rPr>
          <w:rFonts w:hint="default" w:ascii="Times New Roman" w:hAnsi="Times New Roman" w:eastAsia="仿宋_GB2312" w:cs="Times New Roman"/>
          <w:b w:val="0"/>
          <w:bCs/>
          <w:spacing w:val="-10"/>
          <w:sz w:val="32"/>
          <w:szCs w:val="32"/>
        </w:rPr>
        <w:cr/>
      </w:r>
      <w:r>
        <w:rPr>
          <w:rFonts w:hint="default" w:ascii="Times New Roman" w:hAnsi="Times New Roman" w:eastAsia="仿宋_GB2312" w:cs="Times New Roman"/>
          <w:b w:val="0"/>
          <w:bCs/>
          <w:spacing w:val="-10"/>
          <w:sz w:val="32"/>
          <w:szCs w:val="32"/>
        </w:rPr>
        <w:t xml:space="preserve">    11.一级注册执业资格人员数：企业在册员工中拥有国家建筑业主管部门认定的（一级）注册建设执业资格者人数。</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12.技术中心高级职称人员数：技术中心人员中拥有高级技术职称的人员数目。</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13.企业技术开发仪器设备原值：报告年度末企业用于科研、技术开发检测、试验等方面的仪器、科研设备、中间试验设备的原值（账面原值）。</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14.近两年企业信息化建设投入：包括报告年度在内的两年内，企业以提高企业生产、经营、管理的效率为目的，利用信息技术为手段，所产生经费支出的总和。企业信息化主要包括：</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1) 产品研发设计信息化；</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2) 企业生产过程信息化；</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3) 企业经营管理信息化。</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15.BIM 技术应用情况：BIM 技术（企业信息化建设和建筑信息模型 Building Information Modeling，简称 BIM）应用于建筑工程的设计、施工管理及运营等过程，在建筑设计、三维可视化、成本预测、节能设计、施工管理及优化、性能测试与评估及信息资源利用等方面取得成果的情况。</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16.企业研发项目数：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17.近两年中长期研发项目数：企业在包含报告年度在内的两年内研究开发周期在三年以上（含三年）的研发项目数。</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18.近两年产学研合作项目数：企业在包含报告年度在内的两年内与科研机构、高等院校或企业联合开展的科研项目数。</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19.企业有效专利数：报告年度末企业作为专利权人拥有的、经国内外知识产权行政部门授予且在有效期内的专利数目。</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20.企业近两年授权专利数：企业在含报告年度在内的两年内获得授权的专利件数。</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2</w:t>
      </w:r>
      <w:r>
        <w:rPr>
          <w:rFonts w:hint="default" w:ascii="Times New Roman" w:hAnsi="Times New Roman" w:eastAsia="仿宋_GB2312" w:cs="Times New Roman"/>
          <w:b w:val="0"/>
          <w:bCs/>
          <w:spacing w:val="-10"/>
          <w:sz w:val="32"/>
          <w:szCs w:val="32"/>
          <w:lang w:val="en-US" w:eastAsia="zh-CN"/>
        </w:rPr>
        <w:t>1</w:t>
      </w:r>
      <w:r>
        <w:rPr>
          <w:rFonts w:hint="default" w:ascii="Times New Roman" w:hAnsi="Times New Roman" w:eastAsia="仿宋_GB2312" w:cs="Times New Roman"/>
          <w:b w:val="0"/>
          <w:bCs/>
          <w:spacing w:val="-10"/>
          <w:sz w:val="32"/>
          <w:szCs w:val="32"/>
        </w:rPr>
        <w:t>.近两年获得省级工法数：企业在包括报告年度在内的两年内获得的省级工法数目。</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2</w:t>
      </w:r>
      <w:r>
        <w:rPr>
          <w:rFonts w:hint="default" w:ascii="Times New Roman" w:hAnsi="Times New Roman" w:eastAsia="仿宋_GB2312" w:cs="Times New Roman"/>
          <w:b w:val="0"/>
          <w:bCs/>
          <w:spacing w:val="-10"/>
          <w:sz w:val="32"/>
          <w:szCs w:val="32"/>
          <w:lang w:val="en-US" w:eastAsia="zh-CN"/>
        </w:rPr>
        <w:t>2</w:t>
      </w:r>
      <w:r>
        <w:rPr>
          <w:rFonts w:hint="default" w:ascii="Times New Roman" w:hAnsi="Times New Roman" w:eastAsia="仿宋_GB2312" w:cs="Times New Roman"/>
          <w:b w:val="0"/>
          <w:bCs/>
          <w:spacing w:val="-10"/>
          <w:sz w:val="32"/>
          <w:szCs w:val="32"/>
        </w:rPr>
        <w:t>.</w:t>
      </w:r>
      <w:r>
        <w:rPr>
          <w:rFonts w:hint="default" w:ascii="Times New Roman" w:hAnsi="Times New Roman" w:eastAsia="仿宋_GB2312" w:cs="Times New Roman"/>
          <w:b w:val="0"/>
          <w:bCs/>
          <w:spacing w:val="-10"/>
          <w:sz w:val="32"/>
          <w:szCs w:val="32"/>
          <w:lang w:eastAsia="zh-CN"/>
        </w:rPr>
        <w:t>近两年获得温州市工法</w:t>
      </w:r>
      <w:r>
        <w:rPr>
          <w:rFonts w:hint="eastAsia" w:ascii="Times New Roman" w:hAnsi="Times New Roman" w:eastAsia="仿宋_GB2312" w:cs="Times New Roman"/>
          <w:b w:val="0"/>
          <w:bCs/>
          <w:spacing w:val="-10"/>
          <w:sz w:val="32"/>
          <w:szCs w:val="32"/>
          <w:lang w:val="en-US" w:eastAsia="zh-CN"/>
        </w:rPr>
        <w:t>数</w:t>
      </w:r>
      <w:r>
        <w:rPr>
          <w:rFonts w:hint="default" w:ascii="Times New Roman" w:hAnsi="Times New Roman" w:eastAsia="仿宋_GB2312" w:cs="Times New Roman"/>
          <w:b w:val="0"/>
          <w:bCs/>
          <w:spacing w:val="-10"/>
          <w:sz w:val="32"/>
          <w:szCs w:val="32"/>
        </w:rPr>
        <w:t>：企业在包括报告年度在内的两年内获得的</w:t>
      </w:r>
      <w:r>
        <w:rPr>
          <w:rFonts w:hint="default" w:ascii="Times New Roman" w:hAnsi="Times New Roman" w:eastAsia="仿宋_GB2312" w:cs="Times New Roman"/>
          <w:b w:val="0"/>
          <w:bCs/>
          <w:spacing w:val="-10"/>
          <w:sz w:val="32"/>
          <w:szCs w:val="32"/>
          <w:lang w:eastAsia="zh-CN"/>
        </w:rPr>
        <w:t>市</w:t>
      </w:r>
      <w:r>
        <w:rPr>
          <w:rFonts w:hint="default" w:ascii="Times New Roman" w:hAnsi="Times New Roman" w:eastAsia="仿宋_GB2312" w:cs="Times New Roman"/>
          <w:b w:val="0"/>
          <w:bCs/>
          <w:spacing w:val="-10"/>
          <w:sz w:val="32"/>
          <w:szCs w:val="32"/>
        </w:rPr>
        <w:t>级工法数目。</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23.近两年主持和参与制定的标准数：企业在包括报告年度的两年内主持或参加制定，在报告年度年末之前颁布，目前仍有效执行的国际、国家、行业、地方、或团体标准数量。</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24.近两年获国家级、省级建筑业示范工程数：企业在包括报告年度在内的两年内获得验收证书的国家级、省级建筑业示范工程数目。</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25.近两年获省级优质工程质量奖数：企业在包括报告年度在内的两年内获得的省级优质工程质量奖数目。</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26.产值利润率：企业在报告年度内销售利润总额与总产值之比。</w:t>
      </w:r>
      <w:r>
        <w:rPr>
          <w:rFonts w:hint="default" w:ascii="Times New Roman" w:hAnsi="Times New Roman" w:eastAsia="仿宋_GB2312" w:cs="Times New Roman"/>
          <w:b w:val="0"/>
          <w:bCs/>
          <w:spacing w:val="-10"/>
          <w:sz w:val="32"/>
          <w:szCs w:val="32"/>
        </w:rPr>
        <w:cr/>
      </w:r>
      <w:r>
        <w:rPr>
          <w:rFonts w:hint="default" w:ascii="Times New Roman" w:hAnsi="Times New Roman" w:eastAsia="仿宋_GB2312" w:cs="Times New Roman"/>
          <w:b w:val="0"/>
          <w:bCs/>
          <w:spacing w:val="-10"/>
          <w:sz w:val="32"/>
          <w:szCs w:val="32"/>
        </w:rPr>
        <w:t xml:space="preserve">    27.近五年获詹天佑奖、鲁班奖、国家优质工程奖、国家技术发明奖、国家科技进步奖、省级技术发明一等奖、省级科技进步一等奖数：企业在包括报告年度的五年内获得詹天佑奖、鲁班奖、国家优质工程奖、国家技 术发明奖、国家科技进步奖、省级技术发明一等奖、省级科技进步一等奖数目，仅指名称完全符合的奖项。</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28.企业拥有博士后科研工作站、院士专家工作站数：在企业设立、并经由人事部审核批准的博士后科研工作站、省级或以上的院士专家工作站数目。</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29.近两年企业与国际科研机构合作研发项目数：企业在包括报告年度在内的两年内与国际上的科研机构、高等院校或企业联合开展的科研项目数。</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lang w:eastAsia="zh-CN"/>
        </w:rPr>
      </w:pPr>
      <w:r>
        <w:rPr>
          <w:rFonts w:hint="default" w:ascii="Times New Roman" w:hAnsi="Times New Roman" w:eastAsia="仿宋_GB2312" w:cs="Times New Roman"/>
          <w:b w:val="0"/>
          <w:bCs/>
          <w:spacing w:val="-10"/>
          <w:sz w:val="32"/>
          <w:szCs w:val="32"/>
        </w:rPr>
        <w:t>30.近两年BIM技术应用成果获省级及以上奖项数：企业在包括报告年度在内的两年内 BIM 技术应用成果获得省级或省级以上奖项数</w:t>
      </w:r>
      <w:r>
        <w:rPr>
          <w:rFonts w:hint="default" w:ascii="Times New Roman" w:hAnsi="Times New Roman" w:eastAsia="仿宋_GB2312" w:cs="Times New Roman"/>
          <w:b w:val="0"/>
          <w:bCs/>
          <w:spacing w:val="-10"/>
          <w:sz w:val="32"/>
          <w:szCs w:val="32"/>
          <w:lang w:eastAsia="zh-CN"/>
        </w:rPr>
        <w:t>，包括</w:t>
      </w:r>
      <w:r>
        <w:rPr>
          <w:rFonts w:hint="default" w:ascii="Times New Roman" w:hAnsi="Times New Roman" w:eastAsia="仿宋_GB2312" w:cs="Times New Roman"/>
          <w:b w:val="0"/>
          <w:bCs/>
          <w:spacing w:val="-10"/>
          <w:sz w:val="32"/>
          <w:szCs w:val="32"/>
        </w:rPr>
        <w:t>智能制造场景应用、智慧工地</w:t>
      </w:r>
      <w:r>
        <w:rPr>
          <w:rFonts w:hint="default" w:ascii="Times New Roman" w:hAnsi="Times New Roman" w:eastAsia="仿宋_GB2312" w:cs="Times New Roman"/>
          <w:b w:val="0"/>
          <w:bCs/>
          <w:spacing w:val="-10"/>
          <w:sz w:val="32"/>
          <w:szCs w:val="32"/>
          <w:lang w:eastAsia="zh-CN"/>
        </w:rPr>
        <w:t>等。</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r>
        <w:rPr>
          <w:rFonts w:hint="default" w:ascii="Times New Roman" w:hAnsi="Times New Roman" w:eastAsia="仿宋_GB2312" w:cs="Times New Roman"/>
          <w:b w:val="0"/>
          <w:bCs/>
          <w:spacing w:val="-10"/>
          <w:sz w:val="32"/>
          <w:szCs w:val="32"/>
        </w:rPr>
        <w:t>31.企业经营亏损：企业在报告年度的利润总额为负值。</w:t>
      </w:r>
    </w:p>
    <w:p>
      <w:pPr>
        <w:pStyle w:val="5"/>
        <w:keepNext w:val="0"/>
        <w:keepLines w:val="0"/>
        <w:pageBreakBefore w:val="0"/>
        <w:kinsoku/>
        <w:wordWrap/>
        <w:overflowPunct/>
        <w:topLinePunct w:val="0"/>
        <w:bidi w:val="0"/>
        <w:spacing w:before="0" w:beforeAutospacing="0" w:after="0" w:afterAutospacing="0" w:line="600" w:lineRule="exact"/>
        <w:ind w:firstLine="600" w:firstLineChars="200"/>
        <w:rPr>
          <w:rFonts w:hint="default" w:ascii="Times New Roman" w:hAnsi="Times New Roman" w:eastAsia="仿宋_GB2312" w:cs="Times New Roman"/>
          <w:b w:val="0"/>
          <w:bCs/>
          <w:spacing w:val="-10"/>
          <w:sz w:val="32"/>
          <w:szCs w:val="32"/>
        </w:rPr>
      </w:pPr>
    </w:p>
    <w:p>
      <w:pPr>
        <w:pStyle w:val="4"/>
        <w:keepNext w:val="0"/>
        <w:keepLines w:val="0"/>
        <w:pageBreakBefore w:val="0"/>
        <w:kinsoku/>
        <w:wordWrap/>
        <w:overflowPunct/>
        <w:topLinePunct w:val="0"/>
        <w:bidi w:val="0"/>
        <w:spacing w:line="600" w:lineRule="exact"/>
        <w:rPr>
          <w:rFonts w:hint="default" w:ascii="Times New Roman" w:hAnsi="Times New Roman" w:cs="Times New Roman"/>
          <w:b w:val="0"/>
          <w:bCs/>
          <w:spacing w:val="-10"/>
          <w:kern w:val="0"/>
          <w:szCs w:val="32"/>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5025"/>
        </w:tabs>
        <w:bidi w:val="0"/>
        <w:jc w:val="left"/>
        <w:rPr>
          <w:rFonts w:hint="eastAsia" w:eastAsia="宋体"/>
          <w:lang w:eastAsia="zh-CN"/>
        </w:rPr>
      </w:pPr>
      <w:r>
        <w:rPr>
          <w:rFonts w:hint="eastAsia"/>
          <w:lang w:eastAsia="zh-CN"/>
        </w:rPr>
        <w:tab/>
      </w:r>
    </w:p>
    <w:p>
      <w:bookmarkStart w:id="0" w:name="_GoBack"/>
      <w:bookmarkEnd w:id="0"/>
    </w:p>
    <w:sectPr>
      <w:footerReference r:id="rId3" w:type="default"/>
      <w:footerReference r:id="rId4" w:type="even"/>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9"/>
                            </w:rPr>
                          </w:pPr>
                          <w:r>
                            <w:rPr>
                              <w:rStyle w:val="9"/>
                            </w:rPr>
                            <w:fldChar w:fldCharType="begin"/>
                          </w:r>
                          <w:r>
                            <w:rPr>
                              <w:rStyle w:val="9"/>
                            </w:rPr>
                            <w:instrText xml:space="preserve">PAGE  </w:instrText>
                          </w:r>
                          <w:r>
                            <w:rPr>
                              <w:rStyle w:val="9"/>
                            </w:rPr>
                            <w:fldChar w:fldCharType="separate"/>
                          </w:r>
                          <w:r>
                            <w:rPr>
                              <w:rStyle w:val="9"/>
                            </w:rPr>
                            <w:t>19</w:t>
                          </w:r>
                          <w:r>
                            <w:rPr>
                              <w:rStyle w:val="9"/>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rPr>
                        <w:rStyle w:val="9"/>
                      </w:rPr>
                    </w:pPr>
                    <w:r>
                      <w:rPr>
                        <w:rStyle w:val="9"/>
                      </w:rPr>
                      <w:fldChar w:fldCharType="begin"/>
                    </w:r>
                    <w:r>
                      <w:rPr>
                        <w:rStyle w:val="9"/>
                      </w:rPr>
                      <w:instrText xml:space="preserve">PAGE  </w:instrText>
                    </w:r>
                    <w:r>
                      <w:rPr>
                        <w:rStyle w:val="9"/>
                      </w:rPr>
                      <w:fldChar w:fldCharType="separate"/>
                    </w:r>
                    <w:r>
                      <w:rPr>
                        <w:rStyle w:val="9"/>
                      </w:rPr>
                      <w:t>19</w:t>
                    </w:r>
                    <w:r>
                      <w:rPr>
                        <w:rStyle w:val="9"/>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22</w:t>
    </w:r>
    <w:r>
      <w:rPr>
        <w:rStyle w:val="9"/>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ZDBiM2E1ZDE0YmZlZTNiNjQxMWMyMGZhZTNiZTMifQ=="/>
  </w:docVars>
  <w:rsids>
    <w:rsidRoot w:val="381074EE"/>
    <w:rsid w:val="38107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widowControl/>
      <w:spacing w:line="240" w:lineRule="auto"/>
      <w:ind w:firstLine="420"/>
    </w:pPr>
    <w:rPr>
      <w:rFonts w:ascii="Calibri" w:hAnsi="Calibri" w:eastAsia="宋体" w:cs="Times New Roman"/>
      <w:sz w:val="21"/>
      <w:szCs w:val="24"/>
    </w:rPr>
  </w:style>
  <w:style w:type="paragraph" w:styleId="3">
    <w:name w:val="envelope return"/>
    <w:basedOn w:val="1"/>
    <w:qFormat/>
    <w:uiPriority w:val="0"/>
    <w:pPr>
      <w:snapToGrid w:val="0"/>
    </w:pPr>
    <w:rPr>
      <w:rFonts w:ascii="Arial" w:hAnsi="Arial" w:eastAsia="仿宋_GB2312"/>
      <w:sz w:val="32"/>
    </w:rPr>
  </w:style>
  <w:style w:type="paragraph" w:styleId="4">
    <w:name w:val="Body Text"/>
    <w:basedOn w:val="1"/>
    <w:qFormat/>
    <w:uiPriority w:val="0"/>
    <w:rPr>
      <w:rFonts w:eastAsia="仿宋_GB2312"/>
      <w:sz w:val="32"/>
    </w:rPr>
  </w:style>
  <w:style w:type="paragraph" w:styleId="5">
    <w:name w:val="Plain Text"/>
    <w:basedOn w:val="1"/>
    <w:uiPriority w:val="0"/>
    <w:pPr>
      <w:widowControl/>
      <w:spacing w:before="100" w:beforeAutospacing="1" w:after="100" w:afterAutospacing="1"/>
      <w:jc w:val="left"/>
    </w:pPr>
    <w:rPr>
      <w:rFonts w:ascii="宋体" w:hAnsi="宋体" w:cs="宋体"/>
      <w:kern w:val="0"/>
      <w:sz w:val="24"/>
    </w:rPr>
  </w:style>
  <w:style w:type="paragraph" w:styleId="6">
    <w:name w:val="footer"/>
    <w:basedOn w:val="1"/>
    <w:uiPriority w:val="0"/>
    <w:pPr>
      <w:tabs>
        <w:tab w:val="center" w:pos="4153"/>
        <w:tab w:val="right" w:pos="8306"/>
      </w:tabs>
      <w:snapToGrid w:val="0"/>
      <w:jc w:val="left"/>
    </w:pPr>
    <w:rPr>
      <w:sz w:val="18"/>
      <w:szCs w:val="18"/>
    </w:rPr>
  </w:style>
  <w:style w:type="character" w:styleId="9">
    <w:name w:val="page number"/>
    <w:basedOn w:val="8"/>
    <w:qFormat/>
    <w:uiPriority w:val="0"/>
  </w:style>
  <w:style w:type="paragraph" w:customStyle="1" w:styleId="10">
    <w:name w:val="Char"/>
    <w:basedOn w:val="1"/>
    <w:qFormat/>
    <w:uiPriority w:val="0"/>
    <w:rPr>
      <w:rFonts w:ascii="Arial" w:hAnsi="Arial" w:cs="Arial"/>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2023-07-20T01:16:00Z</dcterms:created>
  <dc:creator>陈文平</dc:creator>
  <cp:lastModifiedBy>陈文平</cp:lastModifiedBy>
  <dcterms:modified xsi:type="dcterms:W3CDTF">2023-07-20T01:16:21Z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AF25C8F57B3C4116B000F19F0502AEB6_11</vt:lpwstr>
  </property>
</Properties>
</file>