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20" w:rsidRDefault="00FD1320" w:rsidP="00FD1320">
      <w:pPr>
        <w:jc w:val="left"/>
        <w:rPr>
          <w:rFonts w:ascii="黑体" w:eastAsia="黑体" w:hAnsi="黑体" w:hint="eastAsia"/>
          <w:sz w:val="32"/>
          <w:szCs w:val="32"/>
        </w:rPr>
      </w:pPr>
      <w:r>
        <w:rPr>
          <w:rFonts w:ascii="黑体" w:eastAsia="黑体" w:hAnsi="黑体"/>
          <w:sz w:val="32"/>
          <w:szCs w:val="32"/>
        </w:rPr>
        <w:t>附件</w:t>
      </w:r>
      <w:r>
        <w:rPr>
          <w:rFonts w:ascii="黑体" w:eastAsia="黑体" w:hAnsi="黑体" w:hint="eastAsia"/>
          <w:sz w:val="32"/>
          <w:szCs w:val="32"/>
        </w:rPr>
        <w:t>2</w:t>
      </w:r>
    </w:p>
    <w:p w:rsidR="00FD1320" w:rsidRDefault="00FD1320" w:rsidP="00FD1320">
      <w:pPr>
        <w:spacing w:line="200" w:lineRule="exact"/>
        <w:jc w:val="center"/>
        <w:rPr>
          <w:rFonts w:ascii="方正小标宋简体" w:eastAsia="方正小标宋简体" w:hAnsi="方正小标宋简体" w:cs="方正小标宋简体" w:hint="eastAsia"/>
          <w:sz w:val="36"/>
          <w:szCs w:val="36"/>
        </w:rPr>
      </w:pPr>
    </w:p>
    <w:p w:rsidR="00FD1320" w:rsidRDefault="00FD1320" w:rsidP="00FD132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（公款竞争性存放招标项目名称）</w:t>
      </w:r>
    </w:p>
    <w:p w:rsidR="00FD1320" w:rsidRDefault="00FD1320" w:rsidP="00FD1320">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sz w:val="44"/>
          <w:szCs w:val="44"/>
        </w:rPr>
        <w:t>评标标准</w:t>
      </w:r>
    </w:p>
    <w:p w:rsidR="00FD1320" w:rsidRDefault="00FD1320" w:rsidP="00FD1320">
      <w:pPr>
        <w:spacing w:line="100" w:lineRule="exact"/>
        <w:ind w:firstLineChars="200" w:firstLine="640"/>
        <w:rPr>
          <w:rFonts w:eastAsia="黑体" w:hint="eastAsia"/>
          <w:sz w:val="32"/>
          <w:szCs w:val="32"/>
        </w:rPr>
      </w:pPr>
    </w:p>
    <w:p w:rsidR="00FD1320" w:rsidRDefault="00FD1320" w:rsidP="00FD132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一、总则</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（明确标准制定原则与目标）</w:t>
      </w:r>
    </w:p>
    <w:p w:rsidR="00FD1320" w:rsidRDefault="00FD1320" w:rsidP="00FD132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二、评标方式</w:t>
      </w:r>
    </w:p>
    <w:p w:rsidR="00FD1320" w:rsidRDefault="00FD1320" w:rsidP="00FD1320">
      <w:pPr>
        <w:spacing w:line="560" w:lineRule="exact"/>
        <w:ind w:firstLineChars="200" w:firstLine="616"/>
        <w:rPr>
          <w:rFonts w:ascii="仿宋_GB2312" w:eastAsia="仿宋_GB2312" w:hAnsi="仿宋" w:hint="eastAsia"/>
          <w:spacing w:val="-6"/>
          <w:sz w:val="32"/>
          <w:szCs w:val="32"/>
        </w:rPr>
      </w:pPr>
      <w:r>
        <w:rPr>
          <w:rFonts w:ascii="仿宋_GB2312" w:eastAsia="仿宋_GB2312" w:hAnsi="仿宋" w:hint="eastAsia"/>
          <w:spacing w:val="-6"/>
          <w:sz w:val="32"/>
          <w:szCs w:val="32"/>
        </w:rPr>
        <w:t>（总体阐述综合评分标准架构、评标方式及中标原则等内容）</w:t>
      </w:r>
    </w:p>
    <w:p w:rsidR="00FD1320" w:rsidRDefault="00FD1320" w:rsidP="00FD132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三、评分标准</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（一）利率水平指标</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（二）服务水平指标</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（三）经营状况指标</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（分值权重不得低于30%，可从地方银行经营状况指标与所属银行法人指标两方面设置相关评价内容）</w:t>
      </w:r>
    </w:p>
    <w:p w:rsidR="00FD1320" w:rsidRDefault="00FD1320" w:rsidP="00FD1320">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（四）经济贡献度指标</w:t>
      </w:r>
    </w:p>
    <w:p w:rsidR="00FD1320" w:rsidRDefault="00FD1320" w:rsidP="00FD1320">
      <w:pPr>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分值权重不得低于30%，可从银行支持地方经济发展、重点事业的共性指标及引导银行更好支持公司发展的个性指标两个方面设置相关评价指标，但是个性指标的分值权重不得高于经济贡献度指标总分值的70%，且个性指标应兼顾公平性和有效性。）</w:t>
      </w:r>
    </w:p>
    <w:p w:rsidR="00FD1320" w:rsidRDefault="00FD1320" w:rsidP="00FD1320">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四、其他</w:t>
      </w:r>
    </w:p>
    <w:p w:rsidR="00FD1320" w:rsidRDefault="00FD1320" w:rsidP="00FD1320">
      <w:pPr>
        <w:spacing w:line="560" w:lineRule="exact"/>
        <w:ind w:firstLineChars="200" w:firstLine="640"/>
        <w:rPr>
          <w:rFonts w:ascii="仿宋_GB2312" w:eastAsia="仿宋_GB2312" w:hint="eastAsia"/>
          <w:sz w:val="32"/>
          <w:szCs w:val="32"/>
        </w:rPr>
      </w:pPr>
      <w:r>
        <w:rPr>
          <w:rFonts w:ascii="仿宋_GB2312" w:eastAsia="仿宋_GB2312" w:hAnsi="仿宋" w:hint="eastAsia"/>
          <w:sz w:val="32"/>
          <w:szCs w:val="32"/>
        </w:rPr>
        <w:t>（其他需要在评标标准中明确的事项）</w:t>
      </w:r>
    </w:p>
    <w:p w:rsidR="00835EE7" w:rsidRPr="00FD1320" w:rsidRDefault="00835EE7">
      <w:bookmarkStart w:id="0" w:name="_GoBack"/>
      <w:bookmarkEnd w:id="0"/>
    </w:p>
    <w:sectPr w:rsidR="00835EE7" w:rsidRPr="00FD13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9D" w:rsidRDefault="00843D9D" w:rsidP="00FD1320">
      <w:r>
        <w:separator/>
      </w:r>
    </w:p>
  </w:endnote>
  <w:endnote w:type="continuationSeparator" w:id="0">
    <w:p w:rsidR="00843D9D" w:rsidRDefault="00843D9D" w:rsidP="00FD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9D" w:rsidRDefault="00843D9D" w:rsidP="00FD1320">
      <w:r>
        <w:separator/>
      </w:r>
    </w:p>
  </w:footnote>
  <w:footnote w:type="continuationSeparator" w:id="0">
    <w:p w:rsidR="00843D9D" w:rsidRDefault="00843D9D" w:rsidP="00FD1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51"/>
    <w:rsid w:val="004C1A51"/>
    <w:rsid w:val="00835EE7"/>
    <w:rsid w:val="00843D9D"/>
    <w:rsid w:val="00FD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320"/>
    <w:rPr>
      <w:sz w:val="18"/>
      <w:szCs w:val="18"/>
    </w:rPr>
  </w:style>
  <w:style w:type="paragraph" w:styleId="a4">
    <w:name w:val="footer"/>
    <w:basedOn w:val="a"/>
    <w:link w:val="Char0"/>
    <w:uiPriority w:val="99"/>
    <w:unhideWhenUsed/>
    <w:rsid w:val="00FD1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3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3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13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D1320"/>
    <w:rPr>
      <w:sz w:val="18"/>
      <w:szCs w:val="18"/>
    </w:rPr>
  </w:style>
  <w:style w:type="paragraph" w:styleId="a4">
    <w:name w:val="footer"/>
    <w:basedOn w:val="a"/>
    <w:link w:val="Char0"/>
    <w:uiPriority w:val="99"/>
    <w:unhideWhenUsed/>
    <w:rsid w:val="00FD13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D13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2</cp:revision>
  <dcterms:created xsi:type="dcterms:W3CDTF">2022-01-17T06:20:00Z</dcterms:created>
  <dcterms:modified xsi:type="dcterms:W3CDTF">2022-01-17T06:20:00Z</dcterms:modified>
</cp:coreProperties>
</file>