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FF" w:rsidRDefault="007E26FF" w:rsidP="007E26FF">
      <w:pPr>
        <w:spacing w:beforeLines="50" w:before="156" w:line="378" w:lineRule="exact"/>
        <w:rPr>
          <w:rFonts w:ascii="仿宋_GB2312" w:eastAsia="仿宋_GB2312" w:hint="eastAsia"/>
          <w:color w:val="000000"/>
          <w:sz w:val="24"/>
          <w:szCs w:val="24"/>
          <w:u w:val="single"/>
        </w:rPr>
      </w:pPr>
      <w:r>
        <w:rPr>
          <w:rFonts w:ascii="仿宋_GB2312" w:eastAsia="仿宋_GB2312" w:hint="eastAsia"/>
          <w:color w:val="000000"/>
          <w:sz w:val="24"/>
          <w:szCs w:val="24"/>
        </w:rPr>
        <w:t>乙方（</w:t>
      </w:r>
      <w:proofErr w:type="gramStart"/>
      <w:r>
        <w:rPr>
          <w:rFonts w:ascii="仿宋_GB2312" w:eastAsia="仿宋_GB2312" w:hint="eastAsia"/>
          <w:color w:val="000000"/>
          <w:sz w:val="24"/>
          <w:szCs w:val="24"/>
        </w:rPr>
        <w:t>医</w:t>
      </w:r>
      <w:proofErr w:type="gramEnd"/>
      <w:r>
        <w:rPr>
          <w:rFonts w:ascii="仿宋_GB2312" w:eastAsia="仿宋_GB2312" w:hint="eastAsia"/>
          <w:color w:val="000000"/>
          <w:sz w:val="24"/>
          <w:szCs w:val="24"/>
        </w:rPr>
        <w:t>保医师）服务编码</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 xml:space="preserve">      协议编号</w:t>
      </w:r>
      <w:r>
        <w:rPr>
          <w:rFonts w:ascii="仿宋_GB2312" w:eastAsia="仿宋_GB2312" w:hint="eastAsia"/>
          <w:color w:val="000000"/>
          <w:sz w:val="32"/>
          <w:szCs w:val="32"/>
          <w:u w:val="single"/>
        </w:rPr>
        <w:t xml:space="preserve">      </w:t>
      </w: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pStyle w:val="5"/>
        <w:spacing w:before="93" w:after="93"/>
        <w:rPr>
          <w:rFonts w:hint="eastAsia"/>
        </w:rPr>
      </w:pPr>
      <w:r>
        <w:rPr>
          <w:rFonts w:hint="eastAsia"/>
        </w:rPr>
        <w:t>浙江省</w:t>
      </w:r>
      <w:proofErr w:type="gramStart"/>
      <w:r>
        <w:rPr>
          <w:rFonts w:hint="eastAsia"/>
        </w:rPr>
        <w:t>医</w:t>
      </w:r>
      <w:proofErr w:type="gramEnd"/>
      <w:r>
        <w:rPr>
          <w:rFonts w:hint="eastAsia"/>
        </w:rPr>
        <w:t>保医师服务协议</w:t>
      </w:r>
    </w:p>
    <w:p w:rsidR="007E26FF" w:rsidRDefault="007E26FF" w:rsidP="007E26FF">
      <w:pPr>
        <w:spacing w:line="378" w:lineRule="exact"/>
        <w:jc w:val="center"/>
        <w:rPr>
          <w:rFonts w:ascii="楷体_GB2312" w:eastAsia="楷体_GB2312" w:hint="eastAsia"/>
          <w:color w:val="000000"/>
          <w:sz w:val="24"/>
          <w:szCs w:val="24"/>
        </w:rPr>
      </w:pPr>
      <w:r>
        <w:rPr>
          <w:rFonts w:ascii="楷体_GB2312" w:eastAsia="楷体_GB2312" w:hint="eastAsia"/>
          <w:color w:val="000000"/>
          <w:sz w:val="24"/>
          <w:szCs w:val="24"/>
        </w:rPr>
        <w:t>（样本）</w:t>
      </w:r>
    </w:p>
    <w:p w:rsidR="007E26FF" w:rsidRDefault="007E26FF" w:rsidP="007E26FF">
      <w:pPr>
        <w:spacing w:line="378" w:lineRule="exact"/>
        <w:rPr>
          <w:rFonts w:ascii="仿宋_GB2312" w:eastAsia="仿宋_GB2312" w:hint="eastAsia"/>
          <w:color w:val="000000"/>
          <w:sz w:val="24"/>
          <w:szCs w:val="24"/>
        </w:rPr>
      </w:pPr>
    </w:p>
    <w:p w:rsidR="007E26FF" w:rsidRDefault="007E26FF" w:rsidP="007E26FF">
      <w:pPr>
        <w:spacing w:line="378" w:lineRule="exact"/>
        <w:rPr>
          <w:rFonts w:ascii="仿宋_GB2312" w:eastAsia="仿宋_GB2312" w:hint="eastAsia"/>
          <w:color w:val="000000"/>
          <w:sz w:val="24"/>
          <w:szCs w:val="24"/>
        </w:rPr>
      </w:pPr>
      <w:r>
        <w:rPr>
          <w:rFonts w:ascii="仿宋_GB2312" w:eastAsia="仿宋_GB2312" w:hint="eastAsia"/>
          <w:color w:val="000000"/>
          <w:sz w:val="24"/>
          <w:szCs w:val="24"/>
        </w:rPr>
        <w:t>甲方：***医疗保险经办机构（以下简称甲方）</w:t>
      </w:r>
    </w:p>
    <w:p w:rsidR="007E26FF" w:rsidRDefault="007E26FF" w:rsidP="007E26FF">
      <w:pPr>
        <w:spacing w:line="378" w:lineRule="exact"/>
        <w:rPr>
          <w:rFonts w:ascii="仿宋_GB2312" w:eastAsia="仿宋_GB2312" w:hint="eastAsia"/>
          <w:color w:val="000000"/>
          <w:sz w:val="24"/>
          <w:szCs w:val="24"/>
        </w:rPr>
      </w:pPr>
      <w:r>
        <w:rPr>
          <w:rFonts w:ascii="仿宋_GB2312" w:eastAsia="仿宋_GB2312" w:hint="eastAsia"/>
          <w:color w:val="000000"/>
          <w:sz w:val="24"/>
          <w:szCs w:val="24"/>
        </w:rPr>
        <w:t>乙方：     ***           （以下简称乙方）</w:t>
      </w: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00" w:firstLine="480"/>
        <w:rPr>
          <w:rFonts w:ascii="仿宋_GB2312" w:eastAsia="仿宋_GB2312" w:hint="eastAsia"/>
          <w:color w:val="000000"/>
          <w:sz w:val="24"/>
          <w:szCs w:val="24"/>
        </w:rPr>
      </w:pPr>
      <w:r>
        <w:rPr>
          <w:rFonts w:ascii="仿宋_GB2312" w:eastAsia="仿宋_GB2312" w:hint="eastAsia"/>
          <w:color w:val="000000"/>
          <w:sz w:val="24"/>
          <w:szCs w:val="24"/>
        </w:rPr>
        <w:t>为切实维护参保人员的合法权益，有效规范定点医疗机构医师的医疗服务行为，明确甲乙双方的权利义务，根据《浙江省人力资源和社会保障厅浙江省卫生和计划生育委员会关于印发浙江省基本医疗保险协议医师管理暂行办法》（浙</w:t>
      </w:r>
      <w:proofErr w:type="gramStart"/>
      <w:r>
        <w:rPr>
          <w:rFonts w:ascii="仿宋_GB2312" w:eastAsia="仿宋_GB2312" w:hint="eastAsia"/>
          <w:color w:val="000000"/>
          <w:sz w:val="24"/>
          <w:szCs w:val="24"/>
        </w:rPr>
        <w:t>人社发</w:t>
      </w:r>
      <w:proofErr w:type="gramEnd"/>
      <w:r>
        <w:rPr>
          <w:rFonts w:ascii="仿宋_GB2312" w:eastAsia="仿宋_GB2312" w:hint="eastAsia"/>
          <w:color w:val="000000"/>
          <w:sz w:val="24"/>
          <w:szCs w:val="24"/>
        </w:rPr>
        <w:t>〔2014〕43号）、《浙江省医保医师协议管理实施细则》（浙</w:t>
      </w:r>
      <w:proofErr w:type="gramStart"/>
      <w:r>
        <w:rPr>
          <w:rFonts w:ascii="仿宋_GB2312" w:eastAsia="仿宋_GB2312" w:hint="eastAsia"/>
          <w:color w:val="000000"/>
          <w:sz w:val="24"/>
          <w:szCs w:val="24"/>
        </w:rPr>
        <w:t>人社发</w:t>
      </w:r>
      <w:proofErr w:type="gramEnd"/>
      <w:r>
        <w:rPr>
          <w:rFonts w:ascii="仿宋_GB2312" w:eastAsia="仿宋_GB2312" w:hint="eastAsia"/>
          <w:color w:val="000000"/>
          <w:sz w:val="24"/>
          <w:szCs w:val="24"/>
        </w:rPr>
        <w:t>〔2014〕79号）等文件精神，双方就医疗保险医疗服务相关事宜达成以下协议：</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第一条</w:t>
      </w:r>
      <w:r>
        <w:rPr>
          <w:rFonts w:ascii="仿宋_GB2312" w:eastAsia="仿宋_GB2312" w:hint="eastAsia"/>
          <w:color w:val="000000"/>
          <w:sz w:val="24"/>
          <w:szCs w:val="24"/>
        </w:rPr>
        <w:t xml:space="preserve"> 甲乙双方应严格遵守国家、省以及本统筹区基本医疗保险各项政策规定。</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第二条</w:t>
      </w:r>
      <w:r>
        <w:rPr>
          <w:rFonts w:ascii="仿宋_GB2312" w:eastAsia="仿宋_GB2312" w:hint="eastAsia"/>
          <w:color w:val="000000"/>
          <w:sz w:val="24"/>
          <w:szCs w:val="24"/>
        </w:rPr>
        <w:t xml:space="preserve"> 甲乙双方应利用各自的工作平台，向参保人</w:t>
      </w:r>
      <w:proofErr w:type="gramStart"/>
      <w:r>
        <w:rPr>
          <w:rFonts w:ascii="仿宋_GB2312" w:eastAsia="仿宋_GB2312" w:hint="eastAsia"/>
          <w:color w:val="000000"/>
          <w:sz w:val="24"/>
          <w:szCs w:val="24"/>
        </w:rPr>
        <w:t>员宣传</w:t>
      </w:r>
      <w:proofErr w:type="gramEnd"/>
      <w:r>
        <w:rPr>
          <w:rFonts w:ascii="仿宋_GB2312" w:eastAsia="仿宋_GB2312" w:hint="eastAsia"/>
          <w:color w:val="000000"/>
          <w:sz w:val="24"/>
          <w:szCs w:val="24"/>
        </w:rPr>
        <w:t>基本医疗保险政策，敦促参保人员自觉遵守医疗保险有关规定。甲乙双方有权向对方提出合理化建议。</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第三条</w:t>
      </w:r>
      <w:r>
        <w:rPr>
          <w:rFonts w:ascii="仿宋_GB2312" w:eastAsia="仿宋_GB2312" w:hint="eastAsia"/>
          <w:color w:val="000000"/>
          <w:sz w:val="24"/>
          <w:szCs w:val="24"/>
        </w:rPr>
        <w:t xml:space="preserve"> 甲方应根据医疗保险有关规定，及时向乙方所在单位提供医疗保险政策、文件和相关规定，并委托医疗机构对乙方进行宣传、培训。</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第四条</w:t>
      </w:r>
      <w:r>
        <w:rPr>
          <w:rFonts w:ascii="仿宋_GB2312" w:eastAsia="仿宋_GB2312" w:hint="eastAsia"/>
          <w:color w:val="000000"/>
          <w:sz w:val="24"/>
          <w:szCs w:val="24"/>
        </w:rPr>
        <w:t xml:space="preserve"> 乙方应参加甲方组织或委托乙方单位组织的各种医疗保险业务培训。</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第五条</w:t>
      </w:r>
      <w:r>
        <w:rPr>
          <w:rFonts w:ascii="仿宋_GB2312" w:eastAsia="仿宋_GB2312" w:hint="eastAsia"/>
          <w:color w:val="000000"/>
          <w:sz w:val="24"/>
          <w:szCs w:val="24"/>
        </w:rPr>
        <w:t xml:space="preserve"> 甲方应建立医疗保险协议医师诚信档案库，及时录入乙方的相关信息和诚信记录。</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第六条</w:t>
      </w:r>
      <w:r>
        <w:rPr>
          <w:rFonts w:ascii="仿宋_GB2312" w:eastAsia="仿宋_GB2312" w:hint="eastAsia"/>
          <w:color w:val="000000"/>
          <w:sz w:val="24"/>
          <w:szCs w:val="24"/>
        </w:rPr>
        <w:t xml:space="preserve"> 乙方应向所在单位提供正确的医疗保险协议医师相关信息，由所在单位报送至甲方录入信息系统；甲方应按规定程序及时将</w:t>
      </w:r>
      <w:proofErr w:type="gramStart"/>
      <w:r>
        <w:rPr>
          <w:rFonts w:ascii="仿宋_GB2312" w:eastAsia="仿宋_GB2312" w:hint="eastAsia"/>
          <w:color w:val="000000"/>
          <w:sz w:val="24"/>
          <w:szCs w:val="24"/>
        </w:rPr>
        <w:t>医</w:t>
      </w:r>
      <w:proofErr w:type="gramEnd"/>
      <w:r>
        <w:rPr>
          <w:rFonts w:ascii="仿宋_GB2312" w:eastAsia="仿宋_GB2312" w:hint="eastAsia"/>
          <w:color w:val="000000"/>
          <w:sz w:val="24"/>
          <w:szCs w:val="24"/>
        </w:rPr>
        <w:t>保医师服务编码通过乙方单位告知乙方，乙方应妥善保管。</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第七条</w:t>
      </w:r>
      <w:r>
        <w:rPr>
          <w:rFonts w:ascii="仿宋_GB2312" w:eastAsia="仿宋_GB2312" w:hint="eastAsia"/>
          <w:color w:val="000000"/>
          <w:sz w:val="24"/>
          <w:szCs w:val="24"/>
        </w:rPr>
        <w:t xml:space="preserve"> 乙方应为甲方参保人员提供合理、必要的医疗服务；在费用结算时按甲方要求上传</w:t>
      </w:r>
      <w:proofErr w:type="gramStart"/>
      <w:r>
        <w:rPr>
          <w:rFonts w:ascii="仿宋_GB2312" w:eastAsia="仿宋_GB2312" w:hint="eastAsia"/>
          <w:color w:val="000000"/>
          <w:sz w:val="24"/>
          <w:szCs w:val="24"/>
        </w:rPr>
        <w:t>医</w:t>
      </w:r>
      <w:proofErr w:type="gramEnd"/>
      <w:r>
        <w:rPr>
          <w:rFonts w:ascii="仿宋_GB2312" w:eastAsia="仿宋_GB2312" w:hint="eastAsia"/>
          <w:color w:val="000000"/>
          <w:sz w:val="24"/>
          <w:szCs w:val="24"/>
        </w:rPr>
        <w:t>保医师服务编码等相关信息供甲方校验。</w:t>
      </w:r>
    </w:p>
    <w:p w:rsidR="007E26FF" w:rsidRDefault="007E26FF" w:rsidP="007E26FF">
      <w:pPr>
        <w:spacing w:line="378" w:lineRule="exact"/>
        <w:ind w:firstLineChars="200" w:firstLine="482"/>
        <w:rPr>
          <w:rFonts w:ascii="仿宋_GB2312" w:eastAsia="仿宋_GB2312" w:cs="宋体" w:hint="eastAsia"/>
          <w:color w:val="000000"/>
          <w:kern w:val="0"/>
          <w:sz w:val="24"/>
          <w:szCs w:val="24"/>
        </w:rPr>
      </w:pPr>
      <w:r>
        <w:rPr>
          <w:rFonts w:ascii="仿宋_GB2312" w:eastAsia="仿宋_GB2312" w:hint="eastAsia"/>
          <w:b/>
          <w:color w:val="000000"/>
          <w:sz w:val="24"/>
          <w:szCs w:val="24"/>
        </w:rPr>
        <w:t>第八条</w:t>
      </w:r>
      <w:r>
        <w:rPr>
          <w:rFonts w:ascii="仿宋_GB2312" w:eastAsia="仿宋_GB2312" w:hint="eastAsia"/>
          <w:color w:val="000000"/>
          <w:sz w:val="24"/>
          <w:szCs w:val="24"/>
        </w:rPr>
        <w:t xml:space="preserve"> 甲方对乙方违规行为进行扣分等处理时应按规定履行告知义务；乙方对甲方的处理意见有异议的，可通过所在单位书面向甲方提出；甲方应认真对待，必要时组织相关专家合议</w:t>
      </w:r>
      <w:r>
        <w:rPr>
          <w:rFonts w:ascii="仿宋_GB2312" w:eastAsia="仿宋_GB2312" w:cs="宋体" w:hint="eastAsia"/>
          <w:color w:val="000000"/>
          <w:kern w:val="0"/>
          <w:sz w:val="24"/>
          <w:szCs w:val="24"/>
        </w:rPr>
        <w:t>后作出决定。</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cs="宋体" w:hint="eastAsia"/>
          <w:b/>
          <w:color w:val="000000"/>
          <w:kern w:val="0"/>
          <w:sz w:val="24"/>
          <w:szCs w:val="24"/>
        </w:rPr>
        <w:t>第九条</w:t>
      </w:r>
      <w:r>
        <w:rPr>
          <w:rFonts w:ascii="仿宋_GB2312" w:eastAsia="仿宋_GB2312" w:cs="宋体" w:hint="eastAsia"/>
          <w:color w:val="000000"/>
          <w:kern w:val="0"/>
          <w:sz w:val="24"/>
          <w:szCs w:val="24"/>
        </w:rPr>
        <w:t xml:space="preserve"> </w:t>
      </w:r>
      <w:r>
        <w:rPr>
          <w:rFonts w:ascii="仿宋_GB2312" w:eastAsia="仿宋_GB2312" w:hint="eastAsia"/>
          <w:color w:val="000000"/>
          <w:sz w:val="24"/>
          <w:szCs w:val="24"/>
        </w:rPr>
        <w:t>甲方对乙方在协议年度内的医疗服务行为实行积分累计考核制度。具体扣分办法和扣分处理按相关文件规定执行。</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第十条</w:t>
      </w:r>
      <w:r>
        <w:rPr>
          <w:rFonts w:ascii="仿宋_GB2312" w:eastAsia="仿宋_GB2312" w:hint="eastAsia"/>
          <w:color w:val="000000"/>
          <w:sz w:val="24"/>
          <w:szCs w:val="24"/>
        </w:rPr>
        <w:t xml:space="preserve">  甲乙双方如需解除本协议的，须提前15个工作日通知对方；对乙方正在诊治的参保人员，乙方应会同乙方单位妥善安置。</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lastRenderedPageBreak/>
        <w:t>第十一条</w:t>
      </w:r>
      <w:r>
        <w:rPr>
          <w:rFonts w:ascii="仿宋_GB2312" w:eastAsia="仿宋_GB2312" w:hint="eastAsia"/>
          <w:color w:val="000000"/>
          <w:sz w:val="24"/>
          <w:szCs w:val="24"/>
        </w:rPr>
        <w:t xml:space="preserve"> 甲方可委托乙方所在单位的法定代表人与乙方签订本协议，并协助甲方做好对乙方在协议有效期内的管理、培训和考核等工作。</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第十二条</w:t>
      </w:r>
      <w:r>
        <w:rPr>
          <w:rFonts w:ascii="仿宋_GB2312" w:eastAsia="仿宋_GB2312" w:hint="eastAsia"/>
          <w:color w:val="000000"/>
          <w:sz w:val="24"/>
          <w:szCs w:val="24"/>
        </w:rPr>
        <w:t xml:space="preserve">  本协议未尽事宜，甲乙双方可以签订附加协议，效力与本协议相同。本协议一式两份，甲乙双方各执一份，具有同等效力。</w:t>
      </w:r>
    </w:p>
    <w:p w:rsidR="007E26FF" w:rsidRDefault="007E26FF" w:rsidP="007E26FF">
      <w:pPr>
        <w:spacing w:line="378" w:lineRule="exact"/>
        <w:ind w:firstLineChars="200" w:firstLine="482"/>
        <w:rPr>
          <w:rFonts w:ascii="仿宋_GB2312" w:eastAsia="仿宋_GB2312" w:hint="eastAsia"/>
          <w:color w:val="000000"/>
          <w:sz w:val="24"/>
          <w:szCs w:val="24"/>
        </w:rPr>
      </w:pPr>
      <w:r>
        <w:rPr>
          <w:rFonts w:ascii="仿宋_GB2312" w:eastAsia="仿宋_GB2312" w:hint="eastAsia"/>
          <w:b/>
          <w:color w:val="000000"/>
          <w:sz w:val="24"/>
          <w:szCs w:val="24"/>
        </w:rPr>
        <w:t>第十三条</w:t>
      </w:r>
      <w:r>
        <w:rPr>
          <w:rFonts w:ascii="仿宋_GB2312" w:eastAsia="仿宋_GB2312" w:hint="eastAsia"/>
          <w:color w:val="000000"/>
          <w:sz w:val="24"/>
          <w:szCs w:val="24"/>
        </w:rPr>
        <w:t xml:space="preserve"> 本协议有效期与乙方单位定点服务协议一致，自     年   月   日至</w:t>
      </w:r>
    </w:p>
    <w:p w:rsidR="007E26FF" w:rsidRDefault="007E26FF" w:rsidP="007E26FF">
      <w:pPr>
        <w:spacing w:line="378" w:lineRule="exact"/>
        <w:ind w:firstLineChars="200" w:firstLine="480"/>
        <w:rPr>
          <w:rFonts w:ascii="仿宋_GB2312" w:eastAsia="仿宋_GB2312" w:hint="eastAsia"/>
          <w:color w:val="000000"/>
          <w:sz w:val="24"/>
          <w:szCs w:val="24"/>
        </w:rPr>
      </w:pPr>
      <w:r>
        <w:rPr>
          <w:rFonts w:ascii="仿宋_GB2312" w:eastAsia="仿宋_GB2312" w:hint="eastAsia"/>
          <w:color w:val="000000"/>
          <w:sz w:val="24"/>
          <w:szCs w:val="24"/>
        </w:rPr>
        <w:t xml:space="preserve">  年  月  日止。乙方在协议有效期内没有被解除协议情形且本人未提出解除协议申请的，本协议期满自动延签下一个协议周期。</w:t>
      </w: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00" w:firstLine="480"/>
        <w:rPr>
          <w:rFonts w:ascii="仿宋_GB2312" w:eastAsia="仿宋_GB2312" w:hint="eastAsia"/>
          <w:color w:val="000000"/>
          <w:sz w:val="24"/>
          <w:szCs w:val="24"/>
        </w:rPr>
      </w:pPr>
      <w:r>
        <w:rPr>
          <w:rFonts w:ascii="仿宋_GB2312" w:eastAsia="仿宋_GB2312" w:hint="eastAsia"/>
          <w:color w:val="000000"/>
          <w:sz w:val="24"/>
          <w:szCs w:val="24"/>
        </w:rPr>
        <w:t>甲方：                              乙方：</w:t>
      </w: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450" w:firstLine="1080"/>
        <w:rPr>
          <w:rFonts w:ascii="仿宋_GB2312" w:eastAsia="仿宋_GB2312" w:hint="eastAsia"/>
          <w:color w:val="000000"/>
          <w:sz w:val="24"/>
          <w:szCs w:val="24"/>
        </w:rPr>
      </w:pPr>
      <w:r>
        <w:rPr>
          <w:rFonts w:ascii="仿宋_GB2312" w:eastAsia="仿宋_GB2312" w:hint="eastAsia"/>
          <w:color w:val="000000"/>
          <w:sz w:val="24"/>
          <w:szCs w:val="24"/>
        </w:rPr>
        <w:t>年  月  日                         年  月  日</w:t>
      </w: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00" w:firstLine="480"/>
        <w:rPr>
          <w:rFonts w:ascii="仿宋_GB2312" w:eastAsia="仿宋_GB2312" w:hint="eastAsia"/>
          <w:color w:val="000000"/>
          <w:sz w:val="24"/>
          <w:szCs w:val="24"/>
        </w:rPr>
      </w:pPr>
      <w:r>
        <w:rPr>
          <w:rFonts w:ascii="仿宋_GB2312" w:eastAsia="仿宋_GB2312" w:hint="eastAsia"/>
          <w:color w:val="000000"/>
          <w:sz w:val="24"/>
          <w:szCs w:val="24"/>
        </w:rPr>
        <w:t>乙方单位法定代表人（委托签约人）：</w:t>
      </w:r>
    </w:p>
    <w:p w:rsidR="007E26FF" w:rsidRDefault="007E26FF" w:rsidP="007E26FF">
      <w:pPr>
        <w:spacing w:line="378" w:lineRule="exact"/>
        <w:ind w:firstLineChars="200" w:firstLine="480"/>
        <w:rPr>
          <w:rFonts w:ascii="仿宋_GB2312" w:eastAsia="仿宋_GB2312" w:hint="eastAsia"/>
          <w:color w:val="000000"/>
          <w:sz w:val="24"/>
          <w:szCs w:val="24"/>
        </w:rPr>
      </w:pPr>
    </w:p>
    <w:p w:rsidR="007E26FF" w:rsidRDefault="007E26FF" w:rsidP="007E26FF">
      <w:pPr>
        <w:spacing w:line="378" w:lineRule="exact"/>
        <w:ind w:firstLineChars="2200" w:firstLine="5280"/>
        <w:rPr>
          <w:rFonts w:ascii="仿宋_GB2312" w:eastAsia="仿宋_GB2312"/>
          <w:color w:val="000000"/>
          <w:sz w:val="24"/>
          <w:szCs w:val="24"/>
        </w:rPr>
      </w:pPr>
      <w:r>
        <w:rPr>
          <w:rFonts w:ascii="仿宋_GB2312" w:eastAsia="仿宋_GB2312" w:hint="eastAsia"/>
          <w:color w:val="000000"/>
          <w:sz w:val="24"/>
          <w:szCs w:val="24"/>
        </w:rPr>
        <w:t>年  月</w:t>
      </w:r>
      <w:r>
        <w:rPr>
          <w:rFonts w:ascii="仿宋_GB2312" w:eastAsia="仿宋_GB2312" w:hint="eastAsia"/>
          <w:color w:val="000000"/>
          <w:sz w:val="24"/>
          <w:szCs w:val="24"/>
        </w:rPr>
        <w:t xml:space="preserve"> </w:t>
      </w:r>
    </w:p>
    <w:p w:rsidR="007E26FF" w:rsidRDefault="007E26FF" w:rsidP="007E26FF">
      <w:pPr>
        <w:spacing w:line="378" w:lineRule="exact"/>
        <w:ind w:firstLineChars="2200" w:firstLine="5280"/>
        <w:rPr>
          <w:rFonts w:ascii="仿宋_GB2312" w:eastAsia="仿宋_GB2312"/>
          <w:color w:val="000000"/>
          <w:sz w:val="24"/>
          <w:szCs w:val="24"/>
        </w:rPr>
      </w:pPr>
    </w:p>
    <w:p w:rsidR="00475704" w:rsidRDefault="00475704" w:rsidP="007E26FF">
      <w:pPr>
        <w:rPr>
          <w:rFonts w:hint="eastAsia"/>
        </w:rPr>
      </w:pPr>
      <w:bookmarkStart w:id="0" w:name="_GoBack"/>
      <w:bookmarkEnd w:id="0"/>
    </w:p>
    <w:sectPr w:rsidR="0047570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BC" w:rsidRDefault="003D68BC" w:rsidP="007E26FF">
      <w:r>
        <w:separator/>
      </w:r>
    </w:p>
  </w:endnote>
  <w:endnote w:type="continuationSeparator" w:id="0">
    <w:p w:rsidR="003D68BC" w:rsidRDefault="003D68BC" w:rsidP="007E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Mono"/>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CE" w:rsidRDefault="003D68BC">
    <w:pPr>
      <w:pStyle w:val="a3"/>
      <w:framePr w:wrap="around" w:vAnchor="text" w:hAnchor="margin" w:xAlign="outside" w:y="1"/>
      <w:rPr>
        <w:rStyle w:val="a6"/>
        <w:rFonts w:ascii="Times New Roman" w:hAnsi="Times New Roman" w:hint="eastAsia"/>
        <w:sz w:val="24"/>
        <w:szCs w:val="24"/>
      </w:rPr>
    </w:pPr>
    <w:r>
      <w:rPr>
        <w:rStyle w:val="a6"/>
        <w:rFonts w:ascii="Times New Roman" w:hAnsi="Times New Roman" w:hint="eastAsia"/>
        <w:sz w:val="21"/>
        <w:szCs w:val="21"/>
      </w:rPr>
      <w:t>·</w:t>
    </w:r>
    <w:r>
      <w:rPr>
        <w:rStyle w:val="a6"/>
        <w:rFonts w:ascii="Times New Roman" w:hAnsi="Times New Roman"/>
        <w:sz w:val="24"/>
        <w:szCs w:val="24"/>
      </w:rPr>
      <w:fldChar w:fldCharType="begin"/>
    </w:r>
    <w:r>
      <w:rPr>
        <w:rStyle w:val="a6"/>
        <w:rFonts w:ascii="Times New Roman" w:hAnsi="Times New Roman"/>
        <w:sz w:val="24"/>
        <w:szCs w:val="24"/>
      </w:rPr>
      <w:instrText xml:space="preserve">PAGE  </w:instrText>
    </w:r>
    <w:r>
      <w:rPr>
        <w:rStyle w:val="a6"/>
        <w:rFonts w:ascii="Times New Roman" w:hAnsi="Times New Roman"/>
        <w:sz w:val="24"/>
        <w:szCs w:val="24"/>
      </w:rPr>
      <w:fldChar w:fldCharType="separate"/>
    </w:r>
    <w:r>
      <w:rPr>
        <w:rStyle w:val="a6"/>
        <w:rFonts w:ascii="Times New Roman" w:hAnsi="Times New Roman"/>
        <w:noProof/>
        <w:sz w:val="24"/>
        <w:szCs w:val="24"/>
      </w:rPr>
      <w:t>542</w:t>
    </w:r>
    <w:r>
      <w:rPr>
        <w:rStyle w:val="a6"/>
        <w:rFonts w:ascii="Times New Roman" w:hAnsi="Times New Roman"/>
        <w:sz w:val="24"/>
        <w:szCs w:val="24"/>
      </w:rPr>
      <w:fldChar w:fldCharType="end"/>
    </w:r>
    <w:r>
      <w:rPr>
        <w:rStyle w:val="a6"/>
        <w:rFonts w:ascii="Times New Roman" w:hAnsi="Times New Roman" w:hint="eastAsia"/>
        <w:sz w:val="21"/>
        <w:szCs w:val="21"/>
      </w:rPr>
      <w:t>·</w:t>
    </w:r>
  </w:p>
  <w:p w:rsidR="00736CCE" w:rsidRDefault="003D68B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CE" w:rsidRDefault="003D68BC">
    <w:pPr>
      <w:pStyle w:val="a3"/>
      <w:framePr w:wrap="around" w:vAnchor="text" w:hAnchor="margin" w:xAlign="outside" w:y="1"/>
      <w:rPr>
        <w:rStyle w:val="a6"/>
        <w:rFonts w:ascii="Times New Roman" w:hAnsi="Times New Roman" w:hint="eastAsia"/>
        <w:sz w:val="24"/>
        <w:szCs w:val="24"/>
      </w:rPr>
    </w:pPr>
  </w:p>
  <w:p w:rsidR="00736CCE" w:rsidRDefault="003D68BC" w:rsidP="007E26F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BC" w:rsidRDefault="003D68BC" w:rsidP="007E26FF">
      <w:r>
        <w:separator/>
      </w:r>
    </w:p>
  </w:footnote>
  <w:footnote w:type="continuationSeparator" w:id="0">
    <w:p w:rsidR="003D68BC" w:rsidRDefault="003D68BC" w:rsidP="007E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FF"/>
    <w:rsid w:val="003D68BC"/>
    <w:rsid w:val="00475704"/>
    <w:rsid w:val="007E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FA29"/>
  <w15:chartTrackingRefBased/>
  <w15:docId w15:val="{EE0987C8-F922-4416-B62B-8BCEA08C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E26FF"/>
    <w:pPr>
      <w:tabs>
        <w:tab w:val="center" w:pos="4153"/>
        <w:tab w:val="right" w:pos="8306"/>
      </w:tabs>
      <w:snapToGrid w:val="0"/>
      <w:jc w:val="left"/>
    </w:pPr>
    <w:rPr>
      <w:sz w:val="18"/>
      <w:szCs w:val="18"/>
    </w:rPr>
  </w:style>
  <w:style w:type="character" w:customStyle="1" w:styleId="a4">
    <w:name w:val="页脚 字符"/>
    <w:basedOn w:val="a0"/>
    <w:uiPriority w:val="99"/>
    <w:semiHidden/>
    <w:rsid w:val="007E26FF"/>
    <w:rPr>
      <w:rFonts w:ascii="Calibri" w:eastAsia="宋体" w:hAnsi="Calibri" w:cs="Times New Roman"/>
      <w:sz w:val="18"/>
      <w:szCs w:val="18"/>
    </w:rPr>
  </w:style>
  <w:style w:type="paragraph" w:customStyle="1" w:styleId="5">
    <w:name w:val="样式5"/>
    <w:basedOn w:val="a5"/>
    <w:rsid w:val="007E26FF"/>
    <w:pPr>
      <w:spacing w:beforeLines="30" w:before="30" w:afterLines="30" w:after="30" w:line="378" w:lineRule="exact"/>
      <w:jc w:val="center"/>
    </w:pPr>
    <w:rPr>
      <w:rFonts w:ascii="方正小标宋简体" w:eastAsia="方正小标宋简体" w:hAnsi="Calibri" w:cs="宋体"/>
      <w:color w:val="000000"/>
      <w:sz w:val="36"/>
      <w:szCs w:val="36"/>
    </w:rPr>
  </w:style>
  <w:style w:type="character" w:styleId="a6">
    <w:name w:val="page number"/>
    <w:basedOn w:val="a0"/>
    <w:rsid w:val="007E26FF"/>
  </w:style>
  <w:style w:type="character" w:customStyle="1" w:styleId="Char">
    <w:name w:val="页脚 Char"/>
    <w:link w:val="a3"/>
    <w:uiPriority w:val="99"/>
    <w:rsid w:val="007E26FF"/>
    <w:rPr>
      <w:rFonts w:ascii="Calibri" w:eastAsia="宋体" w:hAnsi="Calibri" w:cs="Times New Roman"/>
      <w:sz w:val="18"/>
      <w:szCs w:val="18"/>
    </w:rPr>
  </w:style>
  <w:style w:type="paragraph" w:styleId="a5">
    <w:name w:val="Plain Text"/>
    <w:basedOn w:val="a"/>
    <w:link w:val="a7"/>
    <w:uiPriority w:val="99"/>
    <w:semiHidden/>
    <w:unhideWhenUsed/>
    <w:rsid w:val="007E26FF"/>
    <w:rPr>
      <w:rFonts w:asciiTheme="minorEastAsia" w:eastAsiaTheme="minorEastAsia" w:hAnsi="Courier New" w:cs="Courier New"/>
    </w:rPr>
  </w:style>
  <w:style w:type="character" w:customStyle="1" w:styleId="a7">
    <w:name w:val="纯文本 字符"/>
    <w:basedOn w:val="a0"/>
    <w:link w:val="a5"/>
    <w:uiPriority w:val="99"/>
    <w:semiHidden/>
    <w:rsid w:val="007E26FF"/>
    <w:rPr>
      <w:rFonts w:asciiTheme="minorEastAsia" w:hAnsi="Courier New" w:cs="Courier New"/>
    </w:rPr>
  </w:style>
  <w:style w:type="paragraph" w:styleId="a8">
    <w:name w:val="header"/>
    <w:basedOn w:val="a"/>
    <w:link w:val="a9"/>
    <w:uiPriority w:val="99"/>
    <w:unhideWhenUsed/>
    <w:rsid w:val="007E26F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E26F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1</cp:revision>
  <dcterms:created xsi:type="dcterms:W3CDTF">2019-12-11T10:52:00Z</dcterms:created>
  <dcterms:modified xsi:type="dcterms:W3CDTF">2019-12-11T10:58:00Z</dcterms:modified>
</cp:coreProperties>
</file>