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firstLine="0" w:firstLineChars="0"/>
        <w:jc w:val="left"/>
        <w:rPr>
          <w:rFonts w:hint="default" w:ascii="Times New Roman" w:hAnsi="Times New Roman" w:eastAsia="黑体" w:cs="Times New Roman"/>
          <w:b w:val="0"/>
          <w:bCs w:val="0"/>
          <w:kern w:val="2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kern w:val="2"/>
          <w:sz w:val="32"/>
          <w:szCs w:val="32"/>
        </w:rPr>
        <w:t>附件3-1</w:t>
      </w:r>
    </w:p>
    <w:p>
      <w:pPr>
        <w:spacing w:after="0" w:line="360" w:lineRule="auto"/>
        <w:ind w:firstLine="0" w:firstLineChars="0"/>
        <w:jc w:val="both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徐州市脑外伤、脑卒中康复按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价值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付费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办法</w:t>
      </w:r>
    </w:p>
    <w:p>
      <w:pPr>
        <w:spacing w:after="0" w:line="360" w:lineRule="auto"/>
        <w:ind w:firstLine="640" w:firstLineChars="200"/>
        <w:jc w:val="center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-1"/>
          <w:numId w:val="0"/>
        </w:numPr>
        <w:spacing w:after="0" w:line="560" w:lineRule="exact"/>
        <w:ind w:leftChars="0" w:firstLine="640" w:firstLineChars="200"/>
        <w:outlineLvl w:val="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</w:rPr>
        <w:t>适用范围</w:t>
      </w:r>
    </w:p>
    <w:p>
      <w:pPr>
        <w:spacing w:after="0" w:line="56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临床诊断符合第一诊断为脑外伤、脑卒中且病情平稳需要长期康复介入患者。</w:t>
      </w:r>
    </w:p>
    <w:p>
      <w:pPr>
        <w:numPr>
          <w:ilvl w:val="-1"/>
          <w:numId w:val="0"/>
        </w:numPr>
        <w:autoSpaceDE/>
        <w:autoSpaceDN/>
        <w:spacing w:after="0" w:line="560" w:lineRule="exact"/>
        <w:ind w:leftChars="0" w:firstLine="640" w:firstLineChars="200"/>
        <w:outlineLvl w:val="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  <w:lang w:eastAsia="zh-CN"/>
        </w:rPr>
        <w:t>二、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</w:rPr>
        <w:t>入组及出组规范</w:t>
      </w:r>
    </w:p>
    <w:p>
      <w:pPr>
        <w:numPr>
          <w:ilvl w:val="0"/>
          <w:numId w:val="1"/>
        </w:numPr>
        <w:autoSpaceDE w:val="0"/>
        <w:autoSpaceDN w:val="0"/>
        <w:spacing w:after="0" w:line="560" w:lineRule="exact"/>
        <w:ind w:firstLine="642" w:firstLineChars="20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入组要求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440" w:leftChars="200" w:firstLine="320" w:firstLineChars="1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脑外伤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脑卒中自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临床科室治疗结束起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1年内的住院康复治疗患者。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440" w:leftChars="200" w:firstLine="320" w:firstLineChars="1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经康复评估确有康复价值，并有明确的康复目标，预期功能明显改善的患者。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440" w:leftChars="200" w:firstLine="320" w:firstLineChars="1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入组具体康复评估标准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运动功能障碍：Brunnstrom分期≤V期；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言语功能障碍：ABC评定，各种类型失语＜90分；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吞咽功能障碍：洼田饮水试验≥2级；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认知功能障碍：已经MMSE评分：一般文盲≤17分，小学文化≤20分，中学及以上文化≤24分；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膀胱及直肠功能障碍：二便失禁、神经源性膀胱等；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日常生活自理能力受限：改良Barthel指数≤60分；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满足上述一项功能障碍，有明确康复价值及康复目标，可入组。</w:t>
      </w:r>
    </w:p>
    <w:p>
      <w:pPr>
        <w:numPr>
          <w:ilvl w:val="0"/>
          <w:numId w:val="2"/>
        </w:numPr>
        <w:autoSpaceDE w:val="0"/>
        <w:autoSpaceDN w:val="0"/>
        <w:spacing w:after="0" w:line="560" w:lineRule="exact"/>
        <w:ind w:firstLine="642" w:firstLineChars="20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出组要求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leftChars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经康复评估已达到预期康复目标，无住院康复治疗指证；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leftChars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经连续三疗程康复治疗后，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</w:rPr>
        <w:t>康复功能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无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</w:rPr>
        <w:t>改善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终止康复治疗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；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leftChars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其他基础疾病、并发症或合并症等的严重程度及费用超出入组条件疾病；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leftChars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患者及家属放弃治疗或不配合康复治疗；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leftChars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脑卒中复发或影像学证实新发脑卒中；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leftChars="0"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新发脑外伤；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leftChars="0" w:firstLine="640" w:firstLineChars="20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出现其他异常，影响康复治疗正常进行。</w:t>
      </w:r>
    </w:p>
    <w:p>
      <w:pPr>
        <w:numPr>
          <w:ilvl w:val="-1"/>
          <w:numId w:val="0"/>
        </w:numPr>
        <w:spacing w:after="0" w:line="560" w:lineRule="exact"/>
        <w:ind w:leftChars="0" w:firstLine="640" w:firstLineChars="200"/>
        <w:outlineLvl w:val="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</w:rPr>
        <w:t>康复评定</w:t>
      </w:r>
    </w:p>
    <w:p>
      <w:pPr>
        <w:pStyle w:val="6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根据《临床诊疗指南-物理医学与康复分册》（中华医学会编著，人民卫生出版社）、《康复医学（第6版）》（人民卫生出版社）</w:t>
      </w:r>
    </w:p>
    <w:p>
      <w:pPr>
        <w:pStyle w:val="6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1.一般情况：包括生命体征，睡眠和大小便等基本情况，注意评定患者的意识状态。了解患者总体治疗情况。</w:t>
      </w:r>
    </w:p>
    <w:p>
      <w:pPr>
        <w:autoSpaceDE w:val="0"/>
        <w:autoSpaceDN w:val="0"/>
        <w:spacing w:after="0" w:line="560" w:lineRule="exact"/>
        <w:ind w:firstLine="640" w:firstLineChars="20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2.康复专科评定：分别于入院后1-3天进行初次康复评定，入院后10-14天进行中期康复评定，出院前进行末次康复评定，评定具体内容如下：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420" w:firstLine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功能综合评定量表（FCA）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420" w:firstLine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意识障碍的评定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420" w:firstLine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运动功能的评定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420" w:firstLine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感觉功能的评定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420" w:firstLine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言语功能的评定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320" w:firstLineChars="1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吞咽功能的评定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320" w:firstLineChars="1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认知功能的评定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320" w:firstLineChars="1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精神、情感、心理状态的评定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320" w:firstLineChars="1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膀胱及直肠功能的评定</w:t>
      </w:r>
    </w:p>
    <w:p>
      <w:pPr>
        <w:numPr>
          <w:ilvl w:val="0"/>
          <w:numId w:val="0"/>
        </w:numPr>
        <w:autoSpaceDE/>
        <w:autoSpaceDN/>
        <w:spacing w:after="0" w:line="560" w:lineRule="exact"/>
        <w:ind w:left="0" w:firstLine="320" w:firstLineChars="100"/>
        <w:outlineLvl w:val="0"/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日常生活活动能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力的评定</w:t>
      </w:r>
    </w:p>
    <w:p>
      <w:pPr>
        <w:numPr>
          <w:ilvl w:val="-1"/>
          <w:numId w:val="0"/>
        </w:numPr>
        <w:autoSpaceDE/>
        <w:autoSpaceDN/>
        <w:spacing w:after="0" w:line="560" w:lineRule="exact"/>
        <w:ind w:leftChars="0" w:firstLine="640" w:firstLineChars="200"/>
        <w:outlineLvl w:val="0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lang w:val="en-GB" w:eastAsia="zh-CN"/>
        </w:rPr>
        <w:t>四、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lang w:val="en-GB"/>
        </w:rPr>
        <w:t>康复治疗方案</w:t>
      </w:r>
    </w:p>
    <w:p>
      <w:pPr>
        <w:pStyle w:val="12"/>
        <w:spacing w:before="0" w:beforeAutospacing="0" w:after="0" w:afterAutospacing="0" w:line="560" w:lineRule="exact"/>
        <w:ind w:firstLine="64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根据《临床诊疗指南-物理医学与康复分册》（中华医学会编著，人民卫生出版社）、《康复医学（第6版）》（人民卫生出版社）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839" w:firstLine="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zh-CN"/>
        </w:rPr>
        <w:t>临床常规治疗</w:t>
      </w:r>
    </w:p>
    <w:p>
      <w:pPr>
        <w:pStyle w:val="6"/>
        <w:numPr>
          <w:ilvl w:val="-1"/>
          <w:numId w:val="0"/>
        </w:numPr>
        <w:spacing w:before="0" w:beforeAutospacing="0" w:after="0" w:afterAutospacing="0" w:line="560" w:lineRule="exact"/>
        <w:ind w:left="839" w:firstLine="0"/>
        <w:jc w:val="both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康复治疗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体位摆放与处理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意识障碍处理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运动治疗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作业治疗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物理因子治疗</w:t>
      </w:r>
    </w:p>
    <w:p>
      <w:pPr>
        <w:pStyle w:val="12"/>
        <w:numPr>
          <w:ilvl w:val="-1"/>
          <w:numId w:val="0"/>
        </w:numPr>
        <w:spacing w:before="0" w:beforeAutospacing="0" w:after="0" w:afterAutospacing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认知功能训练</w:t>
      </w:r>
    </w:p>
    <w:p>
      <w:pPr>
        <w:pStyle w:val="2"/>
        <w:numPr>
          <w:ilvl w:val="-1"/>
          <w:numId w:val="0"/>
        </w:numPr>
        <w:spacing w:after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言语治疗</w:t>
      </w:r>
    </w:p>
    <w:p>
      <w:pPr>
        <w:pStyle w:val="12"/>
        <w:numPr>
          <w:ilvl w:val="-1"/>
          <w:numId w:val="0"/>
        </w:numPr>
        <w:spacing w:before="0" w:beforeAutospacing="0" w:after="0" w:afterAutospacing="0" w:line="560" w:lineRule="exact"/>
        <w:ind w:left="0"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吞咽治疗</w:t>
      </w:r>
    </w:p>
    <w:p>
      <w:pPr>
        <w:pStyle w:val="6"/>
        <w:numPr>
          <w:ilvl w:val="-1"/>
          <w:numId w:val="0"/>
        </w:numPr>
        <w:spacing w:before="0" w:beforeAutospacing="0" w:after="0" w:afterAutospacing="0" w:line="560" w:lineRule="exact"/>
        <w:ind w:left="0" w:firstLine="640" w:firstLineChars="200"/>
        <w:jc w:val="both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矫形器具及其他辅助器具装配与训练</w:t>
      </w:r>
    </w:p>
    <w:p>
      <w:pPr>
        <w:pStyle w:val="6"/>
        <w:numPr>
          <w:ilvl w:val="-1"/>
          <w:numId w:val="0"/>
        </w:numPr>
        <w:spacing w:before="0" w:beforeAutospacing="0" w:after="0" w:afterAutospacing="0" w:line="560" w:lineRule="exact"/>
        <w:ind w:left="0" w:firstLine="640" w:firstLineChars="200"/>
        <w:jc w:val="both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心理行为治疗</w:t>
      </w:r>
    </w:p>
    <w:p>
      <w:pPr>
        <w:pStyle w:val="6"/>
        <w:numPr>
          <w:ilvl w:val="-1"/>
          <w:numId w:val="0"/>
        </w:numPr>
        <w:spacing w:before="0" w:beforeAutospacing="0" w:after="0" w:afterAutospacing="0" w:line="560" w:lineRule="exact"/>
        <w:ind w:left="0" w:firstLine="640" w:firstLineChars="200"/>
        <w:jc w:val="both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中医治疗</w:t>
      </w:r>
    </w:p>
    <w:p>
      <w:pPr>
        <w:pStyle w:val="6"/>
        <w:numPr>
          <w:ilvl w:val="-1"/>
          <w:numId w:val="0"/>
        </w:numPr>
        <w:spacing w:before="0" w:beforeAutospacing="0" w:after="0" w:afterAutospacing="0" w:line="560" w:lineRule="exact"/>
        <w:ind w:left="0" w:firstLine="640" w:firstLineChars="200"/>
        <w:jc w:val="both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痉挛处理</w:t>
      </w:r>
    </w:p>
    <w:p>
      <w:pPr>
        <w:pStyle w:val="6"/>
        <w:numPr>
          <w:ilvl w:val="-1"/>
          <w:numId w:val="0"/>
        </w:numPr>
        <w:tabs>
          <w:tab w:val="left" w:pos="420"/>
        </w:tabs>
        <w:spacing w:before="0" w:beforeAutospacing="0" w:after="0" w:afterAutospacing="0" w:line="560" w:lineRule="exact"/>
        <w:ind w:left="840" w:firstLine="0"/>
        <w:jc w:val="both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color w:val="auto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  <w:lang w:val="zh-CN"/>
        </w:rPr>
        <w:t>常见并发症的处理</w:t>
      </w:r>
    </w:p>
    <w:p>
      <w:pPr>
        <w:pStyle w:val="6"/>
        <w:numPr>
          <w:ilvl w:val="0"/>
          <w:numId w:val="3"/>
        </w:numPr>
        <w:spacing w:before="0" w:beforeAutospacing="0" w:after="0" w:afterAutospacing="0" w:line="560" w:lineRule="exact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感染的治疗</w:t>
      </w:r>
    </w:p>
    <w:p>
      <w:pPr>
        <w:pStyle w:val="6"/>
        <w:numPr>
          <w:ilvl w:val="0"/>
          <w:numId w:val="3"/>
        </w:numPr>
        <w:spacing w:before="0" w:beforeAutospacing="0" w:after="0" w:afterAutospacing="0" w:line="560" w:lineRule="exact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深静脉血栓的治疗</w:t>
      </w:r>
    </w:p>
    <w:p>
      <w:pPr>
        <w:pStyle w:val="6"/>
        <w:numPr>
          <w:ilvl w:val="0"/>
          <w:numId w:val="3"/>
        </w:numPr>
        <w:spacing w:before="0" w:beforeAutospacing="0" w:after="0" w:afterAutospacing="0" w:line="560" w:lineRule="exact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压疮的治疗</w:t>
      </w:r>
    </w:p>
    <w:p>
      <w:pPr>
        <w:pStyle w:val="6"/>
        <w:numPr>
          <w:ilvl w:val="0"/>
          <w:numId w:val="3"/>
        </w:numPr>
        <w:spacing w:before="0" w:beforeAutospacing="0" w:after="0" w:afterAutospacing="0" w:line="560" w:lineRule="exact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异位骨化的治疗</w:t>
      </w:r>
    </w:p>
    <w:p>
      <w:pPr>
        <w:pStyle w:val="6"/>
        <w:numPr>
          <w:ilvl w:val="0"/>
          <w:numId w:val="3"/>
        </w:numPr>
        <w:spacing w:before="0" w:beforeAutospacing="0" w:after="0" w:afterAutospacing="0" w:line="560" w:lineRule="exact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zh-CN"/>
        </w:rPr>
        <w:t>其他：如骨质疏松、关节挛缩等。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Chars="0" w:firstLine="640" w:firstLineChars="200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五、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康复功能改善衡量标准：功能综合评定量表（FCA）改善率</w:t>
      </w:r>
    </w:p>
    <w:p>
      <w:pPr>
        <w:autoSpaceDE w:val="0"/>
        <w:autoSpaceDN w:val="0"/>
        <w:spacing w:after="0"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以出院患者功能综合评定量表（FCA）（总分108分，最低18分）改善率作为评判转归标准，功能综合评定量表（FCA）改善率=（出院评估分值-入院评估分值）/（项目满分-入院评估分值）×100%。</w:t>
      </w:r>
    </w:p>
    <w:p>
      <w:pPr>
        <w:numPr>
          <w:ilvl w:val="-1"/>
          <w:numId w:val="0"/>
        </w:numPr>
        <w:autoSpaceDE w:val="0"/>
        <w:autoSpaceDN w:val="0"/>
        <w:spacing w:after="0" w:line="560" w:lineRule="exact"/>
        <w:ind w:leftChars="0" w:firstLine="640" w:firstLineChars="200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六、结算标准</w:t>
      </w:r>
    </w:p>
    <w:p>
      <w:pPr>
        <w:autoSpaceDE w:val="0"/>
        <w:autoSpaceDN w:val="0"/>
        <w:spacing w:after="0"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功能障碍指标改善率≥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0%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的，按照相应结算标准全额支付；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功能障碍指标改善率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含10%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-3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0%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的，按照相应结算标准的90%支付；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功能障碍指标改善率＜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0%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的，按照相应结算标准的80%支付。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FC17DA"/>
    <w:multiLevelType w:val="singleLevel"/>
    <w:tmpl w:val="C4FC17DA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08125D25"/>
    <w:multiLevelType w:val="singleLevel"/>
    <w:tmpl w:val="08125D25"/>
    <w:lvl w:ilvl="0" w:tentative="0">
      <w:start w:val="2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555B48F4"/>
    <w:multiLevelType w:val="multilevel"/>
    <w:tmpl w:val="555B48F4"/>
    <w:lvl w:ilvl="0" w:tentative="0">
      <w:start w:val="1"/>
      <w:numFmt w:val="decimal"/>
      <w:lvlText w:val="（%1）"/>
      <w:lvlJc w:val="left"/>
      <w:pPr>
        <w:ind w:left="1271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yOTM1OTkxNGEyMDA2OGQ4ZGMzOTRjNDEyMGI5MGYifQ=="/>
  </w:docVars>
  <w:rsids>
    <w:rsidRoot w:val="009C2E01"/>
    <w:rsid w:val="0017485B"/>
    <w:rsid w:val="002C29C1"/>
    <w:rsid w:val="005935D6"/>
    <w:rsid w:val="005B3676"/>
    <w:rsid w:val="0078179D"/>
    <w:rsid w:val="008B73C2"/>
    <w:rsid w:val="009706DD"/>
    <w:rsid w:val="009A791D"/>
    <w:rsid w:val="009C2E01"/>
    <w:rsid w:val="00CC2B69"/>
    <w:rsid w:val="00D25DD8"/>
    <w:rsid w:val="00FF047E"/>
    <w:rsid w:val="01F41E10"/>
    <w:rsid w:val="042A2785"/>
    <w:rsid w:val="042D1529"/>
    <w:rsid w:val="063C5854"/>
    <w:rsid w:val="070314FA"/>
    <w:rsid w:val="0764573B"/>
    <w:rsid w:val="0A1B17B6"/>
    <w:rsid w:val="0B91793A"/>
    <w:rsid w:val="0B9E444D"/>
    <w:rsid w:val="0C436DA2"/>
    <w:rsid w:val="0C665143"/>
    <w:rsid w:val="0C6F1945"/>
    <w:rsid w:val="0CDE51B8"/>
    <w:rsid w:val="0E1704E7"/>
    <w:rsid w:val="0EC40BDC"/>
    <w:rsid w:val="0F987405"/>
    <w:rsid w:val="10FD4D24"/>
    <w:rsid w:val="11F76665"/>
    <w:rsid w:val="121F4D1B"/>
    <w:rsid w:val="12905F07"/>
    <w:rsid w:val="155C2C83"/>
    <w:rsid w:val="15745C65"/>
    <w:rsid w:val="165D0E60"/>
    <w:rsid w:val="17E4768B"/>
    <w:rsid w:val="18631E47"/>
    <w:rsid w:val="18AD0D7A"/>
    <w:rsid w:val="18E90CD1"/>
    <w:rsid w:val="197E58BE"/>
    <w:rsid w:val="1A7867B1"/>
    <w:rsid w:val="1BDE0DCF"/>
    <w:rsid w:val="1BE107B4"/>
    <w:rsid w:val="1C9573F7"/>
    <w:rsid w:val="1E4F349E"/>
    <w:rsid w:val="1EBA2FE0"/>
    <w:rsid w:val="1EE6373D"/>
    <w:rsid w:val="20C53799"/>
    <w:rsid w:val="213827F6"/>
    <w:rsid w:val="215C0E9E"/>
    <w:rsid w:val="217952E8"/>
    <w:rsid w:val="21E62243"/>
    <w:rsid w:val="22182566"/>
    <w:rsid w:val="22B67E76"/>
    <w:rsid w:val="23155A4C"/>
    <w:rsid w:val="23C10881"/>
    <w:rsid w:val="27A74EBE"/>
    <w:rsid w:val="27F24921"/>
    <w:rsid w:val="28023788"/>
    <w:rsid w:val="281F201A"/>
    <w:rsid w:val="284B2CED"/>
    <w:rsid w:val="28A94930"/>
    <w:rsid w:val="2A0F09BB"/>
    <w:rsid w:val="2C2239F1"/>
    <w:rsid w:val="2C3D2E89"/>
    <w:rsid w:val="2C4E7372"/>
    <w:rsid w:val="2E1B20B3"/>
    <w:rsid w:val="2EF73D4E"/>
    <w:rsid w:val="2FEC5DD1"/>
    <w:rsid w:val="30C60BE4"/>
    <w:rsid w:val="3296737C"/>
    <w:rsid w:val="330A7F59"/>
    <w:rsid w:val="33B77365"/>
    <w:rsid w:val="3509652C"/>
    <w:rsid w:val="35E54EB8"/>
    <w:rsid w:val="35E570A4"/>
    <w:rsid w:val="37BA775F"/>
    <w:rsid w:val="37BFD9E3"/>
    <w:rsid w:val="37C75A2A"/>
    <w:rsid w:val="38673C95"/>
    <w:rsid w:val="392F77E9"/>
    <w:rsid w:val="393A3157"/>
    <w:rsid w:val="397166B6"/>
    <w:rsid w:val="3C302CBA"/>
    <w:rsid w:val="3E8E4943"/>
    <w:rsid w:val="3F5D204E"/>
    <w:rsid w:val="3F6E5EFE"/>
    <w:rsid w:val="3FF2702B"/>
    <w:rsid w:val="3FFB4CC3"/>
    <w:rsid w:val="40D75730"/>
    <w:rsid w:val="410330A0"/>
    <w:rsid w:val="41B94AAD"/>
    <w:rsid w:val="425629F5"/>
    <w:rsid w:val="428C7B40"/>
    <w:rsid w:val="45B669CD"/>
    <w:rsid w:val="47154B1C"/>
    <w:rsid w:val="47757B93"/>
    <w:rsid w:val="47944D17"/>
    <w:rsid w:val="495F62C2"/>
    <w:rsid w:val="4A9B460E"/>
    <w:rsid w:val="4B3D0885"/>
    <w:rsid w:val="4B7FEC8A"/>
    <w:rsid w:val="4BB5041C"/>
    <w:rsid w:val="4CD9237E"/>
    <w:rsid w:val="4CEB4E8F"/>
    <w:rsid w:val="4D1A10FE"/>
    <w:rsid w:val="4D2E5852"/>
    <w:rsid w:val="4D5A10E6"/>
    <w:rsid w:val="4D875426"/>
    <w:rsid w:val="4E134DCE"/>
    <w:rsid w:val="4EB175C0"/>
    <w:rsid w:val="4EF460F6"/>
    <w:rsid w:val="4F3D0460"/>
    <w:rsid w:val="4F7B10D9"/>
    <w:rsid w:val="4FB57798"/>
    <w:rsid w:val="50D03E52"/>
    <w:rsid w:val="515E50B1"/>
    <w:rsid w:val="518014CC"/>
    <w:rsid w:val="524C5999"/>
    <w:rsid w:val="527E5A0B"/>
    <w:rsid w:val="52B14033"/>
    <w:rsid w:val="55C050B0"/>
    <w:rsid w:val="56495E3A"/>
    <w:rsid w:val="56B04601"/>
    <w:rsid w:val="56DA744F"/>
    <w:rsid w:val="575E7405"/>
    <w:rsid w:val="57FFC0DA"/>
    <w:rsid w:val="58B27077"/>
    <w:rsid w:val="598002BB"/>
    <w:rsid w:val="59B87FE4"/>
    <w:rsid w:val="5AFBA238"/>
    <w:rsid w:val="5B030156"/>
    <w:rsid w:val="5B636E94"/>
    <w:rsid w:val="5BDF8F69"/>
    <w:rsid w:val="5C510B34"/>
    <w:rsid w:val="5DA84B22"/>
    <w:rsid w:val="5DDF1B81"/>
    <w:rsid w:val="5E601E7E"/>
    <w:rsid w:val="5E8230D2"/>
    <w:rsid w:val="5EC450EE"/>
    <w:rsid w:val="5FA6034F"/>
    <w:rsid w:val="600E24AE"/>
    <w:rsid w:val="60E27A91"/>
    <w:rsid w:val="622E6C12"/>
    <w:rsid w:val="626C334D"/>
    <w:rsid w:val="629D3C8C"/>
    <w:rsid w:val="62EC7E90"/>
    <w:rsid w:val="65CC6636"/>
    <w:rsid w:val="66954D2F"/>
    <w:rsid w:val="66BF61D7"/>
    <w:rsid w:val="670267B3"/>
    <w:rsid w:val="68FE11FC"/>
    <w:rsid w:val="69F22886"/>
    <w:rsid w:val="6A976D55"/>
    <w:rsid w:val="6ABE6E95"/>
    <w:rsid w:val="6AE57E61"/>
    <w:rsid w:val="6B8A3513"/>
    <w:rsid w:val="6BD36AD5"/>
    <w:rsid w:val="6D1F288C"/>
    <w:rsid w:val="6D7E579E"/>
    <w:rsid w:val="6E2B487A"/>
    <w:rsid w:val="6E5D70F8"/>
    <w:rsid w:val="6E69DB3C"/>
    <w:rsid w:val="6F3A4D57"/>
    <w:rsid w:val="6FBD7AF6"/>
    <w:rsid w:val="6FCB4CE0"/>
    <w:rsid w:val="6FDD5985"/>
    <w:rsid w:val="6FEA4288"/>
    <w:rsid w:val="6FFA5BE2"/>
    <w:rsid w:val="7064228D"/>
    <w:rsid w:val="70AC3AA6"/>
    <w:rsid w:val="72037883"/>
    <w:rsid w:val="7323704F"/>
    <w:rsid w:val="73EF68A0"/>
    <w:rsid w:val="75D818B3"/>
    <w:rsid w:val="77A411C1"/>
    <w:rsid w:val="798C582B"/>
    <w:rsid w:val="79F3F154"/>
    <w:rsid w:val="7BC562BC"/>
    <w:rsid w:val="7BF3419F"/>
    <w:rsid w:val="7C7FFACF"/>
    <w:rsid w:val="7CB34A37"/>
    <w:rsid w:val="7D773D83"/>
    <w:rsid w:val="7DA15285"/>
    <w:rsid w:val="7DC6389F"/>
    <w:rsid w:val="7DDA593C"/>
    <w:rsid w:val="7DEE9150"/>
    <w:rsid w:val="7F086C46"/>
    <w:rsid w:val="7F7D6EC7"/>
    <w:rsid w:val="7FBF52E1"/>
    <w:rsid w:val="97FFDA45"/>
    <w:rsid w:val="AFDD51A9"/>
    <w:rsid w:val="CBFB193B"/>
    <w:rsid w:val="D3FFBA47"/>
    <w:rsid w:val="DF6F0ED4"/>
    <w:rsid w:val="DFBE435A"/>
    <w:rsid w:val="DFFB2BD0"/>
    <w:rsid w:val="E1D90EAE"/>
    <w:rsid w:val="F31F9805"/>
    <w:rsid w:val="F6F6CA92"/>
    <w:rsid w:val="FDDC51BF"/>
    <w:rsid w:val="FDFB17D7"/>
    <w:rsid w:val="FF2CFDBD"/>
    <w:rsid w:val="FF5FF5E3"/>
    <w:rsid w:val="FF69CCAB"/>
    <w:rsid w:val="FFFF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</w:style>
  <w:style w:type="paragraph" w:styleId="3">
    <w:name w:val="annotation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basedOn w:val="9"/>
    <w:qFormat/>
    <w:uiPriority w:val="0"/>
    <w:rPr>
      <w:sz w:val="21"/>
      <w:szCs w:val="21"/>
    </w:rPr>
  </w:style>
  <w:style w:type="paragraph" w:customStyle="1" w:styleId="12">
    <w:name w:val="p0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1169</Words>
  <Characters>1236</Characters>
  <Lines>10</Lines>
  <Paragraphs>2</Paragraphs>
  <TotalTime>89</TotalTime>
  <ScaleCrop>false</ScaleCrop>
  <LinksUpToDate>false</LinksUpToDate>
  <CharactersWithSpaces>1236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2019-12-13T12:44:00Z</dcterms:created>
  <dc:creator>咕咕</dc:creator>
  <cp:lastModifiedBy>www</cp:lastModifiedBy>
  <cp:lastPrinted>2022-12-30T07:36:00Z</cp:lastPrinted>
  <dcterms:modified xsi:type="dcterms:W3CDTF">2022-12-29T18:27:44Z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F9307806C7664A009AFA16B260FD87C0</vt:lpwstr>
  </property>
</Properties>
</file>