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7 -->
  <w:body>
    <w:p w:rsidR="00FF520F" w:rsidP="00C55AC2">
      <w:pPr>
        <w:overflowPunct w:val="0"/>
        <w:adjustRightInd w:val="0"/>
        <w:snapToGrid w:val="0"/>
        <w:spacing w:line="560" w:lineRule="exact"/>
        <w:rPr>
          <w:rFonts w:ascii="黑体" w:eastAsia="黑体" w:hAnsi="黑体"/>
          <w:snapToGrid w:val="0"/>
          <w:kern w:val="0"/>
        </w:rPr>
      </w:pPr>
      <w:r>
        <w:rPr>
          <w:rFonts w:ascii="黑体" w:eastAsia="黑体" w:hAnsi="黑体" w:hint="eastAsia"/>
          <w:snapToGrid w:val="0"/>
          <w:kern w:val="0"/>
        </w:rPr>
        <w:t>附件</w:t>
      </w:r>
      <w:r>
        <w:rPr>
          <w:rFonts w:ascii="黑体" w:eastAsia="黑体" w:hAnsi="黑体" w:hint="eastAsia"/>
          <w:snapToGrid w:val="0"/>
          <w:kern w:val="0"/>
        </w:rPr>
        <w:t>1</w:t>
      </w:r>
    </w:p>
    <w:p w:rsidR="00FF520F" w:rsidP="00C55AC2">
      <w:pPr>
        <w:overflowPunct w:val="0"/>
        <w:adjustRightInd w:val="0"/>
        <w:snapToGrid w:val="0"/>
        <w:spacing w:line="560" w:lineRule="exact"/>
        <w:jc w:val="center"/>
        <w:rPr>
          <w:rFonts w:ascii="宋体" w:hAnsi="宋体"/>
          <w:b/>
          <w:snapToGrid w:val="0"/>
          <w:color w:val="000000"/>
          <w:kern w:val="0"/>
          <w:sz w:val="36"/>
          <w:szCs w:val="36"/>
        </w:rPr>
      </w:pPr>
    </w:p>
    <w:p w:rsidR="00FF520F" w:rsidP="00C55AC2">
      <w:pPr>
        <w:overflowPunct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44"/>
          <w:szCs w:val="44"/>
        </w:rPr>
        <w:t>山东省不动产“带押过户”参考办理模式</w:t>
      </w:r>
    </w:p>
    <w:p w:rsidR="00FF520F" w:rsidP="00C55AC2">
      <w:pPr>
        <w:overflowPunct w:val="0"/>
        <w:adjustRightInd w:val="0"/>
        <w:snapToGrid w:val="0"/>
        <w:spacing w:line="560" w:lineRule="exact"/>
        <w:ind w:firstLine="640" w:firstLineChars="200"/>
        <w:rPr>
          <w:rFonts w:hAnsi="仿宋_GB2312" w:cs="仿宋_GB2312"/>
          <w:bCs/>
          <w:snapToGrid w:val="0"/>
          <w:color w:val="000000"/>
          <w:kern w:val="0"/>
        </w:rPr>
      </w:pPr>
    </w:p>
    <w:p w:rsidR="00FF520F" w:rsidRPr="00C55AC2" w:rsidP="00C55AC2">
      <w:pPr>
        <w:overflowPunct w:val="0"/>
        <w:adjustRightInd w:val="0"/>
        <w:snapToGrid w:val="0"/>
        <w:spacing w:line="560" w:lineRule="exact"/>
        <w:ind w:firstLine="640" w:firstLineChars="200"/>
        <w:rPr>
          <w:rFonts w:hAnsi="Times New Roman" w:cs="Times New Roman" w:hint="eastAsia"/>
          <w:bCs/>
          <w:snapToGrid w:val="0"/>
          <w:color w:val="000000"/>
          <w:kern w:val="0"/>
        </w:rPr>
      </w:pPr>
      <w:r w:rsidRPr="00C55AC2">
        <w:rPr>
          <w:rFonts w:hAnsi="Times New Roman" w:cs="Times New Roman" w:hint="eastAsia"/>
          <w:bCs/>
          <w:snapToGrid w:val="0"/>
          <w:color w:val="000000"/>
          <w:kern w:val="0"/>
        </w:rPr>
        <w:t>鉴于省内各银行业金融机构审批权限、内部流程不同，本着“手续能简则简、费用能少则少”的原则，以二手房交易为例推出以下</w:t>
      </w:r>
      <w:r w:rsidRPr="00C55AC2">
        <w:rPr>
          <w:rFonts w:hAnsi="Times New Roman" w:cs="Times New Roman" w:hint="eastAsia"/>
          <w:bCs/>
          <w:snapToGrid w:val="0"/>
          <w:color w:val="000000"/>
          <w:kern w:val="0"/>
        </w:rPr>
        <w:t>4</w:t>
      </w:r>
      <w:r w:rsidRPr="00C55AC2">
        <w:rPr>
          <w:rFonts w:hAnsi="Times New Roman" w:cs="Times New Roman" w:hint="eastAsia"/>
          <w:bCs/>
          <w:snapToGrid w:val="0"/>
          <w:color w:val="000000"/>
          <w:kern w:val="0"/>
        </w:rPr>
        <w:t>种参考办理模式，各地可根据本地实际情况进行流程优化、细化。</w:t>
      </w:r>
    </w:p>
    <w:p w:rsidR="00FF520F" w:rsidP="00C55AC2"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黑体" w:eastAsia="黑体" w:hAnsi="黑体" w:cs="黑体"/>
          <w:bCs/>
          <w:snapToGrid w:val="0"/>
          <w:color w:val="auto"/>
          <w:kern w:val="0"/>
        </w:rPr>
      </w:pPr>
      <w:r>
        <w:rPr>
          <w:rFonts w:ascii="黑体" w:eastAsia="黑体" w:hAnsi="黑体" w:cs="黑体" w:hint="eastAsia"/>
          <w:bCs/>
          <w:snapToGrid w:val="0"/>
          <w:color w:val="auto"/>
          <w:kern w:val="0"/>
        </w:rPr>
        <w:t>模式一：买卖双方贷款抵押权人为同一银行业金融机构（抵押权变更）</w:t>
      </w:r>
    </w:p>
    <w:p w:rsidR="00FF520F" w:rsidP="00C55AC2">
      <w:pPr>
        <w:overflowPunct w:val="0"/>
        <w:adjustRightInd w:val="0"/>
        <w:snapToGrid w:val="0"/>
        <w:spacing w:line="560" w:lineRule="exact"/>
        <w:ind w:firstLine="640" w:firstLineChars="200"/>
        <w:rPr>
          <w:rFonts w:hAnsi="仿宋_GB2312" w:cs="仿宋_GB2312"/>
          <w:bCs/>
          <w:snapToGrid w:val="0"/>
          <w:color w:val="auto"/>
          <w:kern w:val="0"/>
        </w:rPr>
      </w:pPr>
      <w:r>
        <w:rPr>
          <w:rFonts w:hAnsi="仿宋_GB2312" w:cs="仿宋_GB2312" w:hint="eastAsia"/>
          <w:bCs/>
          <w:snapToGrid w:val="0"/>
          <w:color w:val="auto"/>
          <w:kern w:val="0"/>
        </w:rPr>
        <w:t>买卖双方</w:t>
      </w:r>
      <w:r>
        <w:rPr>
          <w:rFonts w:hAnsi="仿宋_GB2312" w:cs="仿宋_GB2312" w:hint="eastAsia"/>
          <w:bCs/>
          <w:snapToGrid w:val="0"/>
          <w:color w:val="auto"/>
          <w:kern w:val="0"/>
        </w:rPr>
        <w:t>、</w:t>
      </w:r>
      <w:r>
        <w:rPr>
          <w:rFonts w:hAnsi="仿宋_GB2312" w:cs="仿宋_GB2312" w:hint="eastAsia"/>
          <w:bCs/>
          <w:snapToGrid w:val="0"/>
          <w:color w:val="auto"/>
          <w:kern w:val="0"/>
        </w:rPr>
        <w:t>银行业金融机构达成合意，约定抵押权变更等内容。买方将首付款汇至银行业金融机构“带押过户”专用账户，不动产登记机构依申请办理转移登记、抵押权变更登记，银行业金融机构将首付款划转至卖方指定账户。</w:t>
      </w:r>
    </w:p>
    <w:p w:rsidR="00FF520F" w:rsidP="00C55AC2"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黑体" w:eastAsia="黑体" w:hAnsi="黑体" w:cs="黑体"/>
          <w:bCs/>
          <w:snapToGrid w:val="0"/>
          <w:color w:val="auto"/>
          <w:kern w:val="0"/>
        </w:rPr>
      </w:pPr>
      <w:r>
        <w:rPr>
          <w:rFonts w:ascii="黑体" w:eastAsia="黑体" w:hAnsi="黑体" w:cs="黑体" w:hint="eastAsia"/>
          <w:bCs/>
          <w:snapToGrid w:val="0"/>
          <w:color w:val="auto"/>
          <w:kern w:val="0"/>
        </w:rPr>
        <w:t>模式二：买卖双方贷款抵押权人为同一银行业金融机构（抵押权重新设立）</w:t>
      </w:r>
    </w:p>
    <w:p w:rsidR="00FF520F" w:rsidP="00C55AC2">
      <w:pPr>
        <w:overflowPunct w:val="0"/>
        <w:adjustRightInd w:val="0"/>
        <w:snapToGrid w:val="0"/>
        <w:spacing w:line="560" w:lineRule="exact"/>
        <w:ind w:firstLine="640" w:firstLineChars="200"/>
        <w:rPr>
          <w:rFonts w:hAnsi="仿宋_GB2312" w:cs="仿宋_GB2312"/>
          <w:bCs/>
          <w:snapToGrid w:val="0"/>
          <w:color w:val="auto"/>
          <w:kern w:val="0"/>
        </w:rPr>
      </w:pPr>
      <w:r>
        <w:rPr>
          <w:rFonts w:hAnsi="仿宋_GB2312" w:cs="仿宋_GB2312" w:hint="eastAsia"/>
          <w:bCs/>
          <w:snapToGrid w:val="0"/>
          <w:color w:val="auto"/>
          <w:kern w:val="0"/>
        </w:rPr>
        <w:t>买卖双方</w:t>
      </w:r>
      <w:r>
        <w:rPr>
          <w:rFonts w:hAnsi="仿宋_GB2312" w:cs="仿宋_GB2312" w:hint="eastAsia"/>
          <w:bCs/>
          <w:snapToGrid w:val="0"/>
          <w:color w:val="auto"/>
          <w:kern w:val="0"/>
        </w:rPr>
        <w:t>、</w:t>
      </w:r>
      <w:r>
        <w:rPr>
          <w:rFonts w:hAnsi="仿宋_GB2312" w:cs="仿宋_GB2312" w:hint="eastAsia"/>
          <w:bCs/>
          <w:snapToGrid w:val="0"/>
          <w:color w:val="auto"/>
          <w:kern w:val="0"/>
        </w:rPr>
        <w:t>银行业金融机构达成合意，约定转移预告登记、抵押权预告登记、发放买方贷款、偿还卖方贷款、抵押权注销的时点和方式等内容。不动产登记机构依申请办理转移预告登记、抵押权预告登记。买方首付款和买</w:t>
      </w:r>
      <w:bookmarkStart w:id="0" w:name="_GoBack"/>
      <w:bookmarkEnd w:id="0"/>
      <w:r>
        <w:rPr>
          <w:rFonts w:hAnsi="仿宋_GB2312" w:cs="仿宋_GB2312" w:hint="eastAsia"/>
          <w:bCs/>
          <w:snapToGrid w:val="0"/>
          <w:color w:val="auto"/>
          <w:kern w:val="0"/>
        </w:rPr>
        <w:t>方贷款汇入银行业金融机构“带押过户”专用账户，不动产登记机构依申请办理转移预告登记和抵押权预告登记的“预转本”登记</w:t>
      </w:r>
      <w:r>
        <w:rPr>
          <w:rFonts w:hAnsi="仿宋_GB2312" w:cs="仿宋_GB2312" w:hint="eastAsia"/>
          <w:bCs/>
          <w:snapToGrid w:val="0"/>
          <w:color w:val="auto"/>
          <w:kern w:val="0"/>
        </w:rPr>
        <w:t>,</w:t>
      </w:r>
      <w:r>
        <w:rPr>
          <w:rFonts w:hAnsi="仿宋_GB2312" w:cs="仿宋_GB2312" w:hint="eastAsia"/>
          <w:bCs/>
          <w:snapToGrid w:val="0"/>
          <w:color w:val="auto"/>
          <w:kern w:val="0"/>
        </w:rPr>
        <w:t>银行业金融机构优先偿还卖方未结清的贷款，剩余部分划转至卖方指定账户</w:t>
      </w:r>
      <w:r>
        <w:rPr>
          <w:rFonts w:hAnsi="仿宋_GB2312" w:cs="仿宋_GB2312" w:hint="eastAsia"/>
          <w:bCs/>
          <w:snapToGrid w:val="0"/>
          <w:color w:val="auto"/>
          <w:kern w:val="0"/>
        </w:rPr>
        <w:t>。</w:t>
      </w:r>
      <w:r>
        <w:rPr>
          <w:rFonts w:hAnsi="仿宋_GB2312" w:cs="仿宋_GB2312" w:hint="eastAsia"/>
          <w:bCs/>
          <w:snapToGrid w:val="0"/>
          <w:color w:val="auto"/>
          <w:kern w:val="0"/>
        </w:rPr>
        <w:t>不动产登记机构依申请办理抵押权注销登记。</w:t>
      </w:r>
      <w:r>
        <w:rPr>
          <w:rFonts w:hAnsi="仿宋_GB2312" w:cs="仿宋_GB2312" w:hint="eastAsia"/>
          <w:bCs/>
          <w:snapToGrid w:val="0"/>
          <w:color w:val="auto"/>
          <w:kern w:val="0"/>
        </w:rPr>
        <w:t xml:space="preserve"> </w:t>
      </w:r>
    </w:p>
    <w:p w:rsidR="00FF520F" w:rsidP="00C55AC2"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黑体" w:eastAsia="黑体" w:hAnsi="黑体" w:cs="黑体"/>
          <w:bCs/>
          <w:snapToGrid w:val="0"/>
          <w:color w:val="auto"/>
          <w:kern w:val="0"/>
        </w:rPr>
      </w:pPr>
      <w:r>
        <w:rPr>
          <w:rFonts w:ascii="黑体" w:eastAsia="黑体" w:hAnsi="黑体" w:cs="黑体" w:hint="eastAsia"/>
          <w:bCs/>
          <w:snapToGrid w:val="0"/>
          <w:color w:val="auto"/>
          <w:kern w:val="0"/>
        </w:rPr>
        <w:t>模式三：买卖双方贷款抵</w:t>
      </w:r>
      <w:r>
        <w:rPr>
          <w:rFonts w:ascii="黑体" w:eastAsia="黑体" w:hAnsi="黑体" w:cs="黑体" w:hint="eastAsia"/>
          <w:bCs/>
          <w:snapToGrid w:val="0"/>
          <w:color w:val="auto"/>
          <w:kern w:val="0"/>
        </w:rPr>
        <w:t>押权人为不同银行业金融机构（买方贷款银行业金融机构资金监管）</w:t>
      </w:r>
    </w:p>
    <w:p w:rsidR="00FF520F" w:rsidP="00C55AC2">
      <w:pPr>
        <w:overflowPunct w:val="0"/>
        <w:adjustRightInd w:val="0"/>
        <w:snapToGrid w:val="0"/>
        <w:spacing w:line="560" w:lineRule="exact"/>
        <w:ind w:firstLine="640" w:firstLineChars="200"/>
        <w:rPr>
          <w:rFonts w:hAnsi="仿宋_GB2312" w:cs="仿宋_GB2312"/>
          <w:bCs/>
          <w:snapToGrid w:val="0"/>
          <w:color w:val="000000"/>
          <w:kern w:val="0"/>
        </w:rPr>
      </w:pPr>
      <w:r>
        <w:rPr>
          <w:rFonts w:hAnsi="仿宋_GB2312" w:cs="仿宋_GB2312" w:hint="eastAsia"/>
          <w:bCs/>
          <w:snapToGrid w:val="0"/>
          <w:color w:val="000000"/>
          <w:kern w:val="0"/>
        </w:rPr>
        <w:t>买卖双方、各自贷款银行业金融机构达成合意，约定发放买方贷款、偿还卖方贷款的时点和方式等内容</w:t>
      </w:r>
      <w:r>
        <w:rPr>
          <w:rFonts w:hAnsi="仿宋_GB2312" w:cs="仿宋_GB2312" w:hint="eastAsia"/>
          <w:bCs/>
          <w:snapToGrid w:val="0"/>
          <w:color w:val="000000"/>
          <w:kern w:val="0"/>
        </w:rPr>
        <w:t>。</w:t>
      </w:r>
      <w:r>
        <w:rPr>
          <w:rFonts w:hAnsi="仿宋_GB2312" w:cs="仿宋_GB2312" w:hint="eastAsia"/>
          <w:bCs/>
          <w:snapToGrid w:val="0"/>
          <w:color w:val="000000"/>
          <w:kern w:val="0"/>
        </w:rPr>
        <w:t>不动产登记机构依申请办理转移预告登记和抵押权预告登记，买方首付款和买方贷款转入“买方贷款银行业金融机构监管账户”，不动产登记机构依申请办理转移预告登记和抵押权预告登记的“预转本”登记，买</w:t>
      </w:r>
      <w:r>
        <w:rPr>
          <w:rFonts w:hAnsi="仿宋_GB2312" w:cs="仿宋_GB2312" w:hint="eastAsia"/>
          <w:bCs/>
          <w:snapToGrid w:val="0"/>
          <w:color w:val="auto"/>
          <w:kern w:val="0"/>
        </w:rPr>
        <w:t>方贷款银行业金融机构优先偿还卖方未结清的贷款，剩余部分</w:t>
      </w:r>
      <w:r w:rsidRPr="00C55AC2">
        <w:rPr>
          <w:rFonts w:hAnsi="仿宋_GB2312" w:cs="仿宋_GB2312" w:hint="eastAsia"/>
          <w:bCs/>
          <w:snapToGrid w:val="0"/>
          <w:color w:val="auto"/>
          <w:spacing w:val="-10"/>
          <w:kern w:val="0"/>
        </w:rPr>
        <w:t>划转至卖方指定账户</w:t>
      </w:r>
      <w:r w:rsidRPr="00C55AC2">
        <w:rPr>
          <w:rFonts w:hAnsi="仿宋_GB2312" w:cs="仿宋_GB2312" w:hint="eastAsia"/>
          <w:bCs/>
          <w:snapToGrid w:val="0"/>
          <w:color w:val="auto"/>
          <w:spacing w:val="-10"/>
          <w:kern w:val="0"/>
        </w:rPr>
        <w:t>。</w:t>
      </w:r>
      <w:r w:rsidRPr="00C55AC2">
        <w:rPr>
          <w:rFonts w:hAnsi="仿宋_GB2312" w:cs="仿宋_GB2312" w:hint="eastAsia"/>
          <w:bCs/>
          <w:snapToGrid w:val="0"/>
          <w:color w:val="auto"/>
          <w:spacing w:val="-10"/>
          <w:kern w:val="0"/>
        </w:rPr>
        <w:t>不动产登记机构依申请办理抵押权注销登记。</w:t>
      </w:r>
      <w:r>
        <w:rPr>
          <w:rFonts w:hAnsi="仿宋_GB2312" w:cs="仿宋_GB2312" w:hint="eastAsia"/>
          <w:bCs/>
          <w:snapToGrid w:val="0"/>
          <w:color w:val="auto"/>
          <w:kern w:val="0"/>
        </w:rPr>
        <w:t xml:space="preserve"> </w:t>
      </w:r>
    </w:p>
    <w:p w:rsidR="00FF520F" w:rsidP="00C55AC2"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黑体" w:eastAsia="黑体" w:hAnsi="黑体" w:cs="黑体"/>
          <w:bCs/>
          <w:snapToGrid w:val="0"/>
          <w:color w:val="auto"/>
          <w:kern w:val="0"/>
        </w:rPr>
      </w:pPr>
      <w:r>
        <w:rPr>
          <w:rFonts w:ascii="黑体" w:eastAsia="黑体" w:hAnsi="黑体" w:cs="黑体" w:hint="eastAsia"/>
          <w:bCs/>
          <w:snapToGrid w:val="0"/>
          <w:color w:val="auto"/>
          <w:kern w:val="0"/>
        </w:rPr>
        <w:t>模式四：买卖双方贷款抵押权人为不同银行业金融机构（第三</w:t>
      </w:r>
      <w:r>
        <w:rPr>
          <w:rFonts w:ascii="黑体" w:eastAsia="黑体" w:hAnsi="黑体" w:cs="黑体" w:hint="eastAsia"/>
          <w:bCs/>
          <w:snapToGrid w:val="0"/>
          <w:color w:val="auto"/>
          <w:kern w:val="0"/>
        </w:rPr>
        <w:t>方提存、监管）</w:t>
      </w:r>
    </w:p>
    <w:p w:rsidR="00FF520F" w:rsidRPr="00C55AC2" w:rsidP="00C55AC2">
      <w:pPr>
        <w:overflowPunct w:val="0"/>
        <w:adjustRightInd w:val="0"/>
        <w:snapToGrid w:val="0"/>
        <w:spacing w:line="560" w:lineRule="exact"/>
        <w:ind w:firstLine="640" w:firstLineChars="200"/>
        <w:rPr>
          <w:rFonts w:hAnsi="Times New Roman" w:cs="Times New Roman" w:hint="eastAsia"/>
          <w:bCs/>
          <w:snapToGrid w:val="0"/>
          <w:color w:val="auto"/>
          <w:kern w:val="0"/>
        </w:rPr>
      </w:pPr>
      <w:r w:rsidRPr="00C55AC2">
        <w:rPr>
          <w:rFonts w:hAnsi="Times New Roman" w:cs="Times New Roman" w:hint="eastAsia"/>
          <w:bCs/>
          <w:snapToGrid w:val="0"/>
          <w:color w:val="000000"/>
          <w:kern w:val="0"/>
        </w:rPr>
        <w:t>买卖双方、各自贷款银行业金融机构达成合意，约定发放买方贷款、偿还卖方贷款的时点和方式等内容</w:t>
      </w:r>
      <w:r w:rsidRPr="00C55AC2">
        <w:rPr>
          <w:rFonts w:hAnsi="Times New Roman" w:cs="Times New Roman" w:hint="eastAsia"/>
          <w:bCs/>
          <w:snapToGrid w:val="0"/>
          <w:color w:val="000000"/>
          <w:kern w:val="0"/>
        </w:rPr>
        <w:t>。</w:t>
      </w:r>
      <w:r w:rsidRPr="00C55AC2">
        <w:rPr>
          <w:rFonts w:hAnsi="Times New Roman" w:cs="Times New Roman" w:hint="eastAsia"/>
          <w:bCs/>
          <w:snapToGrid w:val="0"/>
          <w:color w:val="000000"/>
          <w:kern w:val="0"/>
        </w:rPr>
        <w:t>不动产登记机构依申请办理转移预告登记和抵押权预告登记，买方首付款和买方贷款转入第三方提存、监管账户，不动产登记机构依申请办理转移预告登记和抵押权预告登记的“预转本”登记，</w:t>
      </w:r>
      <w:r w:rsidRPr="00C55AC2">
        <w:rPr>
          <w:rFonts w:hAnsi="Times New Roman" w:cs="Times New Roman" w:hint="eastAsia"/>
          <w:bCs/>
          <w:snapToGrid w:val="0"/>
          <w:color w:val="auto"/>
          <w:kern w:val="0"/>
        </w:rPr>
        <w:t>第三方机构优先偿还卖方未结清的贷款，剩余部分划转至卖方指定账户</w:t>
      </w:r>
      <w:r w:rsidRPr="00C55AC2">
        <w:rPr>
          <w:rFonts w:hAnsi="Times New Roman" w:cs="Times New Roman" w:hint="eastAsia"/>
          <w:bCs/>
          <w:snapToGrid w:val="0"/>
          <w:color w:val="auto"/>
          <w:kern w:val="0"/>
        </w:rPr>
        <w:t>。</w:t>
      </w:r>
      <w:r w:rsidRPr="00C55AC2">
        <w:rPr>
          <w:rFonts w:hAnsi="Times New Roman" w:cs="Times New Roman" w:hint="eastAsia"/>
          <w:bCs/>
          <w:snapToGrid w:val="0"/>
          <w:color w:val="auto"/>
          <w:kern w:val="0"/>
        </w:rPr>
        <w:t>不动产登记机构依申请办理抵押权注销登记。</w:t>
      </w:r>
      <w:r w:rsidRPr="00C55AC2">
        <w:rPr>
          <w:rFonts w:hAnsi="Times New Roman" w:cs="Times New Roman" w:hint="eastAsia"/>
          <w:bCs/>
          <w:snapToGrid w:val="0"/>
          <w:color w:val="auto"/>
          <w:kern w:val="0"/>
        </w:rPr>
        <w:t xml:space="preserve"> </w:t>
      </w:r>
    </w:p>
    <w:p w:rsidR="00FF520F" w:rsidRPr="00C55AC2" w:rsidP="00C55AC2">
      <w:pPr>
        <w:overflowPunct w:val="0"/>
        <w:adjustRightInd w:val="0"/>
        <w:snapToGrid w:val="0"/>
        <w:spacing w:line="560" w:lineRule="exact"/>
        <w:ind w:firstLine="640" w:firstLineChars="200"/>
        <w:rPr>
          <w:rFonts w:hAnsi="Times New Roman" w:cs="Times New Roman" w:hint="eastAsia"/>
          <w:bCs/>
          <w:snapToGrid w:val="0"/>
          <w:color w:val="000000"/>
          <w:kern w:val="0"/>
        </w:rPr>
      </w:pPr>
      <w:r w:rsidRPr="00C55AC2">
        <w:rPr>
          <w:rFonts w:hAnsi="Times New Roman" w:cs="Times New Roman" w:hint="eastAsia"/>
          <w:bCs/>
          <w:snapToGrid w:val="0"/>
          <w:color w:val="000000"/>
          <w:kern w:val="0"/>
        </w:rPr>
        <w:t>买方使用自有资金无需贷款的，也可参考以上</w:t>
      </w:r>
      <w:r w:rsidRPr="00C55AC2">
        <w:rPr>
          <w:rFonts w:hAnsi="Times New Roman" w:cs="Times New Roman" w:hint="eastAsia"/>
          <w:bCs/>
          <w:snapToGrid w:val="0"/>
          <w:color w:val="000000"/>
          <w:kern w:val="0"/>
        </w:rPr>
        <w:t>4</w:t>
      </w:r>
      <w:r w:rsidRPr="00C55AC2">
        <w:rPr>
          <w:rFonts w:hAnsi="Times New Roman" w:cs="Times New Roman" w:hint="eastAsia"/>
          <w:bCs/>
          <w:snapToGrid w:val="0"/>
          <w:color w:val="000000"/>
          <w:kern w:val="0"/>
        </w:rPr>
        <w:t>种模式进行操作。</w:t>
      </w:r>
    </w:p>
    <w:sectPr w:rsidSect="00C55AC2">
      <w:footerReference w:type="default" r:id="rId6"/>
      <w:pgSz w:w="11906" w:h="16838" w:code="9"/>
      <w:pgMar w:top="2098" w:right="1474" w:bottom="1985" w:left="1588" w:header="851" w:footer="1418" w:gutter="0"/>
      <w:pgNumType w:start="1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520F">
    <w:pPr>
      <w:pStyle w:val="Footer"/>
      <w:spacing w:line="560" w:lineRule="exact"/>
      <w:rPr>
        <w:rFonts w:ascii="宋体" w:eastAsia="宋体" w:hAnsi="宋体"/>
        <w:sz w:val="28"/>
        <w:szCs w:val="28"/>
      </w:rPr>
    </w:pPr>
  </w:p>
</w:ft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明海岩">
    <w15:presenceInfo w15:providerId="None" w15:userId="明海岩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comments="1" w:formatting="1" w:inkAnnotations="1" w:insDel="1" w:markup="0"/>
  <w:defaultTabStop w:val="420"/>
  <w:evenAndOddHeaders/>
  <w:drawingGridHorizontalSpacing w:val="158"/>
  <w:drawingGridVerticalSpacing w:val="57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6B"/>
    <w:rsid w:val="000256AD"/>
    <w:rsid w:val="00037B0B"/>
    <w:rsid w:val="0004001C"/>
    <w:rsid w:val="00061695"/>
    <w:rsid w:val="00062C1A"/>
    <w:rsid w:val="00067032"/>
    <w:rsid w:val="000A2DB6"/>
    <w:rsid w:val="000E3C5D"/>
    <w:rsid w:val="001124A0"/>
    <w:rsid w:val="001307C9"/>
    <w:rsid w:val="00170B94"/>
    <w:rsid w:val="00184923"/>
    <w:rsid w:val="001C212F"/>
    <w:rsid w:val="001E5020"/>
    <w:rsid w:val="001F1B99"/>
    <w:rsid w:val="00226D35"/>
    <w:rsid w:val="002324F7"/>
    <w:rsid w:val="0023604C"/>
    <w:rsid w:val="0024538B"/>
    <w:rsid w:val="00255D23"/>
    <w:rsid w:val="002B3C8B"/>
    <w:rsid w:val="002D4DC2"/>
    <w:rsid w:val="002E5EEC"/>
    <w:rsid w:val="002F178F"/>
    <w:rsid w:val="003C73D9"/>
    <w:rsid w:val="003D6A06"/>
    <w:rsid w:val="003E4BBB"/>
    <w:rsid w:val="0040766B"/>
    <w:rsid w:val="004B095B"/>
    <w:rsid w:val="004B7792"/>
    <w:rsid w:val="004D035A"/>
    <w:rsid w:val="004F0460"/>
    <w:rsid w:val="0051408E"/>
    <w:rsid w:val="00550F4E"/>
    <w:rsid w:val="00563BCF"/>
    <w:rsid w:val="0056426F"/>
    <w:rsid w:val="0057691A"/>
    <w:rsid w:val="00583CDD"/>
    <w:rsid w:val="00594E98"/>
    <w:rsid w:val="005B1433"/>
    <w:rsid w:val="00606D17"/>
    <w:rsid w:val="00627A07"/>
    <w:rsid w:val="006361A2"/>
    <w:rsid w:val="006366ED"/>
    <w:rsid w:val="00652BA7"/>
    <w:rsid w:val="00685F2F"/>
    <w:rsid w:val="006B1C43"/>
    <w:rsid w:val="006D2D6B"/>
    <w:rsid w:val="00700A4E"/>
    <w:rsid w:val="00715B98"/>
    <w:rsid w:val="00763C43"/>
    <w:rsid w:val="007671FB"/>
    <w:rsid w:val="007A2798"/>
    <w:rsid w:val="007D36E4"/>
    <w:rsid w:val="007E6FEC"/>
    <w:rsid w:val="007F1039"/>
    <w:rsid w:val="007F4763"/>
    <w:rsid w:val="00814953"/>
    <w:rsid w:val="008837B7"/>
    <w:rsid w:val="008D15D4"/>
    <w:rsid w:val="008E7E18"/>
    <w:rsid w:val="008F0B39"/>
    <w:rsid w:val="008F38BF"/>
    <w:rsid w:val="008F3A0F"/>
    <w:rsid w:val="0091119D"/>
    <w:rsid w:val="00915E0E"/>
    <w:rsid w:val="009424D1"/>
    <w:rsid w:val="009B3B9C"/>
    <w:rsid w:val="009C42B6"/>
    <w:rsid w:val="009D1044"/>
    <w:rsid w:val="009F2978"/>
    <w:rsid w:val="00A546EC"/>
    <w:rsid w:val="00A903DB"/>
    <w:rsid w:val="00AA0E67"/>
    <w:rsid w:val="00AA1344"/>
    <w:rsid w:val="00AD4316"/>
    <w:rsid w:val="00B32FA4"/>
    <w:rsid w:val="00B3380E"/>
    <w:rsid w:val="00B94A62"/>
    <w:rsid w:val="00C20E70"/>
    <w:rsid w:val="00C401C6"/>
    <w:rsid w:val="00C548EE"/>
    <w:rsid w:val="00C55AC2"/>
    <w:rsid w:val="00C56F35"/>
    <w:rsid w:val="00C61C03"/>
    <w:rsid w:val="00CA252D"/>
    <w:rsid w:val="00CC0B2A"/>
    <w:rsid w:val="00CF2165"/>
    <w:rsid w:val="00D015D4"/>
    <w:rsid w:val="00D04462"/>
    <w:rsid w:val="00D10C4B"/>
    <w:rsid w:val="00D27C8D"/>
    <w:rsid w:val="00D305D4"/>
    <w:rsid w:val="00D763AF"/>
    <w:rsid w:val="00D91D19"/>
    <w:rsid w:val="00D967F2"/>
    <w:rsid w:val="00DA2B04"/>
    <w:rsid w:val="00DB1873"/>
    <w:rsid w:val="00DE6D6B"/>
    <w:rsid w:val="00DF0E93"/>
    <w:rsid w:val="00E17D72"/>
    <w:rsid w:val="00E460BD"/>
    <w:rsid w:val="00E61833"/>
    <w:rsid w:val="00E848A2"/>
    <w:rsid w:val="00EB4E54"/>
    <w:rsid w:val="00EC5B26"/>
    <w:rsid w:val="00EF3475"/>
    <w:rsid w:val="00F039D0"/>
    <w:rsid w:val="00F664C0"/>
    <w:rsid w:val="00F90A1F"/>
    <w:rsid w:val="00FB6D39"/>
    <w:rsid w:val="00FC108C"/>
    <w:rsid w:val="00FF520F"/>
    <w:rsid w:val="03043439"/>
    <w:rsid w:val="03992A2D"/>
    <w:rsid w:val="04E84DE3"/>
    <w:rsid w:val="07194149"/>
    <w:rsid w:val="076371E2"/>
    <w:rsid w:val="0BAD4078"/>
    <w:rsid w:val="13A20852"/>
    <w:rsid w:val="158C17BA"/>
    <w:rsid w:val="15BD1974"/>
    <w:rsid w:val="161E772A"/>
    <w:rsid w:val="162D6072"/>
    <w:rsid w:val="1C403F9F"/>
    <w:rsid w:val="1C6963B1"/>
    <w:rsid w:val="1CF2220A"/>
    <w:rsid w:val="238654DF"/>
    <w:rsid w:val="246123DC"/>
    <w:rsid w:val="251C50C8"/>
    <w:rsid w:val="25382DC5"/>
    <w:rsid w:val="2AFF1D5C"/>
    <w:rsid w:val="2BF03F9A"/>
    <w:rsid w:val="315E1005"/>
    <w:rsid w:val="3B2B784C"/>
    <w:rsid w:val="40150BFB"/>
    <w:rsid w:val="409C538D"/>
    <w:rsid w:val="42320F13"/>
    <w:rsid w:val="427C2740"/>
    <w:rsid w:val="42C15963"/>
    <w:rsid w:val="43C06A49"/>
    <w:rsid w:val="45D20B7F"/>
    <w:rsid w:val="47E33B54"/>
    <w:rsid w:val="48733940"/>
    <w:rsid w:val="4DB42FF3"/>
    <w:rsid w:val="52F6080C"/>
    <w:rsid w:val="56C078B5"/>
    <w:rsid w:val="59876073"/>
    <w:rsid w:val="5BE4084A"/>
    <w:rsid w:val="5DD66A4D"/>
    <w:rsid w:val="5FD50C35"/>
    <w:rsid w:val="683547AF"/>
    <w:rsid w:val="6C9C7171"/>
    <w:rsid w:val="6D920165"/>
    <w:rsid w:val="6E1D6FDF"/>
    <w:rsid w:val="6FE25CD1"/>
    <w:rsid w:val="70955550"/>
    <w:rsid w:val="70AE5F6D"/>
    <w:rsid w:val="73FC27DC"/>
    <w:rsid w:val="74B9460D"/>
    <w:rsid w:val="75DC4673"/>
    <w:rsid w:val="763E4325"/>
    <w:rsid w:val="76B25DD4"/>
    <w:rsid w:val="77A67B7F"/>
    <w:rsid w:val="77E90CEE"/>
    <w:rsid w:val="78C5766C"/>
    <w:rsid w:val="78CE704B"/>
    <w:rsid w:val="7B9831A9"/>
    <w:rsid w:val="7E461977"/>
    <w:rsid w:val="7F5D486B"/>
    <w:rsid w:val="7F921EA0"/>
  </w:rsids>
  <w:docVars>
    <w:docVar w:name="commondata" w:val="eyJoZGlkIjoiODViY2JkMjU3NGYzZTEwMzZmMGFkZWViYmNkYWU3NDI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1D8BC7-5744-4B71-B290-903BEEBD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仿宋_GB2312" w:eastAsia="仿宋_GB2312" w:hAnsiTheme="minorHAnsi" w:cstheme="minorBidi"/>
      <w:color w:val="000000" w:themeColor="text1"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表段落1"/>
    <w:basedOn w:val="Normal"/>
    <w:uiPriority w:val="34"/>
    <w:qFormat/>
    <w:pPr>
      <w:ind w:firstLine="420" w:firstLineChars="200"/>
    </w:pPr>
  </w:style>
  <w:style w:type="paragraph" w:customStyle="1" w:styleId="10">
    <w:name w:val="修订1"/>
    <w:hidden/>
    <w:uiPriority w:val="99"/>
    <w:semiHidden/>
    <w:qFormat/>
    <w:rPr>
      <w:rFonts w:ascii="仿宋_GB2312" w:eastAsia="仿宋_GB2312" w:hAnsiTheme="minorHAnsi" w:cstheme="minorBidi"/>
      <w:color w:val="000000" w:themeColor="text1"/>
      <w:kern w:val="2"/>
      <w:sz w:val="32"/>
      <w:szCs w:val="32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仿宋_GB2312" w:eastAsia="仿宋_GB2312" w:hAnsiTheme="minorHAnsi" w:cstheme="minorBidi"/>
      <w:color w:val="000000" w:themeColor="text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microsoft.com/office/2011/relationships/people" Target="people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AC0846-74D9-4AE7-8C7F-49E04461F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146</Words>
  <Characters>835</Characters>
  <Application>Microsoft Office Word</Application>
  <DocSecurity>0</DocSecurity>
  <Lines>6</Lines>
  <Paragraphs>1</Paragraphs>
  <ScaleCrop>false</ScaleCrop>
  <Company>Micorosoft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TYJ</dc:creator>
  <cp:lastModifiedBy>陶先生</cp:lastModifiedBy>
  <cp:revision>135</cp:revision>
  <cp:lastPrinted>2023-05-05T06:09:00Z</cp:lastPrinted>
  <dcterms:created xsi:type="dcterms:W3CDTF">2411-12-30T00:00:00Z</dcterms:created>
  <dcterms:modified xsi:type="dcterms:W3CDTF">2023-05-22T03:58:00Z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21E2AB62D87F47EAA8964D3767C7E747_13</vt:lpwstr>
  </property>
  <property fmtid="{D5CDD505-2E9C-101B-9397-08002B2CF9AE}" pid="3" name="KSOProductBuildVer">
    <vt:lpwstr>2052-11.1.0.14309</vt:lpwstr>
  </property>
</Properties>
</file>