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9.7 -->
  <w:body>
    <w:p w:rsidR="00F35AEF" w:rsidRPr="000265D4" w:rsidP="000265D4">
      <w:pPr>
        <w:spacing w:line="580" w:lineRule="exact"/>
        <w:ind w:left="2" w:hanging="426" w:leftChars="-202" w:hangingChars="133"/>
        <w:rPr>
          <w:rFonts w:ascii="黑体" w:eastAsia="黑体" w:hAnsi="黑体" w:cs="方正黑体简体"/>
          <w:sz w:val="32"/>
          <w:szCs w:val="32"/>
        </w:rPr>
      </w:pPr>
      <w:r w:rsidRPr="000265D4">
        <w:rPr>
          <w:rFonts w:ascii="黑体" w:eastAsia="黑体" w:hAnsi="黑体" w:cs="方正黑体简体" w:hint="eastAsia"/>
          <w:sz w:val="32"/>
          <w:szCs w:val="32"/>
        </w:rPr>
        <w:t>附件</w:t>
      </w:r>
    </w:p>
    <w:p w:rsidR="00F35AEF" w:rsidRPr="000265D4">
      <w:pPr>
        <w:spacing w:line="580" w:lineRule="exact"/>
        <w:jc w:val="center"/>
        <w:rPr>
          <w:rFonts w:ascii="方正小标宋简体" w:eastAsia="方正小标宋简体" w:hAnsi="宋体" w:cs="方正小标宋简体" w:hint="eastAsia"/>
          <w:b w:val="0"/>
          <w:bCs/>
          <w:sz w:val="32"/>
          <w:szCs w:val="32"/>
        </w:rPr>
      </w:pPr>
      <w:r w:rsidRPr="000265D4">
        <w:rPr>
          <w:rFonts w:ascii="方正小标宋简体" w:eastAsia="方正小标宋简体" w:hAnsi="宋体" w:cs="方正小标宋简体" w:hint="eastAsia"/>
          <w:b w:val="0"/>
          <w:bCs/>
          <w:sz w:val="32"/>
          <w:szCs w:val="32"/>
        </w:rPr>
        <w:t>德州市征地地上附着物和青苗补偿标准</w:t>
      </w:r>
    </w:p>
    <w:tbl>
      <w:tblPr>
        <w:tblW w:w="960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3"/>
        <w:gridCol w:w="819"/>
        <w:gridCol w:w="553"/>
        <w:gridCol w:w="523"/>
        <w:gridCol w:w="1122"/>
        <w:gridCol w:w="1701"/>
        <w:gridCol w:w="4359"/>
      </w:tblGrid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380"/>
          <w:tblHeader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方正黑体简体" w:hAnsi="Times New Roman" w:cs="方正黑体简体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方正黑体简体" w:hAnsi="Times New Roman" w:cs="方正黑体简体" w:hint="eastAsia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方正黑体简体" w:hAnsi="Times New Roman" w:cs="方正黑体简体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方正黑体简体" w:hAnsi="Times New Roman" w:cs="方正黑体简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方正黑体简体" w:hAnsi="Times New Roman" w:cs="方正黑体简体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方正黑体简体" w:hAnsi="Times New Roman" w:cs="方正黑体简体" w:hint="eastAsia"/>
                <w:b/>
                <w:color w:val="000000"/>
                <w:kern w:val="0"/>
                <w:sz w:val="24"/>
                <w:szCs w:val="24"/>
                <w:lang w:bidi="ar"/>
              </w:rPr>
              <w:t>类别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方正黑体简体" w:hAnsi="Times New Roman" w:cs="方正黑体简体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方正黑体简体" w:hAnsi="Times New Roman" w:cs="方正黑体简体" w:hint="eastAsia"/>
                <w:b/>
                <w:color w:val="000000"/>
                <w:kern w:val="0"/>
                <w:sz w:val="24"/>
                <w:szCs w:val="24"/>
                <w:lang w:bidi="ar"/>
              </w:rPr>
              <w:t>补偿标准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方正黑体简体" w:hAnsi="Times New Roman" w:cs="方正黑体简体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方正黑体简体" w:hAnsi="Times New Roman" w:cs="方正黑体简体" w:hint="eastAsia"/>
                <w:b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241"/>
          <w:jc w:val="center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房屋</w:t>
            </w: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房屋</w:t>
            </w:r>
          </w:p>
        </w:tc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住宅楼房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混一级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1200-1600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砖混结构，层高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2.7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米以上；钢筋条形基础或整板基础，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24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砖墙体承重，钢筋混凝土构造柱，层层圈梁，混凝土屋面有防水保温层或混凝土屋面有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平瓦起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脊屋面；外墙面砖或涂料，内墙面高档仿瓷涂料，瓷砖地面，塑钢门窗或铝合金门窗，纱窗，分户防盗门；楼梯间不锈钢扶手，大理石楼梯踏步。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952"/>
          <w:jc w:val="center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砖混二级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1000-1400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砖混结构，层高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2.6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米以上；砖石基础，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24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砖墙体承重，钢筋混凝土构造柱，层层圈梁，现浇屋面有防水保温层；外墙面水泥砂浆抹面，内墙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面普通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仿瓷涂料，水泥砂浆地面，铝合金门窗，分户木门；现浇楼梯，不锈钢扶手。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166"/>
          <w:jc w:val="center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商业楼房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办公楼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1300-1700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框架结构，层高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3.2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米以上；钢筋混凝土框架，现浇楼板；外墙面砖或涂料，内墙面仿瓷涂料，瓷砖地面或水泥砂浆地面，塑钢门窗或铝合金门窗。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207"/>
          <w:jc w:val="center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营业楼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1400-1800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框架结构，层高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2.8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米以上；钢筋混凝土框架，现浇楼板；外墙面砖或高档涂料，内墙面高档仿瓷涂料，瓷砖地面，塑钢门窗或铝合金门窗。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875"/>
          <w:jc w:val="center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平房</w:t>
            </w:r>
          </w:p>
        </w:tc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砖混结构平房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砖混</w:t>
            </w: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一级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950-1200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砖混结构，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檐高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3.5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米以上；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37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砖墙体承重，水泥砂浆砌筑，构造柱，上下圈梁，钢筋混凝土预制或现浇楼板屋顶，屋面有防水保温层或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平瓦起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脊屋面；外墙面水刷石或高档涂料，内墙面仿瓷涂料，瓷砖或水磨石地面，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双裁口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铝合金或塑钢门窗。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968"/>
          <w:jc w:val="center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砖混</w:t>
            </w: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二级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850-1100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砖混结构，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檐高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2.8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米以上；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24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砖墙体承重，水泥砂浆砌筑，构造柱，上下圈梁，钢筋混凝土预制或现浇楼板屋顶；外墙面水泥砂浆抹面或普通涂料，内墙面仿瓷涂料，水泥砂浆地面，铝合金、塑钢或木质门窗。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332"/>
          <w:jc w:val="center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砖混</w:t>
            </w: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三级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750-950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砖混结构，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檐高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2.5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米以上；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24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砖墙体承重，水泥砂浆砌筑；外墙面清水墙，水泥砂浆勾缝，内墙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面普通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涂料，水泥砂浆地面，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单裁口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木质门窗。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927"/>
          <w:jc w:val="center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砖木结构平房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砖木</w:t>
            </w: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一级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650-1000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砖木结构，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檐高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3.2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米以上；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24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砖墙体承重，上下圈梁，水泥砂浆砌筑，钢筋混凝土过梁，标准木檩条，屋顶防水处理，出厦；外墙面砖或涂料，内墙面仿瓷涂料，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双裁口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铝合金或塑钢外门窗，木质内门，瓷砖地面或木地板地面，高档吊顶。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968"/>
          <w:jc w:val="center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砖木</w:t>
            </w: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二级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550-850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砖木结构，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檐高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3.0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米以上；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24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砖墙体承重，水泥砂浆砌筑，出厦，钢筋混凝土过梁，标准木檩条，红瓦起脊屋面；外墙面水泥砂浆抹面，内墙面仿瓷涂料，板条抹灰吊顶，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木质双裁口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门窗，瓷砖地面或水磨石地面。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674"/>
          <w:jc w:val="center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砖木</w:t>
            </w: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三级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500-700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砖木结构，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檐高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2.6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米以上；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24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砖墙体承重，黄土泥砌筑，木檩条，红瓦起脊屋面；外墙面清水墙，水泥砂浆勾缝，木质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单裁口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门窗，内墙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面普通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涂料，简单吊顶或无吊顶，水泥地面。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335"/>
          <w:jc w:val="center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砖木四级（简易平房）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300-600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砖木结构，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檐高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2.2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米以上；简易砖基础，砖垛，苇箔草顶；清水墙，门窗基本完好。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399"/>
          <w:jc w:val="center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土木结构</w:t>
            </w:r>
          </w:p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平房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350-500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土木结构，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檐高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2.6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米以上；砖基，砖垛，土坯墙承重，木结构斜坡草屋顶或瓦屋顶；木质门窗，水泥地面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或砖铺地面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，简单吊顶或无吊顶。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910"/>
          <w:jc w:val="center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钢结构房屋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彩钢瓦板房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350-480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轻型钢骨架，夹心复合板隔墙，铝合金门窗，水泥地面或瓷砖地面。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57"/>
          <w:jc w:val="center"/>
        </w:trPr>
        <w:tc>
          <w:tcPr>
            <w:tcW w:w="52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轻型钢结构厂房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500-900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仿宋_GB2312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仿宋_GB2312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轻型钢材为主要的承重构件，砖墙体或钢柱支撑，钢梁，钢屋架，钢板。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75"/>
          <w:jc w:val="center"/>
        </w:trPr>
        <w:tc>
          <w:tcPr>
            <w:tcW w:w="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重型钢结构厂房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900-1300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重型钢材为主要的承重构件，砖墙体或钢柱支撑，钢梁，钢屋架，钢板。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简易棚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前柱后墙棚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120-200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砖墙、砖柱、檩条苇箔顶。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无墙棚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60-100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砖柱、檩条苇箔顶。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彩钢瓦棚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70-200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轻型钢架或铁架支撑，单层板或复合板。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83"/>
          <w:jc w:val="center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门洞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砖混结构，与偏房一体，楼板顶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540-810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同类别的补偿价格按新旧程度在补偿标准区间内适当取值。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08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砖木结构，与偏房一体，檩条、苇箔顶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400-630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独立门楼，砖墙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260-360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独立门楼，土坯墙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180-210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围墙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砖墙高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1.5-2.0m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130-200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/m</w:t>
            </w: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土坯墙根据砖墙相应标准减半。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砖墙高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2.0-2.5m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150-260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/m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砖墙高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2.5m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200-280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/m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水泥柱栅栏墙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310-460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/m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铸铁围墙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280-340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/m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影壁墙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装饰后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200-390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未装饰一般墙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170-210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厕所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水冲厕所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850-1400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砖砌有顶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195-255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砖砌无顶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95-135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化粪池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砖（石）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砌结构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70-100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/m</w:t>
            </w:r>
            <w:r w:rsidRPr="000265D4">
              <w:rPr>
                <w:rFonts w:ascii="Times New Roman" w:eastAsia="仿宋_GB2312" w:hAnsi="Times New Roman" w:cs="Calibri" w:hint="default"/>
                <w:bCs/>
                <w:color w:val="000000"/>
                <w:kern w:val="0"/>
                <w:sz w:val="24"/>
                <w:szCs w:val="24"/>
                <w:lang w:bidi="ar"/>
              </w:rPr>
              <w:t>³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按体积计算。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畜禽舍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砖木结构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175-280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檐高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2.2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米及以下；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檐高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2.2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米以上、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米以下，价格可上调，最高上调比例不超过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10%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专业养殖场价格另议。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49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简易结构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80-170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59"/>
          <w:jc w:val="center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硬化</w:t>
            </w: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地面</w:t>
            </w:r>
          </w:p>
        </w:tc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砖地面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红砖地面</w:t>
            </w:r>
          </w:p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（平铺）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25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水泥地面指红砖基础水泥抹面；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不含室内地面。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花砖地面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40-55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水泥地面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40-50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沥青地面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70-110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混凝土地面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80-120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自来</w:t>
            </w: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水管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户内水管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5-15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/m</w:t>
            </w: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包括旧料损失及拆建人工费。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主管道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25-35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/m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排水沟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砖砌跨径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0.5m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以下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35-60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/m</w:t>
            </w: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包括旧料损失及拆建人工费。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spacing w:val="-11"/>
                <w:w w:val="90"/>
                <w:kern w:val="0"/>
                <w:sz w:val="24"/>
                <w:szCs w:val="24"/>
                <w:lang w:bidi="ar"/>
              </w:rPr>
              <w:t>砖砌盖板跨径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spacing w:val="-11"/>
                <w:w w:val="90"/>
                <w:kern w:val="0"/>
                <w:sz w:val="24"/>
                <w:szCs w:val="24"/>
                <w:lang w:bidi="ar"/>
              </w:rPr>
              <w:t>0.5m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spacing w:val="-11"/>
                <w:w w:val="90"/>
                <w:kern w:val="0"/>
                <w:sz w:val="24"/>
                <w:szCs w:val="24"/>
                <w:lang w:bidi="ar"/>
              </w:rPr>
              <w:t>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70-130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/m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涵管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75-170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/m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水井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压水井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270-420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眼</w:t>
            </w: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包括工程用料、用工等费用，不包括配套设施费用；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废、枯井按同类补偿标准的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30%-50%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执行。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                                                                                       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砖井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2000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眼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717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机井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spacing w:line="280" w:lineRule="exact"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0m&lt;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井深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&lt;50m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120-150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/m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717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spacing w:line="280" w:lineRule="exact"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50m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≤井深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&lt;100m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150-200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/m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717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spacing w:line="280" w:lineRule="exact"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100m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≤井深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&lt;250m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200-300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/m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井深≥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250m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300-500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/m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08"/>
          <w:jc w:val="center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小桥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钢筋混凝土矩形</w:t>
            </w:r>
          </w:p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板桥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1150-1400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按桥面积计算。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478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石拱桥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1700-2100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478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砖拱桥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900-1200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涵洞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石盖板涵跨径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1-2m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600-800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/m</w:t>
            </w: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按涵长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计算。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石拱涵跨径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1-4m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1800-2000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/m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08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钢筋混凝土圆管涵跨径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1-2m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1500-1700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/m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08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钢筋混凝土盖板涵跨径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1.5-4m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1800-2000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/m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136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迁坟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棺木、拾骨、骨灰盒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2400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座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spacing w:line="260" w:lineRule="exact"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包括迁葬工程费及材料费；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每增加一棺价格增加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500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需火化的价格增加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500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4.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必须迁至公墓的，价格另议。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63"/>
          <w:jc w:val="center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温室</w:t>
            </w: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大棚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钢、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砼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骨架，塑料</w:t>
            </w:r>
          </w:p>
          <w:p w:rsidR="00F35AEF" w:rsidRPr="000265D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薄膜棚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80-150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spacing w:line="260" w:lineRule="exact"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包括机械、草棚及其他保温覆盖物，田间基础设施井、沟渠等，不包含棚内作物。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693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简易大拱塑料</w:t>
            </w:r>
          </w:p>
          <w:p w:rsidR="00F35AEF" w:rsidRPr="000265D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薄膜棚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30-50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spacing w:line="260" w:lineRule="exact"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砖墙体或土墙体，竹骨架，塑料薄膜顶，不包含棚内作物。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669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简易小拱塑料</w:t>
            </w:r>
          </w:p>
          <w:p w:rsidR="00F35AEF" w:rsidRPr="000265D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薄膜棚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15-25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Batang" w:eastAsia="Batang" w:hAnsi="Batang" w:cs="Batang" w:hint="eastAsia"/>
                <w:bCs/>
                <w:color w:val="000000"/>
                <w:kern w:val="0"/>
                <w:sz w:val="24"/>
                <w:szCs w:val="24"/>
                <w:lang w:bidi="ar"/>
              </w:rPr>
              <w:t>㎡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spacing w:line="260" w:lineRule="exact"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竹骨架，塑料薄膜顶，跨径小于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米，不包含棚内作物。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08"/>
          <w:jc w:val="center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电力通讯设施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低压电力、通讯广播线路水泥杆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1200-1400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杆</w:t>
            </w: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包括箱、电线等材料损失及迁建工时费；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废弃线路、设备设施按同类补偿标准的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20%-50%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执行。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变电室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5000-8000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座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变压器及附属设施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40000-90000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塘</w:t>
            </w:r>
          </w:p>
        </w:tc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鱼塘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砖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(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石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砌鱼塘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13000-16000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含土石方工程及鱼苗损失费；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自然形成的坑塘不予补偿。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土筑鱼塘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7000-11000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08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藕塘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8000-9000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含土石方工程及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藕秧损失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费；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自然形成的坑塘不予补偿。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768"/>
          <w:jc w:val="center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乔木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1cm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≤胸径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&lt;5cm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6-15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棵（每亩不超过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160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棵）</w:t>
            </w: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指用材林木；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树归原主；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特种用途树木价格另议。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795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5cm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≤胸径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&lt;10cm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30-50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棵（每亩不超过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160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棵）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790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10cm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≤胸径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&lt;20cm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50-70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棵（每亩不超过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120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棵）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 w:hint="eastAsia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765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胸径≥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20cm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spacing w:line="260" w:lineRule="exact"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75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棵（每亩不超过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棵）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香椿树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胸径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&lt;5cm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15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墩</w:t>
            </w: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树归原主。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717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spacing w:line="280" w:lineRule="exact"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5cm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≤胸径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&lt;10cm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30-60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478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胸径≥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10cm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60-90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89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灌木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多年生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8-20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墩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树归原主。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08"/>
          <w:jc w:val="center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苗圃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杨、柳、榆等一般类树种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8000-11000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树归原主；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特种用途树木苗圃价格另议。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08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松、柏类及其他观赏经济类树种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13000-15000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514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花卉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花卉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15000-17000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亩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包括移植费和损失费；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花卉归原主。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08"/>
          <w:jc w:val="center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果树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幼苗期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8-10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棵（每亩不超过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180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棵）</w:t>
            </w: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包括苹果、梨、杏、桃、核桃、柿、枣、石榴、山楂等常见树种；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树归原主；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本标准中幼苗仅指在果园内预计持续生长的幼苗，不包含苗圃育苗；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4.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如有特别品种或种植方式，种植密度高于上述规定，可根据实际情况经相关部门验证后，价格和种植密度均相应调整；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5.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特产树种价格另议。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08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幼龄期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40-80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棵（每亩不超过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180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棵）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08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初果期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250-320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棵（每亩不超过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110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棵）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08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盛果期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280-420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棵（每亩不超过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110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棵）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08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衰老期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150-300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棵（每亩不超过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110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棵）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08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葡萄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幼龄期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8-20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棵（每亩不超过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450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棵）</w:t>
            </w:r>
          </w:p>
        </w:tc>
        <w:tc>
          <w:tcPr>
            <w:tcW w:w="4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1.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科学、合理的种植密度；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树归原主；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3.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如有特别品种或种植方式，种植密度高于上述规定，可根据实际情况相应调整。</w:t>
            </w: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08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初果期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25-35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棵（每亩不超过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450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棵）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08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盛果期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40-100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棵（每亩不超过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棵）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08"/>
          <w:jc w:val="center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jc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衰老期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30-50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元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棵（每亩不超过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200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棵）</w:t>
            </w:r>
          </w:p>
        </w:tc>
        <w:tc>
          <w:tcPr>
            <w:tcW w:w="4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jc w:val="left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W w:w="9600" w:type="dxa"/>
          <w:jc w:val="cente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961"/>
          <w:jc w:val="center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青苗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青苗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center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一年种植一季作物的按年产值进行补偿，一年种植两季作物的按年产值的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50%</w:t>
            </w: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进行补偿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AEF" w:rsidRPr="000265D4">
            <w:pPr>
              <w:widowControl/>
              <w:jc w:val="left"/>
              <w:textAlignment w:val="center"/>
              <w:rPr>
                <w:rFonts w:ascii="Times New Roman" w:eastAsia="仿宋_GB2312" w:hAnsi="Times New Roman" w:cs="仿宋"/>
                <w:bCs/>
                <w:color w:val="000000"/>
                <w:sz w:val="24"/>
                <w:szCs w:val="24"/>
              </w:rPr>
            </w:pPr>
            <w:r w:rsidRPr="000265D4">
              <w:rPr>
                <w:rFonts w:ascii="Times New Roman" w:eastAsia="仿宋_GB2312" w:hAnsi="Times New Roman" w:cs="仿宋" w:hint="eastAsia"/>
                <w:bCs/>
                <w:color w:val="000000"/>
                <w:kern w:val="0"/>
                <w:sz w:val="24"/>
                <w:szCs w:val="24"/>
                <w:lang w:bidi="ar"/>
              </w:rPr>
              <w:t>按征收公告发布时，当地作物年产值进行测算。</w:t>
            </w:r>
          </w:p>
        </w:tc>
      </w:tr>
    </w:tbl>
    <w:p w:rsidR="00F35AEF" w:rsidRPr="000265D4" w:rsidP="000265D4">
      <w:pPr>
        <w:spacing w:line="460" w:lineRule="exact"/>
        <w:ind w:firstLine="0" w:firstLineChars="0"/>
        <w:jc w:val="left"/>
        <w:rPr>
          <w:rFonts w:ascii="仿宋_GB2312" w:eastAsia="仿宋_GB2312" w:hAnsi="Times New Roman" w:cs="仿宋" w:hint="eastAsia"/>
          <w:b/>
          <w:bCs/>
          <w:sz w:val="28"/>
          <w:szCs w:val="28"/>
        </w:rPr>
      </w:pPr>
      <w:r w:rsidRPr="000265D4">
        <w:rPr>
          <w:rFonts w:ascii="仿宋_GB2312" w:eastAsia="仿宋_GB2312" w:hAnsi="Times New Roman" w:cs="仿宋" w:hint="eastAsia"/>
          <w:b/>
          <w:bCs/>
          <w:sz w:val="28"/>
          <w:szCs w:val="28"/>
        </w:rPr>
        <w:t>说明：</w:t>
      </w:r>
    </w:p>
    <w:p w:rsidR="00F35AEF" w:rsidRPr="000265D4">
      <w:pPr>
        <w:spacing w:line="460" w:lineRule="exact"/>
        <w:ind w:firstLine="480" w:firstLineChars="200"/>
        <w:rPr>
          <w:rFonts w:ascii="Times New Roman" w:eastAsia="仿宋_GB2312" w:hAnsi="Times New Roman" w:cs="仿宋"/>
          <w:sz w:val="24"/>
          <w:szCs w:val="24"/>
        </w:rPr>
      </w:pPr>
      <w:r w:rsidRPr="000265D4">
        <w:rPr>
          <w:rFonts w:ascii="Times New Roman" w:eastAsia="仿宋_GB2312" w:hAnsi="Times New Roman" w:cs="仿宋" w:hint="eastAsia"/>
          <w:sz w:val="24"/>
          <w:szCs w:val="24"/>
        </w:rPr>
        <w:t>1.</w:t>
      </w:r>
      <w:r w:rsidRPr="000265D4">
        <w:rPr>
          <w:rFonts w:ascii="Times New Roman" w:eastAsia="仿宋_GB2312" w:hAnsi="Times New Roman" w:cs="仿宋" w:hint="eastAsia"/>
          <w:sz w:val="24"/>
          <w:szCs w:val="24"/>
        </w:rPr>
        <w:t>城市规划区以内的房屋征收与补偿标准，可参照国有土地上房屋征收执行。</w:t>
      </w:r>
    </w:p>
    <w:p w:rsidR="00F35AEF" w:rsidRPr="000265D4">
      <w:pPr>
        <w:spacing w:line="460" w:lineRule="exact"/>
        <w:ind w:firstLine="480" w:firstLineChars="200"/>
        <w:rPr>
          <w:rFonts w:ascii="Times New Roman" w:eastAsia="仿宋_GB2312" w:hAnsi="Times New Roman" w:cs="仿宋"/>
          <w:sz w:val="24"/>
          <w:szCs w:val="24"/>
        </w:rPr>
      </w:pPr>
      <w:r w:rsidRPr="000265D4">
        <w:rPr>
          <w:rFonts w:ascii="Times New Roman" w:eastAsia="仿宋_GB2312" w:hAnsi="Times New Roman" w:cs="仿宋" w:hint="eastAsia"/>
          <w:sz w:val="24"/>
          <w:szCs w:val="24"/>
        </w:rPr>
        <w:t>2.</w:t>
      </w:r>
      <w:r w:rsidRPr="000265D4">
        <w:rPr>
          <w:rFonts w:ascii="Times New Roman" w:eastAsia="仿宋_GB2312" w:hAnsi="Times New Roman" w:cs="仿宋" w:hint="eastAsia"/>
          <w:sz w:val="24"/>
          <w:szCs w:val="24"/>
        </w:rPr>
        <w:t>国家和省确定的铁路、公路、机场、航道港口、水利工程、能源工程等重大基础设施项目征收土地</w:t>
      </w:r>
      <w:bookmarkStart w:id="0" w:name="_GoBack"/>
      <w:bookmarkEnd w:id="0"/>
      <w:r w:rsidRPr="000265D4">
        <w:rPr>
          <w:rFonts w:ascii="Times New Roman" w:eastAsia="仿宋_GB2312" w:hAnsi="Times New Roman" w:cs="仿宋" w:hint="eastAsia"/>
          <w:sz w:val="24"/>
          <w:szCs w:val="24"/>
        </w:rPr>
        <w:t>地上附着物和青苗补偿等标准另有规定的，从其规定。</w:t>
      </w:r>
    </w:p>
    <w:p w:rsidR="00F35AEF" w:rsidRPr="000265D4">
      <w:pPr>
        <w:spacing w:line="460" w:lineRule="exact"/>
        <w:ind w:firstLine="480" w:firstLineChars="200"/>
        <w:rPr>
          <w:rFonts w:ascii="Times New Roman" w:eastAsia="仿宋_GB2312" w:hAnsi="Times New Roman" w:cs="仿宋"/>
          <w:sz w:val="24"/>
          <w:szCs w:val="24"/>
        </w:rPr>
      </w:pPr>
      <w:r w:rsidRPr="000265D4">
        <w:rPr>
          <w:rFonts w:ascii="Times New Roman" w:eastAsia="仿宋_GB2312" w:hAnsi="Times New Roman" w:cs="仿宋" w:hint="eastAsia"/>
          <w:sz w:val="24"/>
          <w:szCs w:val="24"/>
        </w:rPr>
        <w:t>3.</w:t>
      </w:r>
      <w:r w:rsidRPr="000265D4">
        <w:rPr>
          <w:rFonts w:ascii="Times New Roman" w:eastAsia="仿宋_GB2312" w:hAnsi="Times New Roman" w:cs="仿宋" w:hint="eastAsia"/>
          <w:sz w:val="24"/>
          <w:szCs w:val="24"/>
        </w:rPr>
        <w:t>当地政府发布拟征地公告后抢种、抢栽的青苗、树木以及抢建的建筑物、构筑物，一律不适用于本补偿标准。</w:t>
      </w:r>
    </w:p>
    <w:p w:rsidR="00F35AEF" w:rsidRPr="000265D4">
      <w:pPr>
        <w:spacing w:line="460" w:lineRule="exact"/>
        <w:ind w:firstLine="480" w:firstLineChars="200"/>
        <w:rPr>
          <w:rFonts w:ascii="Times New Roman" w:eastAsia="仿宋_GB2312" w:hAnsi="Times New Roman" w:cs="仿宋"/>
          <w:sz w:val="24"/>
          <w:szCs w:val="24"/>
        </w:rPr>
      </w:pPr>
      <w:r w:rsidRPr="000265D4">
        <w:rPr>
          <w:rFonts w:ascii="Times New Roman" w:eastAsia="仿宋_GB2312" w:hAnsi="Times New Roman" w:cs="仿宋" w:hint="eastAsia"/>
          <w:sz w:val="24"/>
          <w:szCs w:val="24"/>
        </w:rPr>
        <w:t>4.</w:t>
      </w:r>
      <w:r w:rsidRPr="000265D4">
        <w:rPr>
          <w:rFonts w:ascii="Times New Roman" w:eastAsia="仿宋_GB2312" w:hAnsi="Times New Roman" w:cs="仿宋" w:hint="eastAsia"/>
          <w:sz w:val="24"/>
          <w:szCs w:val="24"/>
        </w:rPr>
        <w:t>上述表格中未列出的地上附着物及有争议的地上附着物，由价格认定机构据实进行价格认定；特种用途树木、特产树种果树由相关部门进行认定。</w:t>
      </w:r>
    </w:p>
    <w:p w:rsidR="00F35AEF" w:rsidRPr="000265D4">
      <w:pPr>
        <w:spacing w:line="460" w:lineRule="exact"/>
        <w:ind w:firstLine="480" w:firstLineChars="200"/>
        <w:rPr>
          <w:rFonts w:ascii="Times New Roman" w:eastAsia="仿宋_GB2312" w:hAnsi="Times New Roman" w:cs="仿宋"/>
          <w:sz w:val="24"/>
          <w:szCs w:val="24"/>
        </w:rPr>
      </w:pPr>
      <w:r w:rsidRPr="000265D4">
        <w:rPr>
          <w:rFonts w:ascii="Times New Roman" w:eastAsia="仿宋_GB2312" w:hAnsi="Times New Roman" w:cs="仿宋" w:hint="eastAsia"/>
          <w:sz w:val="24"/>
          <w:szCs w:val="24"/>
        </w:rPr>
        <w:t>5.</w:t>
      </w:r>
      <w:r w:rsidRPr="000265D4">
        <w:rPr>
          <w:rFonts w:ascii="Times New Roman" w:eastAsia="仿宋_GB2312" w:hAnsi="Times New Roman" w:cs="仿宋" w:hint="eastAsia"/>
          <w:sz w:val="24"/>
          <w:szCs w:val="24"/>
        </w:rPr>
        <w:t>有线电视、宽带网、电话、空调、太阳能、热水器等附属物的迁移费按行业标准执行。</w:t>
      </w:r>
    </w:p>
    <w:p w:rsidR="00F35AEF" w:rsidRPr="000265D4">
      <w:pPr>
        <w:spacing w:line="460" w:lineRule="exact"/>
        <w:ind w:firstLine="480" w:firstLineChars="200"/>
        <w:rPr>
          <w:rFonts w:ascii="Times New Roman" w:eastAsia="仿宋_GB2312" w:hAnsi="Times New Roman" w:cs="仿宋"/>
          <w:sz w:val="24"/>
          <w:szCs w:val="24"/>
        </w:rPr>
      </w:pPr>
      <w:r w:rsidRPr="000265D4">
        <w:rPr>
          <w:rFonts w:ascii="Times New Roman" w:eastAsia="仿宋_GB2312" w:hAnsi="Times New Roman" w:cs="仿宋" w:hint="eastAsia"/>
          <w:sz w:val="24"/>
          <w:szCs w:val="24"/>
        </w:rPr>
        <w:t>6.</w:t>
      </w:r>
      <w:r w:rsidRPr="000265D4">
        <w:rPr>
          <w:rFonts w:ascii="Times New Roman" w:eastAsia="仿宋_GB2312" w:hAnsi="Times New Roman" w:cs="仿宋" w:hint="eastAsia"/>
          <w:sz w:val="24"/>
          <w:szCs w:val="24"/>
        </w:rPr>
        <w:t>房屋面积指建筑面积。</w:t>
      </w:r>
    </w:p>
    <w:p w:rsidR="00F35AEF" w:rsidRPr="000265D4">
      <w:pPr>
        <w:spacing w:line="460" w:lineRule="exact"/>
        <w:ind w:firstLine="480" w:firstLineChars="200"/>
        <w:rPr>
          <w:rFonts w:ascii="Times New Roman" w:eastAsia="仿宋_GB2312" w:hAnsi="Times New Roman" w:cs="仿宋"/>
          <w:sz w:val="24"/>
          <w:szCs w:val="24"/>
        </w:rPr>
      </w:pPr>
      <w:r w:rsidRPr="000265D4">
        <w:rPr>
          <w:rFonts w:ascii="Times New Roman" w:eastAsia="仿宋_GB2312" w:hAnsi="Times New Roman" w:cs="仿宋" w:hint="eastAsia"/>
          <w:sz w:val="24"/>
          <w:szCs w:val="24"/>
        </w:rPr>
        <w:t>7.</w:t>
      </w:r>
      <w:r w:rsidRPr="000265D4">
        <w:rPr>
          <w:rFonts w:ascii="Times New Roman" w:eastAsia="仿宋_GB2312" w:hAnsi="Times New Roman" w:cs="仿宋" w:hint="eastAsia"/>
          <w:sz w:val="24"/>
          <w:szCs w:val="24"/>
        </w:rPr>
        <w:t>房屋价格调整系数说明：可按建筑结构、装饰装修中的每小项适当进行调节。</w:t>
      </w:r>
    </w:p>
    <w:p w:rsidR="00F35AEF" w:rsidRPr="000265D4">
      <w:pPr>
        <w:spacing w:line="460" w:lineRule="exact"/>
        <w:ind w:firstLine="480" w:firstLineChars="200"/>
        <w:rPr>
          <w:rFonts w:ascii="Times New Roman" w:eastAsia="仿宋_GB2312" w:hAnsi="Times New Roman" w:cs="仿宋"/>
          <w:sz w:val="24"/>
          <w:szCs w:val="24"/>
        </w:rPr>
      </w:pPr>
      <w:r w:rsidRPr="000265D4">
        <w:rPr>
          <w:rFonts w:ascii="Times New Roman" w:eastAsia="仿宋_GB2312" w:hAnsi="Times New Roman" w:cs="仿宋" w:hint="eastAsia"/>
          <w:sz w:val="24"/>
          <w:szCs w:val="24"/>
        </w:rPr>
        <w:t>8.</w:t>
      </w:r>
      <w:r w:rsidRPr="000265D4">
        <w:rPr>
          <w:rFonts w:ascii="Times New Roman" w:eastAsia="仿宋_GB2312" w:hAnsi="Times New Roman" w:cs="仿宋" w:hint="eastAsia"/>
          <w:sz w:val="24"/>
          <w:szCs w:val="24"/>
        </w:rPr>
        <w:t>折旧系数：根据房屋建成年限、结构、现场观察房屋维修养护情况在本等级房屋价格范围内确定。</w:t>
      </w:r>
    </w:p>
    <w:p w:rsidR="00F35AEF" w:rsidRPr="000265D4">
      <w:pPr>
        <w:spacing w:line="460" w:lineRule="exact"/>
        <w:ind w:firstLine="480" w:firstLineChars="200"/>
        <w:rPr>
          <w:rFonts w:ascii="Times New Roman" w:eastAsia="仿宋_GB2312" w:hAnsi="Times New Roman" w:cs="仿宋"/>
          <w:sz w:val="24"/>
          <w:szCs w:val="24"/>
        </w:rPr>
      </w:pPr>
      <w:r w:rsidRPr="000265D4">
        <w:rPr>
          <w:rFonts w:ascii="Times New Roman" w:eastAsia="仿宋_GB2312" w:hAnsi="Times New Roman" w:cs="仿宋" w:hint="eastAsia"/>
          <w:sz w:val="24"/>
          <w:szCs w:val="24"/>
        </w:rPr>
        <w:t>9.</w:t>
      </w:r>
      <w:r w:rsidRPr="000265D4">
        <w:rPr>
          <w:rFonts w:ascii="Times New Roman" w:eastAsia="仿宋_GB2312" w:hAnsi="Times New Roman" w:cs="仿宋" w:hint="eastAsia"/>
          <w:sz w:val="24"/>
          <w:szCs w:val="24"/>
        </w:rPr>
        <w:t>上述表格中涉及的乔木胸径</w:t>
      </w:r>
      <w:r w:rsidRPr="000265D4">
        <w:rPr>
          <w:rFonts w:ascii="Times New Roman" w:eastAsia="仿宋_GB2312" w:hAnsi="Times New Roman" w:cs="仿宋" w:hint="eastAsia"/>
          <w:sz w:val="24"/>
          <w:szCs w:val="24"/>
        </w:rPr>
        <w:t>是指离地面</w:t>
      </w:r>
      <w:r w:rsidRPr="000265D4">
        <w:rPr>
          <w:rFonts w:ascii="Times New Roman" w:eastAsia="仿宋_GB2312" w:hAnsi="Times New Roman" w:cs="仿宋" w:hint="eastAsia"/>
          <w:sz w:val="24"/>
          <w:szCs w:val="24"/>
        </w:rPr>
        <w:t>高度</w:t>
      </w:r>
      <w:r w:rsidRPr="000265D4">
        <w:rPr>
          <w:rFonts w:ascii="Times New Roman" w:eastAsia="仿宋_GB2312" w:hAnsi="Times New Roman" w:cs="仿宋" w:hint="eastAsia"/>
          <w:sz w:val="24"/>
          <w:szCs w:val="24"/>
        </w:rPr>
        <w:t>1.3</w:t>
      </w:r>
      <w:r w:rsidRPr="000265D4">
        <w:rPr>
          <w:rFonts w:ascii="Times New Roman" w:eastAsia="仿宋_GB2312" w:hAnsi="Times New Roman" w:cs="仿宋" w:hint="eastAsia"/>
          <w:sz w:val="24"/>
          <w:szCs w:val="24"/>
        </w:rPr>
        <w:t>米处树干的直径。</w:t>
      </w:r>
    </w:p>
    <w:p w:rsidR="00F35AEF" w:rsidRPr="000265D4">
      <w:pPr>
        <w:spacing w:line="460" w:lineRule="exact"/>
        <w:ind w:firstLine="480" w:firstLineChars="200"/>
        <w:rPr>
          <w:rFonts w:ascii="Times New Roman" w:eastAsia="仿宋_GB2312" w:hAnsi="Times New Roman" w:cs="仿宋"/>
          <w:sz w:val="24"/>
          <w:szCs w:val="24"/>
        </w:rPr>
      </w:pPr>
      <w:r w:rsidRPr="000265D4">
        <w:rPr>
          <w:rFonts w:ascii="Times New Roman" w:eastAsia="仿宋_GB2312" w:hAnsi="Times New Roman" w:cs="仿宋" w:hint="eastAsia"/>
          <w:sz w:val="24"/>
          <w:szCs w:val="24"/>
        </w:rPr>
        <w:t>10.</w:t>
      </w:r>
      <w:r w:rsidRPr="000265D4">
        <w:rPr>
          <w:rFonts w:ascii="Times New Roman" w:eastAsia="仿宋_GB2312" w:hAnsi="Times New Roman" w:cs="仿宋" w:hint="eastAsia"/>
          <w:sz w:val="24"/>
          <w:szCs w:val="24"/>
        </w:rPr>
        <w:t>各县（市、区）人民政府（管委会）可结合辖区实际情况制定实施细则。</w:t>
      </w:r>
    </w:p>
    <w:sectPr>
      <w:headerReference w:type="default" r:id="rId5"/>
      <w:footerReference w:type="default" r:id="rId6"/>
      <w:pgSz w:w="11906" w:h="16838"/>
      <w:pgMar w:top="1814" w:right="1531" w:bottom="1587" w:left="1531" w:header="851" w:footer="1417" w:gutter="0"/>
      <w:cols w:space="0"/>
      <w:docGrid w:type="line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AEF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5AEF">
    <w:pPr>
      <w:pStyle w:val="Header"/>
      <w:pBdr>
        <w:bottom w:val="none" w:sz="0" w:space="0" w:color="auto"/>
      </w:pBd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明海岩">
    <w15:presenceInfo w15:providerId="None" w15:userId="明海岩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revisionView w:comments="1" w:formatting="1" w:inkAnnotations="1" w:insDel="1" w:markup="0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AF5E3C"/>
    <w:rsid w:val="00024ED5"/>
    <w:rsid w:val="000265D4"/>
    <w:rsid w:val="005128D5"/>
    <w:rsid w:val="00722D10"/>
    <w:rsid w:val="00EE67ED"/>
    <w:rsid w:val="00F35AEF"/>
    <w:rsid w:val="0DAF5E3C"/>
    <w:rsid w:val="0EA90D8D"/>
    <w:rsid w:val="1649357B"/>
    <w:rsid w:val="183D721B"/>
    <w:rsid w:val="1D412DAE"/>
    <w:rsid w:val="1DE53FFF"/>
    <w:rsid w:val="1F965790"/>
    <w:rsid w:val="27186D6F"/>
    <w:rsid w:val="28383C61"/>
    <w:rsid w:val="2BEA360F"/>
    <w:rsid w:val="2CA23C05"/>
    <w:rsid w:val="361B7619"/>
    <w:rsid w:val="3B103FA7"/>
    <w:rsid w:val="3CE76CC5"/>
    <w:rsid w:val="41AD3867"/>
    <w:rsid w:val="47461FBD"/>
    <w:rsid w:val="47EF16DD"/>
    <w:rsid w:val="4C626E4C"/>
    <w:rsid w:val="512A6880"/>
    <w:rsid w:val="53657915"/>
    <w:rsid w:val="55934E78"/>
    <w:rsid w:val="58C81595"/>
    <w:rsid w:val="598A14C0"/>
    <w:rsid w:val="5AE55EAC"/>
    <w:rsid w:val="63F37C99"/>
    <w:rsid w:val="780B64CF"/>
    <w:rsid w:val="79DC3EC8"/>
    <w:rsid w:val="7B783473"/>
    <w:rsid w:val="7C8044F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7F1B6F6-D1A2-4112-9391-63D2BECB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Header">
    <w:name w:val="header"/>
    <w:basedOn w:val="Normal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microsoft.com/office/2011/relationships/people" Target="people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3372</Words>
  <Characters>1593</Characters>
  <Application>Microsoft Office Word</Application>
  <DocSecurity>0</DocSecurity>
  <Lines>13</Lines>
  <Paragraphs>9</Paragraphs>
  <ScaleCrop>false</ScaleCrop>
  <Company>微软中国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2021-12-28T08:41:00Z</cp:lastPrinted>
  <dcterms:created xsi:type="dcterms:W3CDTF">2021-12-24T01:25:00Z</dcterms:created>
  <dcterms:modified xsi:type="dcterms:W3CDTF">2021-12-31T06:55:00Z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