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  <w:t>附件3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480" w:lineRule="exact"/>
        <w:ind w:firstLine="640" w:firstLineChars="200"/>
        <w:jc w:val="right"/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highlight w:val="none"/>
        </w:rPr>
        <w:t>20XX年  第XXX号</w:t>
      </w: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highlight w:val="none"/>
        </w:rPr>
      </w:pPr>
    </w:p>
    <w:p>
      <w:pPr>
        <w:widowControl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智能网联汽车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道路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测试（示范应用/运营）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安全性</w:t>
      </w:r>
    </w:p>
    <w:p>
      <w:pPr>
        <w:widowControl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自我声明</w:t>
      </w:r>
    </w:p>
    <w:p>
      <w:pPr>
        <w:widowControl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本单位（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测试与示范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主体名称）因业务需要，于（区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、县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等名称）开展智能网联汽车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道路测试/示范应用/示范运营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，在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道路测试/示范应用/示范运营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期间将严格按照《智能网联汽车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测试（示范应用/运营）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基本信息》（见背面）的内容，遵守《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淄博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市智能网联汽车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测试与示范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试行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办法》及道路交通安全法律法规的有关要求，并为安全有序开展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道路测试与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示范活动提供必要的保障。</w:t>
      </w: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ind w:firstLine="0" w:firstLineChars="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</w:p>
    <w:p>
      <w:pPr>
        <w:widowControl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jc w:val="both"/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pacing w:val="-20"/>
          <w:sz w:val="32"/>
          <w:szCs w:val="32"/>
          <w:highlight w:val="none"/>
          <w:lang w:val="en-US" w:eastAsia="zh-CN"/>
        </w:rPr>
        <w:t>测试与示范</w:t>
      </w: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  <w:t>主体单位</w:t>
      </w:r>
      <w:r>
        <w:rPr>
          <w:rFonts w:hint="eastAsia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  <w:t>法人</w:t>
      </w: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  <w:t>区、县</w:t>
      </w: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  <w:t>级政府主管部门签章）</w:t>
      </w:r>
    </w:p>
    <w:p>
      <w:pPr>
        <w:widowControl/>
        <w:ind w:firstLine="280" w:firstLineChars="100"/>
        <w:jc w:val="both"/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spacing w:val="-20"/>
          <w:kern w:val="0"/>
          <w:sz w:val="32"/>
          <w:szCs w:val="32"/>
          <w:highlight w:val="none"/>
        </w:rPr>
        <w:t>或联合体所有单位法人签章）</w:t>
      </w:r>
    </w:p>
    <w:p>
      <w:pPr>
        <w:widowControl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0" w:beforeLines="0" w:after="0" w:afterLines="0"/>
        <w:ind w:firstLine="5760" w:firstLineChars="1800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  <w:t>年    月    日</w:t>
      </w:r>
    </w:p>
    <w:p>
      <w:pPr>
        <w:widowControl/>
        <w:spacing w:before="156" w:beforeLines="50" w:after="156" w:afterLines="50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  <w:t>背面</w:t>
      </w:r>
      <w:r>
        <w:rPr>
          <w:rFonts w:hint="eastAsia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widowControl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</w:rPr>
        <w:t>智能网联汽车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  <w:lang w:eastAsia="zh-CN"/>
        </w:rPr>
        <w:t>道路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  <w:lang w:val="en-US" w:eastAsia="zh-CN"/>
        </w:rPr>
        <w:t>测试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  <w:lang w:val="en-US" w:eastAsia="zh-CN"/>
        </w:rPr>
        <w:t>（示范应用/运营）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</w:rPr>
        <w:t>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5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主体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车辆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（须依次列出对应车辆识别代号或唯一性编码）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</w:rPr>
              <w:t>驾驶人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（须依次列出测试驾驶人姓名及身份证号）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日至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路段或区域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（须依次列出，路段或区域名称与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联席会议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公布的一致）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转场路段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（须列出车辆在自动驾驶测试路段间进行转场的路段）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2U5ZDRjMWVkNDhkZTI4MjNkYTA3MDgyYjhjMDkifQ=="/>
  </w:docVars>
  <w:rsids>
    <w:rsidRoot w:val="3F9C0A3D"/>
    <w:rsid w:val="3F9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2022-06-30T08:24:00Z</dcterms:created>
  <dc:creator>女朋友喊我睡觉我百般推辞</dc:creator>
  <cp:lastModifiedBy>女朋友喊我睡觉我百般推辞</cp:lastModifiedBy>
  <dcterms:modified xsi:type="dcterms:W3CDTF">2022-06-30T09:06:39Z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457B51B2A5764021B121158CA4E83D0E</vt:lpwstr>
  </property>
</Properties>
</file>