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x-wmf" Extension="wmf"/>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eastAsia="黑体"/>
          <w:spacing w:val="-2"/>
          <w:sz w:val="32"/>
        </w:rPr>
      </w:pPr>
      <w:bookmarkStart w:id="0" w:name="_Toc332433906"/>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bookmarkEnd w:id="0"/>
    <w:p>
      <w:pPr>
        <w:spacing w:line="440" w:lineRule="atLeast"/>
        <w:jc w:val="center"/>
        <w:rPr>
          <w:rFonts w:ascii="华文中宋" w:hAnsi="华文中宋" w:eastAsia="华文中宋"/>
          <w:b/>
          <w:bCs/>
          <w:spacing w:val="-2"/>
          <w:sz w:val="44"/>
          <w:szCs w:val="44"/>
        </w:rPr>
      </w:pPr>
      <w:r>
        <w:rPr>
          <w:rFonts w:hint="eastAsia" w:ascii="华文中宋" w:hAnsi="华文中宋" w:eastAsia="华文中宋"/>
          <w:b/>
          <w:bCs/>
          <w:spacing w:val="-2"/>
          <w:sz w:val="44"/>
          <w:szCs w:val="44"/>
        </w:rPr>
        <w:t>资产评估专家指引第3</w:t>
      </w:r>
      <w:r>
        <w:rPr>
          <w:rFonts w:ascii="华文中宋" w:hAnsi="华文中宋" w:eastAsia="华文中宋"/>
          <w:b/>
          <w:bCs/>
          <w:spacing w:val="-2"/>
          <w:sz w:val="44"/>
          <w:szCs w:val="44"/>
        </w:rPr>
        <w:t>号</w:t>
      </w:r>
      <w:r>
        <w:rPr>
          <w:rFonts w:hint="eastAsia" w:ascii="华文中宋" w:hAnsi="华文中宋" w:eastAsia="华文中宋"/>
          <w:b/>
          <w:bCs/>
          <w:spacing w:val="-2"/>
          <w:sz w:val="44"/>
          <w:szCs w:val="44"/>
        </w:rPr>
        <w:t>——</w:t>
      </w:r>
      <w:r>
        <w:rPr>
          <w:rFonts w:ascii="华文中宋" w:hAnsi="华文中宋" w:eastAsia="华文中宋"/>
          <w:b/>
          <w:bCs/>
          <w:spacing w:val="-2"/>
          <w:sz w:val="44"/>
          <w:szCs w:val="44"/>
        </w:rPr>
        <w:t>金融企业</w:t>
      </w:r>
    </w:p>
    <w:p>
      <w:pPr>
        <w:spacing w:line="440" w:lineRule="atLeast"/>
        <w:jc w:val="center"/>
        <w:rPr>
          <w:rFonts w:ascii="华文中宋" w:hAnsi="华文中宋" w:eastAsia="华文中宋"/>
          <w:b/>
          <w:bCs/>
          <w:spacing w:val="-2"/>
          <w:sz w:val="44"/>
          <w:szCs w:val="44"/>
        </w:rPr>
      </w:pPr>
      <w:r>
        <w:rPr>
          <w:rFonts w:ascii="华文中宋" w:hAnsi="华文中宋" w:eastAsia="华文中宋"/>
          <w:b/>
          <w:bCs/>
          <w:spacing w:val="-2"/>
          <w:sz w:val="44"/>
          <w:szCs w:val="44"/>
        </w:rPr>
        <w:t>收益法评估模型与参数确定</w:t>
      </w:r>
    </w:p>
    <w:p>
      <w:pPr>
        <w:spacing w:line="360" w:lineRule="auto"/>
        <w:rPr>
          <w:rFonts w:ascii="Times New Roman" w:hAnsi="Times New Roman" w:eastAsia="宋体"/>
          <w:spacing w:val="-2"/>
          <w:sz w:val="32"/>
          <w:szCs w:val="32"/>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本专家指引是一种专家建议。评估机构执行资产评估业务，可以参照本专家指引，也可以根据具体情况采用其他适当的做法。中国资产评估协会将根据业务发展，对本专家指引进行更新。</w:t>
      </w:r>
    </w:p>
    <w:p>
      <w:pPr>
        <w:spacing w:line="400" w:lineRule="exact"/>
        <w:ind w:firstLine="636" w:firstLineChars="200"/>
        <w:rPr>
          <w:rFonts w:ascii="Times New Roman" w:hAnsi="Times New Roman"/>
          <w:spacing w:val="-1"/>
          <w:sz w:val="32"/>
          <w:szCs w:val="32"/>
          <w:lang w:val="zh-TW"/>
        </w:rPr>
      </w:pP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一、</w:t>
      </w:r>
      <w:r>
        <w:rPr>
          <w:rFonts w:hint="eastAsia" w:ascii="Times New Roman" w:hAnsi="Times New Roman"/>
          <w:b/>
          <w:spacing w:val="-1"/>
          <w:sz w:val="32"/>
          <w:szCs w:val="32"/>
          <w:lang w:val="zh-TW"/>
        </w:rPr>
        <w:t>引言</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第一条</w:t>
      </w:r>
      <w:r>
        <w:rPr>
          <w:rFonts w:hint="eastAsia" w:ascii="Times New Roman" w:hAnsi="Times New Roman"/>
          <w:spacing w:val="-1"/>
          <w:sz w:val="32"/>
          <w:szCs w:val="32"/>
          <w:lang w:val="zh-TW"/>
        </w:rPr>
        <w:t xml:space="preserve">  </w:t>
      </w:r>
      <w:r>
        <w:rPr>
          <w:rFonts w:ascii="Times New Roman" w:hAnsi="Times New Roman"/>
          <w:spacing w:val="-1"/>
          <w:sz w:val="32"/>
          <w:szCs w:val="32"/>
          <w:lang w:val="zh-TW" w:eastAsia="zh-TW"/>
        </w:rPr>
        <w:t>为指导评估机构运用收益法对金融企业进行评估，中国资产评估协会组织制定了本</w:t>
      </w:r>
      <w:r>
        <w:rPr>
          <w:rFonts w:hint="eastAsia" w:ascii="Times New Roman" w:hAnsi="Times New Roman"/>
          <w:spacing w:val="-1"/>
          <w:sz w:val="32"/>
          <w:szCs w:val="32"/>
          <w:lang w:val="zh-TW"/>
        </w:rPr>
        <w:t>专家指引</w:t>
      </w:r>
      <w:r>
        <w:rPr>
          <w:rFonts w:ascii="Times New Roman" w:hAnsi="Times New Roman"/>
          <w:spacing w:val="-1"/>
          <w:sz w:val="32"/>
          <w:szCs w:val="32"/>
          <w:lang w:val="zh-TW" w:eastAsia="zh-TW"/>
        </w:rPr>
        <w:t>。</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二</w:t>
      </w:r>
      <w:r>
        <w:rPr>
          <w:rFonts w:ascii="Times New Roman" w:hAnsi="Times New Roman"/>
          <w:spacing w:val="-1"/>
          <w:sz w:val="32"/>
          <w:szCs w:val="32"/>
          <w:lang w:val="zh-TW" w:eastAsia="zh-TW"/>
        </w:rPr>
        <w:t xml:space="preserve">条 </w:t>
      </w:r>
      <w:r>
        <w:rPr>
          <w:rFonts w:hint="eastAsia" w:ascii="Times New Roman" w:hAnsi="Times New Roman"/>
          <w:spacing w:val="-1"/>
          <w:sz w:val="32"/>
          <w:szCs w:val="32"/>
          <w:lang w:val="zh-TW"/>
        </w:rPr>
        <w:t xml:space="preserve"> 资产评估师</w:t>
      </w:r>
      <w:r>
        <w:rPr>
          <w:rFonts w:ascii="Times New Roman" w:hAnsi="Times New Roman"/>
          <w:spacing w:val="-1"/>
          <w:sz w:val="32"/>
          <w:szCs w:val="32"/>
          <w:lang w:val="zh-TW" w:eastAsia="zh-TW"/>
        </w:rPr>
        <w:t>应知晓不同类型的金融企业</w:t>
      </w:r>
      <w:r>
        <w:rPr>
          <w:rFonts w:ascii="Times New Roman" w:hAnsi="Times New Roman"/>
          <w:spacing w:val="-1"/>
          <w:sz w:val="32"/>
          <w:szCs w:val="32"/>
          <w:lang w:val="zh-TW"/>
        </w:rPr>
        <w:t>有</w:t>
      </w:r>
      <w:r>
        <w:rPr>
          <w:rFonts w:ascii="Times New Roman" w:hAnsi="Times New Roman"/>
          <w:spacing w:val="-1"/>
          <w:sz w:val="32"/>
          <w:szCs w:val="32"/>
          <w:lang w:val="zh-TW" w:eastAsia="zh-TW"/>
        </w:rPr>
        <w:t>各自的业务模式，收益法评估中应据此选取适当的评估模型和参数。</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三</w:t>
      </w:r>
      <w:r>
        <w:rPr>
          <w:rFonts w:ascii="Times New Roman" w:hAnsi="Times New Roman"/>
          <w:spacing w:val="-1"/>
          <w:sz w:val="32"/>
          <w:szCs w:val="32"/>
          <w:lang w:val="zh-TW" w:eastAsia="zh-TW"/>
        </w:rPr>
        <w:t xml:space="preserve">条 </w:t>
      </w:r>
      <w:r>
        <w:rPr>
          <w:rFonts w:hint="eastAsia" w:ascii="Times New Roman" w:hAnsi="Times New Roman"/>
          <w:spacing w:val="-1"/>
          <w:sz w:val="32"/>
          <w:szCs w:val="32"/>
          <w:lang w:val="zh-TW"/>
        </w:rPr>
        <w:t xml:space="preserve"> </w:t>
      </w:r>
      <w:r>
        <w:rPr>
          <w:rFonts w:ascii="Times New Roman" w:hAnsi="Times New Roman"/>
          <w:spacing w:val="-1"/>
          <w:sz w:val="32"/>
          <w:szCs w:val="32"/>
          <w:lang w:val="zh-TW" w:eastAsia="zh-TW"/>
        </w:rPr>
        <w:t>金融企业是特许经营行业，行政监管严格，</w:t>
      </w:r>
      <w:r>
        <w:rPr>
          <w:rFonts w:hint="eastAsia" w:ascii="Times New Roman" w:hAnsi="Times New Roman"/>
          <w:spacing w:val="-1"/>
          <w:sz w:val="32"/>
          <w:szCs w:val="32"/>
          <w:lang w:val="zh-TW"/>
        </w:rPr>
        <w:t>资产评估师</w:t>
      </w:r>
      <w:r>
        <w:rPr>
          <w:rFonts w:ascii="Times New Roman" w:hAnsi="Times New Roman"/>
          <w:spacing w:val="-1"/>
          <w:sz w:val="32"/>
          <w:szCs w:val="32"/>
          <w:lang w:val="zh-TW" w:eastAsia="zh-TW"/>
        </w:rPr>
        <w:t>在收益法评估模型和参数确定时应适当考虑监管指标的要求</w:t>
      </w:r>
      <w:r>
        <w:rPr>
          <w:rFonts w:ascii="Times New Roman" w:hAnsi="Times New Roman"/>
          <w:spacing w:val="-1"/>
          <w:sz w:val="32"/>
          <w:szCs w:val="32"/>
          <w:lang w:val="zh-TW"/>
        </w:rPr>
        <w:t>。</w:t>
      </w: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二、评估模型</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四</w:t>
      </w:r>
      <w:r>
        <w:rPr>
          <w:rFonts w:ascii="Times New Roman" w:hAnsi="Times New Roman"/>
          <w:spacing w:val="-1"/>
          <w:sz w:val="32"/>
          <w:szCs w:val="32"/>
          <w:lang w:val="zh-TW" w:eastAsia="zh-TW"/>
        </w:rPr>
        <w:t xml:space="preserve">条  </w:t>
      </w:r>
      <w:r>
        <w:rPr>
          <w:rFonts w:hint="eastAsia" w:ascii="Times New Roman" w:hAnsi="Times New Roman"/>
          <w:spacing w:val="-1"/>
          <w:sz w:val="32"/>
          <w:szCs w:val="32"/>
          <w:lang w:val="zh-TW"/>
        </w:rPr>
        <w:t>资产评估师</w:t>
      </w:r>
      <w:r>
        <w:rPr>
          <w:rFonts w:ascii="Times New Roman" w:hAnsi="Times New Roman"/>
          <w:spacing w:val="-1"/>
          <w:sz w:val="32"/>
          <w:szCs w:val="32"/>
          <w:lang w:val="zh-TW" w:eastAsia="zh-TW"/>
        </w:rPr>
        <w:t>在确定金融企业收益法评估模型与参数</w:t>
      </w:r>
      <w:r>
        <w:rPr>
          <w:rFonts w:ascii="Times New Roman" w:hAnsi="Times New Roman"/>
          <w:spacing w:val="-1"/>
          <w:sz w:val="32"/>
          <w:szCs w:val="32"/>
          <w:lang w:val="zh-TW"/>
        </w:rPr>
        <w:t>时</w:t>
      </w:r>
      <w:r>
        <w:rPr>
          <w:rFonts w:ascii="Times New Roman" w:hAnsi="Times New Roman"/>
          <w:spacing w:val="-1"/>
          <w:sz w:val="32"/>
          <w:szCs w:val="32"/>
          <w:lang w:val="zh-TW" w:eastAsia="zh-TW"/>
        </w:rPr>
        <w:t>，应区分控股性产权变动业务和非控股性产权变动业务。</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五</w:t>
      </w:r>
      <w:r>
        <w:rPr>
          <w:rFonts w:ascii="Times New Roman" w:hAnsi="Times New Roman"/>
          <w:spacing w:val="-1"/>
          <w:sz w:val="32"/>
          <w:szCs w:val="32"/>
          <w:lang w:val="zh-TW" w:eastAsia="zh-TW"/>
        </w:rPr>
        <w:t>条  在金融企业控股性产权变动业务中，金融企业收益法评估可以采用</w:t>
      </w:r>
      <w:r>
        <w:rPr>
          <w:rFonts w:hint="eastAsia" w:ascii="Times New Roman" w:hAnsi="Times New Roman"/>
          <w:spacing w:val="-1"/>
          <w:sz w:val="32"/>
          <w:szCs w:val="32"/>
          <w:lang w:val="zh-TW" w:eastAsia="zh-TW"/>
        </w:rPr>
        <w:t>股权自由现金流折现模型</w:t>
      </w:r>
      <w:r>
        <w:rPr>
          <w:rFonts w:ascii="Times New Roman" w:hAnsi="Times New Roman"/>
          <w:spacing w:val="-1"/>
          <w:sz w:val="32"/>
          <w:szCs w:val="32"/>
          <w:lang w:val="zh-TW" w:eastAsia="zh-TW"/>
        </w:rPr>
        <w:t>，如</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银行</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保险公司</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证券公司等</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也可以采用</w:t>
      </w:r>
      <w:r>
        <w:rPr>
          <w:rFonts w:hint="eastAsia" w:ascii="Times New Roman" w:hAnsi="Times New Roman"/>
          <w:spacing w:val="-1"/>
          <w:sz w:val="32"/>
          <w:szCs w:val="32"/>
          <w:lang w:val="zh-TW" w:eastAsia="zh-TW"/>
        </w:rPr>
        <w:t>企业自由现金流折现模型</w:t>
      </w:r>
      <w:r>
        <w:rPr>
          <w:rFonts w:hint="eastAsia" w:ascii="Times New Roman" w:hAnsi="Times New Roman"/>
          <w:spacing w:val="-1"/>
          <w:sz w:val="32"/>
          <w:szCs w:val="32"/>
          <w:lang w:val="zh-TW"/>
        </w:rPr>
        <w:t>，如金融租赁公司等。</w:t>
      </w:r>
      <w:r>
        <w:rPr>
          <w:rFonts w:ascii="Times New Roman" w:hAnsi="Times New Roman"/>
          <w:spacing w:val="-1"/>
          <w:sz w:val="32"/>
          <w:szCs w:val="32"/>
          <w:lang w:val="zh-TW" w:eastAsia="zh-TW"/>
        </w:rPr>
        <w:t>其中</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股权自由现金流量的计算可以参照如下公式：</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股权自由现金流量=净利润-权益增加额+其他综合</w:t>
      </w:r>
      <w:r>
        <w:rPr>
          <w:rFonts w:hint="eastAsia" w:ascii="Times New Roman" w:hAnsi="Times New Roman"/>
          <w:spacing w:val="-1"/>
          <w:sz w:val="32"/>
          <w:szCs w:val="32"/>
          <w:lang w:val="zh-TW"/>
        </w:rPr>
        <w:t>收益</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净利润是由企业的收入减去支出决定的；</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权益增加额与资本性支出和</w:t>
      </w:r>
      <w:r>
        <w:rPr>
          <w:rFonts w:hint="eastAsia" w:ascii="Times New Roman" w:hAnsi="Times New Roman"/>
          <w:spacing w:val="-1"/>
          <w:sz w:val="32"/>
          <w:szCs w:val="32"/>
          <w:lang w:val="zh-TW"/>
        </w:rPr>
        <w:t>净流动资金增加额</w:t>
      </w:r>
      <w:r>
        <w:rPr>
          <w:rFonts w:ascii="Times New Roman" w:hAnsi="Times New Roman"/>
          <w:spacing w:val="-1"/>
          <w:sz w:val="32"/>
          <w:szCs w:val="32"/>
          <w:lang w:val="zh-TW" w:eastAsia="zh-TW"/>
        </w:rPr>
        <w:t>之间存在差异，概念不应混同。</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权益增加额应通过所有者权益科目的变化进行预测。</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其他综合收益，是指企业根据《</w:t>
      </w:r>
      <w:r>
        <w:rPr>
          <w:rFonts w:hint="eastAsia" w:ascii="Times New Roman" w:hAnsi="Times New Roman"/>
          <w:spacing w:val="-1"/>
          <w:sz w:val="32"/>
          <w:szCs w:val="32"/>
          <w:lang w:val="zh-TW" w:eastAsia="zh-CN"/>
        </w:rPr>
        <w:t>企业</w:t>
      </w:r>
      <w:r>
        <w:rPr>
          <w:rFonts w:hint="eastAsia" w:ascii="Times New Roman" w:hAnsi="Times New Roman"/>
          <w:spacing w:val="-1"/>
          <w:sz w:val="32"/>
          <w:szCs w:val="32"/>
          <w:lang w:val="zh-TW"/>
        </w:rPr>
        <w:t>会计准则第30号——财务报表列报》的要求，列示在利润表中的其他综合收益，是指根据其他会计准则规定未在当期损益中确认的各项利得和损失（《</w:t>
      </w:r>
      <w:r>
        <w:rPr>
          <w:rFonts w:hint="eastAsia" w:ascii="Times New Roman" w:hAnsi="Times New Roman"/>
          <w:spacing w:val="-1"/>
          <w:sz w:val="32"/>
          <w:szCs w:val="32"/>
          <w:lang w:val="zh-TW" w:eastAsia="zh-CN"/>
        </w:rPr>
        <w:t>企业</w:t>
      </w:r>
      <w:r>
        <w:rPr>
          <w:rFonts w:hint="eastAsia" w:ascii="Times New Roman" w:hAnsi="Times New Roman"/>
          <w:spacing w:val="-1"/>
          <w:sz w:val="32"/>
          <w:szCs w:val="32"/>
          <w:lang w:val="zh-TW"/>
        </w:rPr>
        <w:t>会计准则第30号——财务报表列报》第33条。）。</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企业自由现金流量的计算公式可以参照如下公式：</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企业自由现金流量=息前税后净利润+折旧、摊销-资本性支出-净流动资金增加额</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 xml:space="preserve"> 资本性支出是指企业用来购买、改善、扩张固定资产等用途的支出；</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净流动资金增加额是指为营运准备的现金，一般定义为流动资产减去流动负债。</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第六条  根据评估对象的周期</w:t>
      </w:r>
      <w:r>
        <w:rPr>
          <w:rFonts w:ascii="Times New Roman" w:hAnsi="Times New Roman"/>
          <w:spacing w:val="-1"/>
          <w:sz w:val="32"/>
          <w:szCs w:val="32"/>
          <w:lang w:val="zh-TW"/>
        </w:rPr>
        <w:t>性</w:t>
      </w:r>
      <w:r>
        <w:rPr>
          <w:rFonts w:ascii="Times New Roman" w:hAnsi="Times New Roman"/>
          <w:spacing w:val="-1"/>
          <w:sz w:val="32"/>
          <w:szCs w:val="32"/>
          <w:lang w:val="zh-TW" w:eastAsia="zh-TW"/>
        </w:rPr>
        <w:t>特点，采用两阶段</w:t>
      </w:r>
      <w:r>
        <w:rPr>
          <w:rFonts w:ascii="Times New Roman" w:hAnsi="Times New Roman"/>
          <w:spacing w:val="-1"/>
          <w:sz w:val="32"/>
          <w:szCs w:val="32"/>
          <w:lang w:val="zh-TW"/>
        </w:rPr>
        <w:t>、</w:t>
      </w:r>
      <w:r>
        <w:rPr>
          <w:rFonts w:ascii="Times New Roman" w:hAnsi="Times New Roman"/>
          <w:spacing w:val="-1"/>
          <w:sz w:val="32"/>
          <w:szCs w:val="32"/>
          <w:lang w:val="zh-TW" w:eastAsia="zh-TW"/>
        </w:rPr>
        <w:t>三阶段或其他评估模型，报告中应说明采用模型的理由。</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可以通过长期监测并计算利润波动幅度的变异系数来判断行业的周期性，进而客观、科学地预测企业未来的收益和风险。</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七</w:t>
      </w:r>
      <w:r>
        <w:rPr>
          <w:rFonts w:ascii="Times New Roman" w:hAnsi="Times New Roman"/>
          <w:spacing w:val="-1"/>
          <w:sz w:val="32"/>
          <w:szCs w:val="32"/>
          <w:lang w:val="zh-TW" w:eastAsia="zh-TW"/>
        </w:rPr>
        <w:t>条  企业持续经营中，待企业达到正常稳定经营后，评估模型可以考虑永续期间的价值，永续模型可以采用永续不增长模型或永续增长模型。若采用永续增长模型，则应在折现率中适当体现</w:t>
      </w:r>
      <w:r>
        <w:rPr>
          <w:rFonts w:hint="eastAsia" w:ascii="Times New Roman" w:hAnsi="Times New Roman"/>
          <w:spacing w:val="-1"/>
          <w:sz w:val="32"/>
          <w:szCs w:val="32"/>
          <w:lang w:val="zh-TW"/>
        </w:rPr>
        <w:t>永续</w:t>
      </w:r>
      <w:r>
        <w:rPr>
          <w:rFonts w:ascii="Times New Roman" w:hAnsi="Times New Roman"/>
          <w:spacing w:val="-1"/>
          <w:sz w:val="32"/>
          <w:szCs w:val="32"/>
          <w:lang w:val="zh-TW" w:eastAsia="zh-TW"/>
        </w:rPr>
        <w:t>增长的要求。</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在采用永续增长模型中，增长率应根据企业的留存收益率和股利分配率合理确定。</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在永续增长阶段通常不考虑通货膨胀率。</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八</w:t>
      </w:r>
      <w:r>
        <w:rPr>
          <w:rFonts w:ascii="Times New Roman" w:hAnsi="Times New Roman"/>
          <w:spacing w:val="-1"/>
          <w:sz w:val="32"/>
          <w:szCs w:val="32"/>
          <w:lang w:val="zh-TW" w:eastAsia="zh-TW"/>
        </w:rPr>
        <w:t>条  金融企业非控股性产权变动业务中，可以采用股利折现模型</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股利折现模型亦可以采用增长模式，增长率应根据企业的留存收益率和股利分配率合理确定。</w:t>
      </w: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三、金融企业收入等项目的预测思路</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w:t>
      </w:r>
      <w:r>
        <w:rPr>
          <w:rFonts w:hint="eastAsia" w:ascii="Times New Roman" w:hAnsi="Times New Roman"/>
          <w:spacing w:val="-1"/>
          <w:sz w:val="32"/>
          <w:szCs w:val="32"/>
          <w:lang w:val="zh-TW"/>
        </w:rPr>
        <w:t>九</w:t>
      </w:r>
      <w:r>
        <w:rPr>
          <w:rFonts w:ascii="Times New Roman" w:hAnsi="Times New Roman"/>
          <w:spacing w:val="-1"/>
          <w:sz w:val="32"/>
          <w:szCs w:val="32"/>
          <w:lang w:val="zh-TW" w:eastAsia="zh-TW"/>
        </w:rPr>
        <w:t>条  金融企业收益法评估中，宜按照先预测资产负债表</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根据负债情况</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资金来源</w:t>
      </w:r>
      <w:r>
        <w:rPr>
          <w:rFonts w:hint="eastAsia" w:ascii="Times New Roman" w:hAnsi="Times New Roman"/>
          <w:spacing w:val="-1"/>
          <w:sz w:val="32"/>
          <w:szCs w:val="32"/>
          <w:lang w:val="zh-TW"/>
        </w:rPr>
        <w:t>）安排</w:t>
      </w:r>
      <w:r>
        <w:rPr>
          <w:rFonts w:ascii="Times New Roman" w:hAnsi="Times New Roman"/>
          <w:spacing w:val="-1"/>
          <w:sz w:val="32"/>
          <w:szCs w:val="32"/>
          <w:lang w:val="zh-TW" w:eastAsia="zh-TW"/>
        </w:rPr>
        <w:t>资金使用</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然后根据资产配置</w:t>
      </w:r>
      <w:r>
        <w:rPr>
          <w:rFonts w:hint="eastAsia" w:ascii="Times New Roman" w:hAnsi="Times New Roman"/>
          <w:spacing w:val="-1"/>
          <w:sz w:val="32"/>
          <w:szCs w:val="32"/>
          <w:lang w:val="zh-TW"/>
        </w:rPr>
        <w:t>预测</w:t>
      </w:r>
      <w:r>
        <w:rPr>
          <w:rFonts w:ascii="Times New Roman" w:hAnsi="Times New Roman"/>
          <w:spacing w:val="-1"/>
          <w:sz w:val="32"/>
          <w:szCs w:val="32"/>
          <w:lang w:val="zh-TW" w:eastAsia="zh-TW"/>
        </w:rPr>
        <w:t>资金产出即企业收益</w:t>
      </w:r>
      <w:r>
        <w:rPr>
          <w:rFonts w:hint="eastAsia" w:ascii="Times New Roman" w:hAnsi="Times New Roman"/>
          <w:spacing w:val="-1"/>
          <w:sz w:val="32"/>
          <w:szCs w:val="32"/>
          <w:lang w:val="zh-TW"/>
        </w:rPr>
        <w:t>和</w:t>
      </w:r>
      <w:r>
        <w:rPr>
          <w:rFonts w:ascii="Times New Roman" w:hAnsi="Times New Roman"/>
          <w:spacing w:val="-1"/>
          <w:sz w:val="32"/>
          <w:szCs w:val="32"/>
          <w:lang w:val="zh-TW" w:eastAsia="zh-TW"/>
        </w:rPr>
        <w:t>资金耗费，具体操作是：先预测未来的资产负债表</w:t>
      </w:r>
      <w:r>
        <w:rPr>
          <w:rFonts w:hint="eastAsia" w:ascii="Times New Roman" w:hAnsi="Times New Roman"/>
          <w:spacing w:val="-1"/>
          <w:sz w:val="32"/>
          <w:szCs w:val="32"/>
          <w:lang w:val="zh-TW"/>
        </w:rPr>
        <w:t>（参见案例一）</w:t>
      </w:r>
      <w:r>
        <w:rPr>
          <w:rFonts w:ascii="Times New Roman" w:hAnsi="Times New Roman"/>
          <w:spacing w:val="-1"/>
          <w:sz w:val="32"/>
          <w:szCs w:val="32"/>
          <w:lang w:val="zh-TW" w:eastAsia="zh-TW"/>
        </w:rPr>
        <w:t>，再根据资产配置情况预测收益、成本和费用，同时应编制所有者权益变动表</w:t>
      </w:r>
      <w:r>
        <w:rPr>
          <w:rFonts w:hint="eastAsia" w:ascii="Times New Roman" w:hAnsi="Times New Roman"/>
          <w:spacing w:val="-1"/>
          <w:sz w:val="32"/>
          <w:szCs w:val="32"/>
          <w:lang w:val="zh-TW"/>
        </w:rPr>
        <w:t>（参见案例二）</w:t>
      </w:r>
      <w:r>
        <w:rPr>
          <w:rFonts w:ascii="Times New Roman" w:hAnsi="Times New Roman"/>
          <w:spacing w:val="-1"/>
          <w:sz w:val="32"/>
          <w:szCs w:val="32"/>
          <w:lang w:val="zh-TW" w:eastAsia="zh-TW"/>
        </w:rPr>
        <w:t>。</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第十条  收入预测中应根据企业的业务类型，细分收入构成项目，其中：</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（一）</w:t>
      </w:r>
      <w:r>
        <w:rPr>
          <w:rFonts w:ascii="Times New Roman" w:hAnsi="Times New Roman"/>
          <w:spacing w:val="-1"/>
          <w:sz w:val="32"/>
          <w:szCs w:val="32"/>
          <w:lang w:val="zh-TW" w:eastAsia="zh-TW"/>
        </w:rPr>
        <w:t>银行收入包括利息收入、手续费收入、投资收益和其他业务收入等</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利息收入和支出预测中宜根据银行的贷款结构和确定的利率标准计算</w:t>
      </w:r>
      <w:r>
        <w:rPr>
          <w:rFonts w:hint="eastAsia" w:ascii="Times New Roman" w:hAnsi="Times New Roman"/>
          <w:spacing w:val="-1"/>
          <w:sz w:val="32"/>
          <w:szCs w:val="32"/>
          <w:lang w:val="zh-TW"/>
        </w:rPr>
        <w:t>利息</w:t>
      </w:r>
      <w:r>
        <w:rPr>
          <w:rFonts w:ascii="Times New Roman" w:hAnsi="Times New Roman"/>
          <w:spacing w:val="-1"/>
          <w:sz w:val="32"/>
          <w:szCs w:val="32"/>
          <w:lang w:val="zh-TW" w:eastAsia="zh-TW"/>
        </w:rPr>
        <w:t>收入和利息支出</w:t>
      </w:r>
      <w:r>
        <w:rPr>
          <w:rFonts w:ascii="Times New Roman" w:hAnsi="Times New Roman"/>
          <w:spacing w:val="-1"/>
          <w:sz w:val="32"/>
          <w:szCs w:val="32"/>
          <w:lang w:val="zh-TW"/>
        </w:rPr>
        <w:t>，</w:t>
      </w:r>
      <w:r>
        <w:rPr>
          <w:rFonts w:ascii="Times New Roman" w:hAnsi="Times New Roman"/>
          <w:spacing w:val="-1"/>
          <w:sz w:val="32"/>
          <w:szCs w:val="32"/>
          <w:lang w:val="zh-TW" w:eastAsia="zh-TW"/>
        </w:rPr>
        <w:t>应特别关注评估基准日后到评估报告出具日之间利率调整事项</w:t>
      </w:r>
      <w:r>
        <w:rPr>
          <w:rFonts w:ascii="Times New Roman" w:hAnsi="Times New Roman"/>
          <w:spacing w:val="-1"/>
          <w:sz w:val="32"/>
          <w:szCs w:val="32"/>
          <w:lang w:val="zh-TW"/>
        </w:rPr>
        <w:t>，</w:t>
      </w:r>
      <w:r>
        <w:rPr>
          <w:rFonts w:ascii="Times New Roman" w:hAnsi="Times New Roman"/>
          <w:spacing w:val="-1"/>
          <w:sz w:val="32"/>
          <w:szCs w:val="32"/>
          <w:lang w:val="zh-TW" w:eastAsia="zh-TW"/>
        </w:rPr>
        <w:t>并酌情考虑该调整事项对未来预测期</w:t>
      </w:r>
      <w:r>
        <w:rPr>
          <w:rFonts w:ascii="Times New Roman" w:hAnsi="Times New Roman"/>
          <w:spacing w:val="-1"/>
          <w:sz w:val="32"/>
          <w:szCs w:val="32"/>
          <w:lang w:val="zh-TW"/>
        </w:rPr>
        <w:t>的</w:t>
      </w:r>
      <w:r>
        <w:rPr>
          <w:rFonts w:ascii="Times New Roman" w:hAnsi="Times New Roman"/>
          <w:spacing w:val="-1"/>
          <w:sz w:val="32"/>
          <w:szCs w:val="32"/>
          <w:lang w:val="zh-TW" w:eastAsia="zh-TW"/>
        </w:rPr>
        <w:t>影响</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手续费收入应根据银行提供服务的项目类型和收费标准以及客户数量综合确定（参见案例</w:t>
      </w:r>
      <w:r>
        <w:rPr>
          <w:rFonts w:hint="eastAsia" w:ascii="Times New Roman" w:hAnsi="Times New Roman"/>
          <w:spacing w:val="-1"/>
          <w:sz w:val="32"/>
          <w:szCs w:val="32"/>
          <w:lang w:val="zh-TW"/>
        </w:rPr>
        <w:t>三</w:t>
      </w:r>
      <w:r>
        <w:rPr>
          <w:rFonts w:ascii="Times New Roman" w:hAnsi="Times New Roman"/>
          <w:spacing w:val="-1"/>
          <w:sz w:val="32"/>
          <w:szCs w:val="32"/>
          <w:lang w:val="zh-TW"/>
        </w:rPr>
        <w:t>）</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（二）</w:t>
      </w:r>
      <w:r>
        <w:rPr>
          <w:rFonts w:ascii="Times New Roman" w:hAnsi="Times New Roman"/>
          <w:spacing w:val="-1"/>
          <w:sz w:val="32"/>
          <w:szCs w:val="32"/>
          <w:lang w:val="zh-TW" w:eastAsia="zh-TW"/>
        </w:rPr>
        <w:t>证券公司收入包括手续费及佣金收入、证券承销业务收入、代理买卖证券业务收入、利息收入、投资收益及其他业务收入等</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手续费及佣金收入主要来源于证券公司的经纪业务，预测中应考虑企业的佣金费率和客户数量以及市场交易量等综合测算（参见案例</w:t>
      </w:r>
      <w:r>
        <w:rPr>
          <w:rFonts w:hint="eastAsia" w:ascii="Times New Roman" w:hAnsi="Times New Roman"/>
          <w:spacing w:val="-1"/>
          <w:sz w:val="32"/>
          <w:szCs w:val="32"/>
          <w:lang w:val="zh-TW"/>
        </w:rPr>
        <w:t>四</w:t>
      </w:r>
      <w:r>
        <w:rPr>
          <w:rFonts w:ascii="Times New Roman" w:hAnsi="Times New Roman"/>
          <w:spacing w:val="-1"/>
          <w:sz w:val="32"/>
          <w:szCs w:val="32"/>
          <w:lang w:val="zh-TW"/>
        </w:rPr>
        <w:t>）</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证券承销收入应根据证券公司的投资银行客户数量</w:t>
      </w:r>
      <w:r>
        <w:rPr>
          <w:rFonts w:ascii="Times New Roman" w:hAnsi="Times New Roman"/>
          <w:spacing w:val="-1"/>
          <w:sz w:val="32"/>
          <w:szCs w:val="32"/>
          <w:lang w:val="zh-TW"/>
        </w:rPr>
        <w:t>、</w:t>
      </w:r>
      <w:r>
        <w:rPr>
          <w:rFonts w:ascii="Times New Roman" w:hAnsi="Times New Roman"/>
          <w:spacing w:val="-1"/>
          <w:sz w:val="32"/>
          <w:szCs w:val="32"/>
          <w:lang w:val="zh-TW" w:eastAsia="zh-TW"/>
        </w:rPr>
        <w:t>承销费率</w:t>
      </w:r>
      <w:r>
        <w:rPr>
          <w:rFonts w:ascii="Times New Roman" w:hAnsi="Times New Roman"/>
          <w:spacing w:val="-1"/>
          <w:sz w:val="32"/>
          <w:szCs w:val="32"/>
          <w:lang w:val="zh-TW"/>
        </w:rPr>
        <w:t>，按照权责发生制预测。</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（三）保险</w:t>
      </w:r>
      <w:r>
        <w:rPr>
          <w:rFonts w:ascii="Times New Roman" w:hAnsi="Times New Roman"/>
          <w:spacing w:val="-1"/>
          <w:sz w:val="32"/>
          <w:szCs w:val="32"/>
          <w:lang w:val="zh-TW" w:eastAsia="zh-TW"/>
        </w:rPr>
        <w:t>公司收入包括已赚保费、分出保费、提取未到期责任准备金、投资收益和其他业务收入等</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已赚保费=保险业务收入</w:t>
      </w:r>
      <w:r>
        <w:rPr>
          <w:rFonts w:hint="eastAsia" w:ascii="Times New Roman" w:hAnsi="Times New Roman"/>
          <w:spacing w:val="-1"/>
          <w:sz w:val="32"/>
          <w:szCs w:val="32"/>
        </w:rPr>
        <w:t>-</w:t>
      </w:r>
      <w:r>
        <w:rPr>
          <w:rFonts w:ascii="Times New Roman" w:hAnsi="Times New Roman"/>
          <w:spacing w:val="-1"/>
          <w:sz w:val="32"/>
          <w:szCs w:val="32"/>
          <w:lang w:val="zh-TW"/>
        </w:rPr>
        <w:t>分出保费</w:t>
      </w:r>
      <w:r>
        <w:rPr>
          <w:rFonts w:hint="eastAsia" w:ascii="Times New Roman" w:hAnsi="Times New Roman"/>
          <w:spacing w:val="-1"/>
          <w:sz w:val="32"/>
          <w:szCs w:val="32"/>
          <w:lang w:val="zh-TW"/>
        </w:rPr>
        <w:t>-</w:t>
      </w:r>
      <w:r>
        <w:rPr>
          <w:rFonts w:ascii="Times New Roman" w:hAnsi="Times New Roman"/>
          <w:spacing w:val="-1"/>
          <w:sz w:val="32"/>
          <w:szCs w:val="32"/>
          <w:lang w:val="zh-TW"/>
        </w:rPr>
        <w:t>提取未到期责任准备金</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其中：保险业务收入由新业务期缴保费收入、新业务趸缴保费收入、续年期缴保费收入构成。新业务期缴/趸缴保费收入</w:t>
      </w:r>
      <w:r>
        <w:rPr>
          <w:rFonts w:ascii="Times New Roman" w:hAnsi="Times New Roman"/>
          <w:spacing w:val="-1"/>
          <w:sz w:val="32"/>
          <w:szCs w:val="32"/>
          <w:lang w:val="zh-TW" w:eastAsia="zh-TW"/>
        </w:rPr>
        <w:t>根据国民经济的整体发展和保险深度的加强，对未来市场进行预测，得出不同产品的保险业务收入</w:t>
      </w:r>
      <w:r>
        <w:rPr>
          <w:rFonts w:ascii="Times New Roman" w:hAnsi="Times New Roman"/>
          <w:spacing w:val="-1"/>
          <w:sz w:val="32"/>
          <w:szCs w:val="32"/>
          <w:lang w:val="zh-TW"/>
        </w:rPr>
        <w:t>，</w:t>
      </w:r>
      <w:r>
        <w:rPr>
          <w:rFonts w:ascii="Times New Roman" w:hAnsi="Times New Roman"/>
          <w:spacing w:val="-1"/>
          <w:sz w:val="32"/>
          <w:szCs w:val="32"/>
          <w:lang w:val="zh-TW" w:eastAsia="zh-TW"/>
        </w:rPr>
        <w:t>也</w:t>
      </w:r>
      <w:r>
        <w:rPr>
          <w:rFonts w:ascii="Times New Roman" w:hAnsi="Times New Roman"/>
          <w:spacing w:val="-1"/>
          <w:sz w:val="32"/>
          <w:szCs w:val="32"/>
          <w:lang w:val="zh-TW"/>
        </w:rPr>
        <w:t>可以根据保险公司的渠道销售能力，通过对年化新业务保费（ANP）增长率进行预测；续年期缴的保费收入可以根据基准日有效保单在未来产生的保费收入进行预测。</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分出保费是保险公司为了控制风险、提高偿付能力充足率，将部分风险向再保险公司分出而产生的。根据保险公司对分出保费的核算方法，选择比例计算分出保费或者非比例计算分出保费。</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 xml:space="preserve">未到期责任准备金是指公司一年以内的财产险、意外伤害险、健康险业务按规定从本期保险责任尚未到期，应属于下一年度的部分保险费中提取出来形成的准备金。 </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寿险公司准备金的预测除根据现行的监管文件预测外，可以借助于保险公司的精算软件</w:t>
      </w:r>
      <w:r>
        <w:rPr>
          <w:rFonts w:ascii="Times New Roman" w:hAnsi="Times New Roman"/>
          <w:spacing w:val="-1"/>
          <w:sz w:val="32"/>
          <w:szCs w:val="32"/>
          <w:lang w:val="zh-TW"/>
        </w:rPr>
        <w:t>（参见案例</w:t>
      </w:r>
      <w:r>
        <w:rPr>
          <w:rFonts w:hint="eastAsia" w:ascii="Times New Roman" w:hAnsi="Times New Roman"/>
          <w:spacing w:val="-1"/>
          <w:sz w:val="32"/>
          <w:szCs w:val="32"/>
          <w:lang w:val="zh-TW"/>
        </w:rPr>
        <w:t>五</w:t>
      </w:r>
      <w:r>
        <w:rPr>
          <w:rFonts w:ascii="Times New Roman" w:hAnsi="Times New Roman"/>
          <w:spacing w:val="-1"/>
          <w:sz w:val="32"/>
          <w:szCs w:val="32"/>
          <w:lang w:val="zh-TW"/>
        </w:rPr>
        <w:t>）</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（四）</w:t>
      </w:r>
      <w:r>
        <w:rPr>
          <w:rFonts w:ascii="Times New Roman" w:hAnsi="Times New Roman"/>
          <w:spacing w:val="-1"/>
          <w:sz w:val="32"/>
          <w:szCs w:val="32"/>
          <w:lang w:val="zh-TW" w:eastAsia="zh-TW"/>
        </w:rPr>
        <w:t>信托公司收入包括手续费及佣金收入、投资收益和其他业务收入等。</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手续费及佣金收入应根据信托公司在信托业务</w:t>
      </w:r>
      <w:r>
        <w:rPr>
          <w:rFonts w:ascii="Times New Roman" w:hAnsi="Times New Roman"/>
          <w:spacing w:val="-1"/>
          <w:sz w:val="32"/>
          <w:szCs w:val="32"/>
          <w:lang w:val="zh-TW"/>
        </w:rPr>
        <w:t>中</w:t>
      </w:r>
      <w:r>
        <w:rPr>
          <w:rFonts w:ascii="Times New Roman" w:hAnsi="Times New Roman"/>
          <w:spacing w:val="-1"/>
          <w:sz w:val="32"/>
          <w:szCs w:val="32"/>
          <w:lang w:val="zh-TW" w:eastAsia="zh-TW"/>
        </w:rPr>
        <w:t>发挥的作用</w:t>
      </w:r>
      <w:r>
        <w:rPr>
          <w:rFonts w:ascii="Times New Roman" w:hAnsi="Times New Roman"/>
          <w:spacing w:val="-1"/>
          <w:sz w:val="32"/>
          <w:szCs w:val="32"/>
          <w:lang w:val="zh-TW"/>
        </w:rPr>
        <w:t>、</w:t>
      </w:r>
      <w:r>
        <w:rPr>
          <w:rFonts w:ascii="Times New Roman" w:hAnsi="Times New Roman"/>
          <w:spacing w:val="-1"/>
          <w:sz w:val="32"/>
          <w:szCs w:val="32"/>
          <w:lang w:val="zh-TW" w:eastAsia="zh-TW"/>
        </w:rPr>
        <w:t>提供的服务和信托产品的创新能力等综合判断</w:t>
      </w:r>
      <w:r>
        <w:rPr>
          <w:rFonts w:ascii="Times New Roman" w:hAnsi="Times New Roman"/>
          <w:spacing w:val="-1"/>
          <w:sz w:val="32"/>
          <w:szCs w:val="32"/>
          <w:lang w:val="zh-TW"/>
        </w:rPr>
        <w:t>，宜</w:t>
      </w:r>
      <w:r>
        <w:rPr>
          <w:rFonts w:ascii="Times New Roman" w:hAnsi="Times New Roman"/>
          <w:spacing w:val="-1"/>
          <w:sz w:val="32"/>
          <w:szCs w:val="32"/>
          <w:lang w:val="zh-TW" w:eastAsia="zh-TW"/>
        </w:rPr>
        <w:t>通过合理预测信托资产规模和信托手续费费率，其中信托手续费率宜采用评估对象本身的费率</w:t>
      </w:r>
      <w:r>
        <w:rPr>
          <w:rFonts w:ascii="Times New Roman" w:hAnsi="Times New Roman"/>
          <w:spacing w:val="-1"/>
          <w:sz w:val="32"/>
          <w:szCs w:val="32"/>
          <w:lang w:val="zh-TW"/>
        </w:rPr>
        <w:t>（参见案例</w:t>
      </w:r>
      <w:r>
        <w:rPr>
          <w:rFonts w:hint="eastAsia" w:ascii="Times New Roman" w:hAnsi="Times New Roman"/>
          <w:spacing w:val="-1"/>
          <w:sz w:val="32"/>
          <w:szCs w:val="32"/>
          <w:lang w:val="zh-TW"/>
        </w:rPr>
        <w:t>六</w:t>
      </w:r>
      <w:r>
        <w:rPr>
          <w:rFonts w:ascii="Times New Roman" w:hAnsi="Times New Roman"/>
          <w:spacing w:val="-1"/>
          <w:sz w:val="32"/>
          <w:szCs w:val="32"/>
          <w:lang w:val="zh-TW"/>
        </w:rPr>
        <w:t>）</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第十</w:t>
      </w:r>
      <w:r>
        <w:rPr>
          <w:rFonts w:hint="eastAsia" w:ascii="Times New Roman" w:hAnsi="Times New Roman"/>
          <w:spacing w:val="-1"/>
          <w:sz w:val="32"/>
          <w:szCs w:val="32"/>
          <w:lang w:val="zh-TW"/>
        </w:rPr>
        <w:t>一</w:t>
      </w:r>
      <w:r>
        <w:rPr>
          <w:rFonts w:ascii="Times New Roman" w:hAnsi="Times New Roman"/>
          <w:spacing w:val="-1"/>
          <w:sz w:val="32"/>
          <w:szCs w:val="32"/>
          <w:lang w:val="zh-TW" w:eastAsia="zh-TW"/>
        </w:rPr>
        <w:t>条  金融企业的投资收益的预测宜根据资产配置规模和期望报酬率合理预测，其中投资收益的期望报酬率应注意与折现率中采用的股东期望报酬率之间的匹配关系。</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第十</w:t>
      </w:r>
      <w:r>
        <w:rPr>
          <w:rFonts w:hint="eastAsia" w:ascii="Times New Roman" w:hAnsi="Times New Roman"/>
          <w:spacing w:val="-1"/>
          <w:sz w:val="32"/>
          <w:szCs w:val="32"/>
          <w:lang w:val="zh-TW"/>
        </w:rPr>
        <w:t>二</w:t>
      </w:r>
      <w:r>
        <w:rPr>
          <w:rFonts w:ascii="Times New Roman" w:hAnsi="Times New Roman"/>
          <w:spacing w:val="-1"/>
          <w:sz w:val="32"/>
          <w:szCs w:val="32"/>
          <w:lang w:val="zh-TW" w:eastAsia="zh-TW"/>
        </w:rPr>
        <w:t>条  金融企业的营业费用预测中，应考虑随着营业收入带来的费用必然增长。</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在费用预测中，可以根据企业的核算特点，分别固定性费用和变动性费用测算，其中人员费用应注意到人员数量与人均工资薪酬的匹配。同时应知悉同行业的平均水平。</w:t>
      </w:r>
      <w:r>
        <w:rPr>
          <w:rFonts w:ascii="Times New Roman" w:hAnsi="Times New Roman"/>
          <w:spacing w:val="-1"/>
          <w:sz w:val="32"/>
          <w:szCs w:val="32"/>
          <w:lang w:val="zh-TW"/>
        </w:rPr>
        <w:t>（参见案例</w:t>
      </w:r>
      <w:r>
        <w:rPr>
          <w:rFonts w:hint="eastAsia" w:ascii="Times New Roman" w:hAnsi="Times New Roman"/>
          <w:spacing w:val="-1"/>
          <w:sz w:val="32"/>
          <w:szCs w:val="32"/>
          <w:lang w:val="zh-TW"/>
        </w:rPr>
        <w:t>七</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第十</w:t>
      </w:r>
      <w:r>
        <w:rPr>
          <w:rFonts w:hint="eastAsia" w:ascii="Times New Roman" w:hAnsi="Times New Roman"/>
          <w:spacing w:val="-1"/>
          <w:sz w:val="32"/>
          <w:szCs w:val="32"/>
          <w:lang w:val="zh-TW"/>
        </w:rPr>
        <w:t>三</w:t>
      </w:r>
      <w:r>
        <w:rPr>
          <w:rFonts w:ascii="Times New Roman" w:hAnsi="Times New Roman"/>
          <w:spacing w:val="-1"/>
          <w:sz w:val="32"/>
          <w:szCs w:val="32"/>
          <w:lang w:val="zh-TW" w:eastAsia="zh-TW"/>
        </w:rPr>
        <w:t>条  金融企业的资本性支出科目的预测应根据行业监管的要求逐年测算，特别注意监管中对于净资本的要求。如：根据银行业监督管理部门对银行的资本充足率的要求，预测银行的资本、净资本，并转化为净资产，体现在预测的资产负债表中。</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第十</w:t>
      </w:r>
      <w:r>
        <w:rPr>
          <w:rFonts w:hint="eastAsia" w:ascii="Times New Roman" w:hAnsi="Times New Roman"/>
          <w:spacing w:val="-1"/>
          <w:sz w:val="32"/>
          <w:szCs w:val="32"/>
          <w:lang w:val="zh-TW"/>
        </w:rPr>
        <w:t>四</w:t>
      </w:r>
      <w:r>
        <w:rPr>
          <w:rFonts w:ascii="Times New Roman" w:hAnsi="Times New Roman"/>
          <w:spacing w:val="-1"/>
          <w:sz w:val="32"/>
          <w:szCs w:val="32"/>
          <w:lang w:val="zh-TW" w:eastAsia="zh-TW"/>
        </w:rPr>
        <w:t>条  在金融控股公司的评估中，有两种思路可供选择。</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第一种思路：以母公司报表为基础评估金融控股公司价值</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在这种模式下，金融控股公司总部为管理性总部，为费用中心，发挥控股内部资源配置的作用。各子公司在总部的管理下根据业务范围独立经营，在收益法评估中，可以对金融控股企业母公司及各长投板块分别采用相应的收益法评估模型进行评估，将各长投板块评估值作为溢余资产加回。</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各长投板块评估模型的参数确定参照以上</w:t>
      </w:r>
      <w:r>
        <w:rPr>
          <w:rFonts w:hint="eastAsia" w:ascii="Times New Roman" w:hAnsi="Times New Roman"/>
          <w:spacing w:val="-1"/>
          <w:sz w:val="32"/>
          <w:szCs w:val="32"/>
          <w:lang w:val="zh-TW"/>
        </w:rPr>
        <w:t>相关</w:t>
      </w:r>
      <w:r>
        <w:rPr>
          <w:rFonts w:ascii="Times New Roman" w:hAnsi="Times New Roman"/>
          <w:spacing w:val="-1"/>
          <w:sz w:val="32"/>
          <w:szCs w:val="32"/>
          <w:lang w:val="zh-TW" w:eastAsia="zh-TW"/>
        </w:rPr>
        <w:t>内容介绍的方法进行。不同之处在于金融控股公司母公司的折现率，可参照各个板块所在行业上市公司的风险系数结合板块权重进行设定。权重的确定通常根据收入或者利润比重进行测算，不应以资产作为权重确定的依据。</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这种评估思路的优点是途径清晰，无需考虑剔除少数股东权益；缺点是金融控股企业各板块间的协同效应未能在估值中得到有效反映。</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第二种思路：以合并会计报表和分部报告为基础评估金融控股公司价值</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这种思路以金融控股企业合并利润表，分析合并口径的收入和成本构成，一般以合并审计报告中披露的分部报告信息作为预测基础，对各个板块业务类型逐一了解、分析，确定各个业务的收入和成本。这个过程和第一种思路中的途径近似。</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在管理费用和营业费用的预测中，需要就金融控股公司整体测算，考虑各个板块之间的协同性。</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这种评估思路的优点是能够在估值中反映板块间的协同效应。但是这种思路在操作中对于合并层面的所得税预测和少数股东损益的预测较为复杂。</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我国目前的所得税政策在很大程度上出现了与会计准则趋同的趋势，会计政策与所得税政策之间的时间性差异在会计准则下基本得到了解决，永久性差异未能得到解决，但是永久性差异对价值评估而言，比重较小，可以忽略不计。</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少数股东损益是按照各个子公司的公司章程规定，对利润分配形成的结果，由于金融控股公司对各专业公司持股比例可能存在差异，少数股东损益可以根据各公司盈利状况单独确定，加总确定少数股东损益</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也可以假设股利分配政策与评估基准日一致</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采取评估基准日</w:t>
      </w:r>
      <w:r>
        <w:rPr>
          <w:rFonts w:hint="eastAsia" w:ascii="Times New Roman" w:hAnsi="Times New Roman"/>
          <w:spacing w:val="-1"/>
          <w:sz w:val="32"/>
          <w:szCs w:val="32"/>
          <w:lang w:val="zh-TW"/>
        </w:rPr>
        <w:t>少数股东损益与净利润的比例进行简化处理，也可以采取其他适当的方式评估。</w:t>
      </w: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四、</w:t>
      </w:r>
      <w:r>
        <w:rPr>
          <w:rFonts w:hint="eastAsia" w:ascii="Times New Roman" w:hAnsi="Times New Roman"/>
          <w:b/>
          <w:spacing w:val="-1"/>
          <w:sz w:val="32"/>
          <w:szCs w:val="32"/>
          <w:lang w:val="zh-TW"/>
        </w:rPr>
        <w:t>折现率</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第十</w:t>
      </w:r>
      <w:r>
        <w:rPr>
          <w:rFonts w:hint="eastAsia" w:ascii="Times New Roman" w:hAnsi="Times New Roman"/>
          <w:spacing w:val="-1"/>
          <w:sz w:val="32"/>
          <w:szCs w:val="32"/>
          <w:lang w:val="zh-TW"/>
        </w:rPr>
        <w:t>五</w:t>
      </w:r>
      <w:r>
        <w:rPr>
          <w:rFonts w:ascii="Times New Roman" w:hAnsi="Times New Roman"/>
          <w:spacing w:val="-1"/>
          <w:sz w:val="32"/>
          <w:szCs w:val="32"/>
          <w:lang w:val="zh-TW" w:eastAsia="zh-TW"/>
        </w:rPr>
        <w:t>条  在股权自由现金流量折现模型中</w:t>
      </w:r>
      <w:r>
        <w:rPr>
          <w:rFonts w:hint="eastAsia" w:ascii="Times New Roman" w:hAnsi="Times New Roman"/>
          <w:spacing w:val="-1"/>
          <w:sz w:val="32"/>
          <w:szCs w:val="32"/>
          <w:lang w:val="zh-TW"/>
        </w:rPr>
        <w:t>，可以</w:t>
      </w:r>
      <w:r>
        <w:rPr>
          <w:rFonts w:ascii="Times New Roman" w:hAnsi="Times New Roman"/>
          <w:spacing w:val="-1"/>
          <w:sz w:val="32"/>
          <w:szCs w:val="32"/>
          <w:lang w:val="zh-TW" w:eastAsia="zh-TW"/>
        </w:rPr>
        <w:t>采用资本资产定价模型（CAPM）等确定折现率。</w:t>
      </w:r>
    </w:p>
    <w:p>
      <w:pPr>
        <w:spacing w:line="360" w:lineRule="auto"/>
        <w:ind w:firstLine="636" w:firstLineChars="200"/>
        <w:rPr>
          <w:rFonts w:ascii="Times New Roman" w:hAnsi="Times New Roman"/>
          <w:spacing w:val="-1"/>
          <w:sz w:val="32"/>
          <w:szCs w:val="32"/>
        </w:rPr>
      </w:pPr>
      <w:r>
        <w:rPr>
          <w:rFonts w:ascii="Times New Roman" w:hAnsi="Times New Roman"/>
          <w:spacing w:val="-1"/>
          <w:sz w:val="32"/>
          <w:szCs w:val="32"/>
        </w:rPr>
        <w:tab/>
      </w:r>
      <w:r>
        <w:rPr>
          <w:rFonts w:ascii="Times New Roman" w:hAnsi="Times New Roman" w:eastAsia="仿宋_GB2312" w:cs="Times New Roman"/>
          <w:spacing w:val="-1"/>
          <w:kern w:val="2"/>
          <w:sz w:val="32"/>
          <w:szCs w:val="32"/>
          <w:lang w:val="en-US" w:eastAsia="zh-CN" w:bidi="ar-SA"/>
        </w:rPr>
        <w:object>
          <v:shape id="Picture 1" type="#_x0000_t75" style="height:18.75pt;width:129pt;rotation:0f;" o:ole="t"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o:OLEObject Type="Embed" ProgID="Equation.3" ShapeID="Picture 1" DrawAspect="Content" ObjectID="_1" r:id="rId7"/>
        </w:object>
      </w:r>
      <w:r>
        <w:rPr>
          <w:rFonts w:ascii="Times New Roman" w:hAnsi="Times New Roman"/>
          <w:spacing w:val="-1"/>
          <w:sz w:val="32"/>
          <w:szCs w:val="32"/>
        </w:rPr>
        <w:tab/>
      </w:r>
      <w:r>
        <w:rPr>
          <w:rFonts w:ascii="Times New Roman" w:hAnsi="Times New Roman"/>
          <w:spacing w:val="-1"/>
          <w:sz w:val="32"/>
          <w:szCs w:val="32"/>
        </w:rPr>
        <w:t xml:space="preserve">                 </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式中：</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r</w:t>
      </w:r>
      <w:r>
        <w:rPr>
          <w:rFonts w:ascii="Times New Roman" w:hAnsi="Times New Roman"/>
          <w:spacing w:val="-1"/>
          <w:sz w:val="32"/>
          <w:szCs w:val="32"/>
          <w:vertAlign w:val="subscript"/>
          <w:lang w:val="zh-TW" w:eastAsia="zh-TW"/>
        </w:rPr>
        <w:t>f</w:t>
      </w:r>
      <w:r>
        <w:rPr>
          <w:rFonts w:ascii="Times New Roman" w:hAnsi="Times New Roman"/>
          <w:spacing w:val="-1"/>
          <w:sz w:val="32"/>
          <w:szCs w:val="32"/>
          <w:lang w:val="zh-TW" w:eastAsia="zh-TW"/>
        </w:rPr>
        <w:t>：无风险报酬率；</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r</w:t>
      </w:r>
      <w:r>
        <w:rPr>
          <w:rFonts w:ascii="Times New Roman" w:hAnsi="Times New Roman"/>
          <w:spacing w:val="-1"/>
          <w:sz w:val="32"/>
          <w:szCs w:val="32"/>
          <w:vertAlign w:val="subscript"/>
          <w:lang w:val="zh-TW" w:eastAsia="zh-TW"/>
        </w:rPr>
        <w:t>m</w:t>
      </w:r>
      <w:r>
        <w:rPr>
          <w:rFonts w:ascii="Times New Roman" w:hAnsi="Times New Roman"/>
          <w:spacing w:val="-1"/>
          <w:sz w:val="32"/>
          <w:szCs w:val="32"/>
          <w:lang w:val="zh-TW" w:eastAsia="zh-TW"/>
        </w:rPr>
        <w:t>：市场期望报酬率；</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β</w:t>
      </w:r>
      <w:r>
        <w:rPr>
          <w:rFonts w:ascii="Times New Roman" w:hAnsi="Times New Roman"/>
          <w:spacing w:val="-1"/>
          <w:sz w:val="32"/>
          <w:szCs w:val="32"/>
          <w:vertAlign w:val="subscript"/>
          <w:lang w:val="zh-TW" w:eastAsia="zh-TW"/>
        </w:rPr>
        <w:t>e</w:t>
      </w:r>
      <w:r>
        <w:rPr>
          <w:rFonts w:ascii="Times New Roman" w:hAnsi="Times New Roman"/>
          <w:spacing w:val="-1"/>
          <w:sz w:val="32"/>
          <w:szCs w:val="32"/>
          <w:lang w:val="zh-TW" w:eastAsia="zh-TW"/>
        </w:rPr>
        <w:t>：评估对象权益资本的预期市场风险系数；</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r</w:t>
      </w:r>
      <w:r>
        <w:rPr>
          <w:rFonts w:ascii="Times New Roman" w:hAnsi="Times New Roman"/>
          <w:spacing w:val="-1"/>
          <w:sz w:val="32"/>
          <w:szCs w:val="32"/>
          <w:vertAlign w:val="subscript"/>
          <w:lang w:val="zh-TW" w:eastAsia="zh-TW"/>
        </w:rPr>
        <w:t>m</w:t>
      </w:r>
      <w:r>
        <w:rPr>
          <w:rFonts w:ascii="Times New Roman" w:hAnsi="Times New Roman"/>
          <w:spacing w:val="-1"/>
          <w:sz w:val="32"/>
          <w:szCs w:val="32"/>
          <w:vertAlign w:val="subscript"/>
          <w:lang w:val="zh-TW"/>
        </w:rPr>
        <w:t>-</w:t>
      </w:r>
      <w:r>
        <w:rPr>
          <w:rFonts w:ascii="Times New Roman" w:hAnsi="Times New Roman"/>
          <w:spacing w:val="-1"/>
          <w:sz w:val="32"/>
          <w:szCs w:val="32"/>
          <w:lang w:val="zh-TW" w:eastAsia="zh-TW"/>
        </w:rPr>
        <w:t xml:space="preserve"> r</w:t>
      </w:r>
      <w:r>
        <w:rPr>
          <w:rFonts w:ascii="Times New Roman" w:hAnsi="Times New Roman"/>
          <w:spacing w:val="-1"/>
          <w:sz w:val="32"/>
          <w:szCs w:val="32"/>
          <w:vertAlign w:val="subscript"/>
          <w:lang w:val="zh-TW" w:eastAsia="zh-TW"/>
        </w:rPr>
        <w:t>f</w:t>
      </w:r>
      <w:r>
        <w:rPr>
          <w:rFonts w:ascii="Times New Roman" w:hAnsi="Times New Roman"/>
          <w:spacing w:val="-1"/>
          <w:sz w:val="32"/>
          <w:szCs w:val="32"/>
          <w:lang w:val="zh-TW"/>
        </w:rPr>
        <w:t>：</w:t>
      </w:r>
      <w:r>
        <w:rPr>
          <w:rFonts w:ascii="Times New Roman" w:hAnsi="Times New Roman"/>
          <w:spacing w:val="-1"/>
          <w:sz w:val="32"/>
          <w:szCs w:val="32"/>
          <w:lang w:val="zh-TW" w:eastAsia="zh-TW"/>
        </w:rPr>
        <w:t>股权风险溢价</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ε：评估对象特</w:t>
      </w:r>
      <w:r>
        <w:rPr>
          <w:rFonts w:ascii="Times New Roman" w:hAnsi="Times New Roman"/>
          <w:spacing w:val="-1"/>
          <w:sz w:val="32"/>
          <w:szCs w:val="32"/>
          <w:lang w:val="zh-TW"/>
        </w:rPr>
        <w:t>有</w:t>
      </w:r>
      <w:r>
        <w:rPr>
          <w:rFonts w:ascii="Times New Roman" w:hAnsi="Times New Roman"/>
          <w:spacing w:val="-1"/>
          <w:sz w:val="32"/>
          <w:szCs w:val="32"/>
          <w:lang w:val="zh-TW" w:eastAsia="zh-TW"/>
        </w:rPr>
        <w:t>风险调整系数。</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w:t>
      </w:r>
      <w:r>
        <w:rPr>
          <w:rFonts w:ascii="Times New Roman" w:hAnsi="Times New Roman"/>
          <w:spacing w:val="-1"/>
          <w:sz w:val="32"/>
          <w:szCs w:val="32"/>
          <w:lang w:val="zh-TW"/>
        </w:rPr>
        <w:t>十</w:t>
      </w:r>
      <w:r>
        <w:rPr>
          <w:rFonts w:hint="eastAsia" w:ascii="Times New Roman" w:hAnsi="Times New Roman"/>
          <w:spacing w:val="-1"/>
          <w:sz w:val="32"/>
          <w:szCs w:val="32"/>
          <w:lang w:val="zh-TW"/>
        </w:rPr>
        <w:t>六</w:t>
      </w:r>
      <w:r>
        <w:rPr>
          <w:rFonts w:ascii="Times New Roman" w:hAnsi="Times New Roman"/>
          <w:spacing w:val="-1"/>
          <w:sz w:val="32"/>
          <w:szCs w:val="32"/>
          <w:lang w:val="zh-TW" w:eastAsia="zh-TW"/>
        </w:rPr>
        <w:t>条  无风险报酬率应选择在距离评估基准日有效期在</w:t>
      </w:r>
      <w:r>
        <w:rPr>
          <w:rFonts w:ascii="Times New Roman" w:hAnsi="Times New Roman"/>
          <w:spacing w:val="-1"/>
          <w:sz w:val="32"/>
          <w:szCs w:val="32"/>
          <w:lang w:val="zh-TW"/>
        </w:rPr>
        <w:t>10年以上或者5年以上的国债</w:t>
      </w:r>
      <w:r>
        <w:rPr>
          <w:rFonts w:hint="eastAsia" w:ascii="Times New Roman" w:hAnsi="Times New Roman"/>
          <w:spacing w:val="-1"/>
          <w:sz w:val="32"/>
          <w:szCs w:val="32"/>
          <w:lang w:val="zh-TW"/>
        </w:rPr>
        <w:t>到期收益率</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rPr>
        <w:t>第十</w:t>
      </w:r>
      <w:r>
        <w:rPr>
          <w:rFonts w:hint="eastAsia" w:ascii="Times New Roman" w:hAnsi="Times New Roman"/>
          <w:spacing w:val="-1"/>
          <w:sz w:val="32"/>
          <w:szCs w:val="32"/>
          <w:lang w:val="zh-TW"/>
        </w:rPr>
        <w:t>七</w:t>
      </w:r>
      <w:r>
        <w:rPr>
          <w:rFonts w:ascii="Times New Roman" w:hAnsi="Times New Roman"/>
          <w:spacing w:val="-1"/>
          <w:sz w:val="32"/>
          <w:szCs w:val="32"/>
          <w:lang w:val="zh-TW"/>
        </w:rPr>
        <w:t xml:space="preserve">条 </w:t>
      </w:r>
      <w:r>
        <w:rPr>
          <w:rFonts w:ascii="Times New Roman" w:hAnsi="Times New Roman"/>
          <w:spacing w:val="-1"/>
          <w:sz w:val="32"/>
          <w:szCs w:val="32"/>
          <w:lang w:val="zh-TW" w:eastAsia="zh-TW"/>
        </w:rPr>
        <w:t>金融企业折现率中的贝塔值计算应注意基准日和未来预测期资本结构的影响，银行、证券、信托和保险公司多采用无杠杆贝塔，多元金融可以使用有杠杆贝塔值。</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贝塔值计算应注意三个变量的选择</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eastAsia="zh-TW"/>
        </w:rPr>
        <w:t>作为市场近似的指数的选择</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可以选取上证指数</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深证成指</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沪深</w:t>
      </w:r>
      <w:r>
        <w:rPr>
          <w:rFonts w:hint="eastAsia" w:ascii="Times New Roman" w:hAnsi="Times New Roman"/>
          <w:spacing w:val="-1"/>
          <w:sz w:val="32"/>
          <w:szCs w:val="32"/>
          <w:lang w:val="zh-TW"/>
        </w:rPr>
        <w:t>300等指数；</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eastAsia="zh-TW"/>
        </w:rPr>
        <w:t>计算历史回报率的时间长度</w:t>
      </w:r>
      <w:r>
        <w:rPr>
          <w:rFonts w:hint="eastAsia" w:ascii="Times New Roman" w:hAnsi="Times New Roman"/>
          <w:spacing w:val="-1"/>
          <w:sz w:val="32"/>
          <w:szCs w:val="32"/>
          <w:lang w:val="zh-TW"/>
        </w:rPr>
        <w:t>：</w:t>
      </w:r>
      <w:r>
        <w:rPr>
          <w:rFonts w:hint="eastAsia" w:ascii="Times New Roman" w:hAnsi="Times New Roman"/>
          <w:spacing w:val="-1"/>
          <w:sz w:val="32"/>
          <w:szCs w:val="32"/>
          <w:lang w:val="zh-TW" w:eastAsia="zh-TW"/>
        </w:rPr>
        <w:t>一般</w:t>
      </w:r>
      <w:r>
        <w:rPr>
          <w:rFonts w:hint="eastAsia" w:ascii="Times New Roman" w:hAnsi="Times New Roman"/>
          <w:spacing w:val="-1"/>
          <w:sz w:val="32"/>
          <w:szCs w:val="32"/>
          <w:lang w:val="zh-TW"/>
        </w:rPr>
        <w:t>5年是最常见的用于外推的历史期间；</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回报率计算的周期：公开交易证券和市场回报的计量平度可以是每日、每周、每月、每季或者每年为基础。月度和周是使用频率较高的回报率计算周期。</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第十</w:t>
      </w:r>
      <w:r>
        <w:rPr>
          <w:rFonts w:hint="eastAsia" w:ascii="Times New Roman" w:hAnsi="Times New Roman"/>
          <w:spacing w:val="-1"/>
          <w:sz w:val="32"/>
          <w:szCs w:val="32"/>
          <w:lang w:val="zh-TW"/>
        </w:rPr>
        <w:t>八</w:t>
      </w:r>
      <w:r>
        <w:rPr>
          <w:rFonts w:ascii="Times New Roman" w:hAnsi="Times New Roman"/>
          <w:spacing w:val="-1"/>
          <w:sz w:val="32"/>
          <w:szCs w:val="32"/>
          <w:lang w:val="zh-TW"/>
        </w:rPr>
        <w:t>条 股权风险溢价可以通过市场期望报酬率与无风险利率的差值</w:t>
      </w:r>
      <w:r>
        <w:rPr>
          <w:rFonts w:hint="eastAsia" w:ascii="Times New Roman" w:hAnsi="Times New Roman"/>
          <w:spacing w:val="-1"/>
          <w:sz w:val="32"/>
          <w:szCs w:val="32"/>
          <w:lang w:val="zh-TW"/>
        </w:rPr>
        <w:t>来</w:t>
      </w:r>
      <w:r>
        <w:rPr>
          <w:rFonts w:ascii="Times New Roman" w:hAnsi="Times New Roman"/>
          <w:spacing w:val="-1"/>
          <w:sz w:val="32"/>
          <w:szCs w:val="32"/>
          <w:lang w:val="zh-TW"/>
        </w:rPr>
        <w:t>确定，也可以直接计算股权风险溢价。</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rPr>
        <w:t>股权风险溢价是在评估基准日无直接可观察市场报价时的一种预期，能够通过参考历史数据观测已实现的历史风险溢价，当这种风险溢价有偏差时，应进行适当调整。</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第十</w:t>
      </w:r>
      <w:r>
        <w:rPr>
          <w:rFonts w:hint="eastAsia" w:ascii="Times New Roman" w:hAnsi="Times New Roman"/>
          <w:spacing w:val="-1"/>
          <w:sz w:val="32"/>
          <w:szCs w:val="32"/>
          <w:lang w:val="zh-TW"/>
        </w:rPr>
        <w:t>九</w:t>
      </w:r>
      <w:r>
        <w:rPr>
          <w:rFonts w:ascii="Times New Roman" w:hAnsi="Times New Roman"/>
          <w:spacing w:val="-1"/>
          <w:sz w:val="32"/>
          <w:szCs w:val="32"/>
          <w:lang w:val="zh-TW"/>
        </w:rPr>
        <w:t>条  特有风险系数反映评估对象在行业内竞争地位、公司特性等因素，说明评估对象与计算股权风险溢价的可比公司之间存在着差异。</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第二</w:t>
      </w:r>
      <w:r>
        <w:rPr>
          <w:rFonts w:ascii="Times New Roman" w:hAnsi="Times New Roman"/>
          <w:spacing w:val="-1"/>
          <w:sz w:val="32"/>
          <w:szCs w:val="32"/>
          <w:lang w:val="zh-TW"/>
        </w:rPr>
        <w:t>十</w:t>
      </w:r>
      <w:r>
        <w:rPr>
          <w:rFonts w:ascii="Times New Roman" w:hAnsi="Times New Roman"/>
          <w:spacing w:val="-1"/>
          <w:sz w:val="32"/>
          <w:szCs w:val="32"/>
          <w:lang w:val="zh-TW" w:eastAsia="zh-TW"/>
        </w:rPr>
        <w:t>条  在企业</w:t>
      </w:r>
      <w:r>
        <w:rPr>
          <w:rFonts w:hint="eastAsia" w:ascii="Times New Roman" w:hAnsi="Times New Roman"/>
          <w:spacing w:val="-1"/>
          <w:sz w:val="32"/>
          <w:szCs w:val="32"/>
          <w:lang w:val="zh-TW"/>
        </w:rPr>
        <w:t>自由</w:t>
      </w:r>
      <w:r>
        <w:rPr>
          <w:rFonts w:ascii="Times New Roman" w:hAnsi="Times New Roman"/>
          <w:spacing w:val="-1"/>
          <w:sz w:val="32"/>
          <w:szCs w:val="32"/>
          <w:lang w:val="zh-TW" w:eastAsia="zh-TW"/>
        </w:rPr>
        <w:t>现金流量折现模型中，折现率应采取</w:t>
      </w:r>
      <w:r>
        <w:rPr>
          <w:rFonts w:ascii="Times New Roman" w:hAnsi="Times New Roman"/>
          <w:spacing w:val="-1"/>
          <w:sz w:val="32"/>
          <w:szCs w:val="32"/>
          <w:lang w:val="zh-TW"/>
        </w:rPr>
        <w:t>加权平均资本成本</w:t>
      </w:r>
      <w:r>
        <w:rPr>
          <w:rFonts w:ascii="Times New Roman" w:hAnsi="Times New Roman"/>
          <w:spacing w:val="-1"/>
          <w:sz w:val="32"/>
          <w:szCs w:val="32"/>
          <w:lang w:val="zh-TW" w:eastAsia="zh-TW"/>
        </w:rPr>
        <w:t>模型</w:t>
      </w:r>
      <w:r>
        <w:rPr>
          <w:rFonts w:ascii="Times New Roman" w:hAnsi="Times New Roman"/>
          <w:spacing w:val="-1"/>
          <w:sz w:val="32"/>
          <w:szCs w:val="32"/>
          <w:lang w:val="zh-TW"/>
        </w:rPr>
        <w:t>（WACC）</w:t>
      </w:r>
      <w:r>
        <w:rPr>
          <w:rFonts w:ascii="Times New Roman" w:hAnsi="Times New Roman"/>
          <w:spacing w:val="-1"/>
          <w:sz w:val="32"/>
          <w:szCs w:val="32"/>
          <w:lang w:val="zh-TW" w:eastAsia="zh-TW"/>
        </w:rPr>
        <w:t>确定</w:t>
      </w:r>
      <w:r>
        <w:rPr>
          <w:rFonts w:hint="eastAsia" w:ascii="Times New Roman" w:hAnsi="Times New Roman"/>
          <w:spacing w:val="-1"/>
          <w:sz w:val="32"/>
          <w:szCs w:val="32"/>
          <w:lang w:val="zh-TW"/>
        </w:rPr>
        <w:t>。</w:t>
      </w:r>
      <w:r>
        <w:rPr>
          <w:rFonts w:ascii="Times New Roman" w:hAnsi="Times New Roman"/>
          <w:spacing w:val="-1"/>
          <w:sz w:val="32"/>
          <w:szCs w:val="32"/>
          <w:lang w:val="zh-TW" w:eastAsia="zh-TW"/>
        </w:rPr>
        <w:t>其中</w:t>
      </w:r>
      <w:r>
        <w:rPr>
          <w:rFonts w:hint="eastAsia"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企业的资本结构宜根据预测期的资本结构动态确定</w:t>
      </w:r>
      <w:r>
        <w:rPr>
          <w:rFonts w:hint="eastAsia" w:ascii="Times New Roman" w:hAnsi="Times New Roman"/>
          <w:spacing w:val="-1"/>
          <w:sz w:val="32"/>
          <w:szCs w:val="32"/>
          <w:lang w:val="zh-TW"/>
        </w:rPr>
        <w:t>；</w:t>
      </w:r>
      <w:r>
        <w:rPr>
          <w:rFonts w:ascii="Times New Roman" w:hAnsi="Times New Roman"/>
          <w:spacing w:val="-1"/>
          <w:sz w:val="32"/>
          <w:szCs w:val="32"/>
          <w:lang w:val="zh-TW"/>
        </w:rPr>
        <w:t>债</w:t>
      </w:r>
      <w:r>
        <w:rPr>
          <w:rFonts w:hint="eastAsia" w:ascii="Times New Roman" w:hAnsi="Times New Roman"/>
          <w:spacing w:val="-1"/>
          <w:sz w:val="32"/>
          <w:szCs w:val="32"/>
          <w:lang w:val="zh-TW"/>
        </w:rPr>
        <w:t>务</w:t>
      </w:r>
      <w:r>
        <w:rPr>
          <w:rFonts w:ascii="Times New Roman" w:hAnsi="Times New Roman"/>
          <w:spacing w:val="-1"/>
          <w:sz w:val="32"/>
          <w:szCs w:val="32"/>
          <w:lang w:val="zh-TW"/>
        </w:rPr>
        <w:t>资本与权益资本的比例应以债</w:t>
      </w:r>
      <w:r>
        <w:rPr>
          <w:rFonts w:hint="eastAsia" w:ascii="Times New Roman" w:hAnsi="Times New Roman"/>
          <w:spacing w:val="-1"/>
          <w:sz w:val="32"/>
          <w:szCs w:val="32"/>
          <w:lang w:val="zh-TW"/>
        </w:rPr>
        <w:t>务</w:t>
      </w:r>
      <w:r>
        <w:rPr>
          <w:rFonts w:ascii="Times New Roman" w:hAnsi="Times New Roman"/>
          <w:spacing w:val="-1"/>
          <w:sz w:val="32"/>
          <w:szCs w:val="32"/>
          <w:lang w:val="zh-TW"/>
        </w:rPr>
        <w:t>资本和权益资本的市场价值为基础。</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rPr>
        <w:t>第二十</w:t>
      </w:r>
      <w:r>
        <w:rPr>
          <w:rFonts w:hint="eastAsia" w:ascii="Times New Roman" w:hAnsi="Times New Roman"/>
          <w:spacing w:val="-1"/>
          <w:sz w:val="32"/>
          <w:szCs w:val="32"/>
          <w:lang w:val="zh-TW"/>
        </w:rPr>
        <w:t>一</w:t>
      </w:r>
      <w:r>
        <w:rPr>
          <w:rFonts w:ascii="Times New Roman" w:hAnsi="Times New Roman"/>
          <w:spacing w:val="-1"/>
          <w:sz w:val="32"/>
          <w:szCs w:val="32"/>
          <w:lang w:val="zh-TW"/>
        </w:rPr>
        <w:t>条 采用加权平均资本成本</w:t>
      </w:r>
      <w:r>
        <w:rPr>
          <w:rFonts w:ascii="Times New Roman" w:hAnsi="Times New Roman"/>
          <w:spacing w:val="-1"/>
          <w:sz w:val="32"/>
          <w:szCs w:val="32"/>
          <w:lang w:val="zh-TW" w:eastAsia="zh-TW"/>
        </w:rPr>
        <w:t>模型</w:t>
      </w:r>
      <w:r>
        <w:rPr>
          <w:rFonts w:ascii="Times New Roman" w:hAnsi="Times New Roman"/>
          <w:spacing w:val="-1"/>
          <w:sz w:val="32"/>
          <w:szCs w:val="32"/>
          <w:lang w:val="zh-TW"/>
        </w:rPr>
        <w:t>（WACC）确定的折现率在数值上通常应小于采取资本资产定价模型（CAPM）确定的折现率。</w:t>
      </w:r>
    </w:p>
    <w:p>
      <w:pPr>
        <w:spacing w:line="360" w:lineRule="auto"/>
        <w:ind w:firstLine="638" w:firstLineChars="200"/>
        <w:outlineLvl w:val="0"/>
        <w:rPr>
          <w:rFonts w:ascii="Times New Roman" w:hAnsi="Times New Roman"/>
          <w:b/>
          <w:spacing w:val="-1"/>
          <w:sz w:val="32"/>
          <w:szCs w:val="32"/>
          <w:lang w:val="zh-TW" w:eastAsia="zh-TW"/>
        </w:rPr>
      </w:pPr>
      <w:r>
        <w:rPr>
          <w:rFonts w:hint="eastAsia" w:ascii="Times New Roman" w:hAnsi="Times New Roman"/>
          <w:b/>
          <w:spacing w:val="-1"/>
          <w:sz w:val="32"/>
          <w:szCs w:val="32"/>
          <w:lang w:val="zh-TW"/>
        </w:rPr>
        <w:t>五</w:t>
      </w:r>
      <w:r>
        <w:rPr>
          <w:rFonts w:ascii="Times New Roman" w:hAnsi="Times New Roman"/>
          <w:b/>
          <w:spacing w:val="-1"/>
          <w:sz w:val="32"/>
          <w:szCs w:val="32"/>
          <w:lang w:val="zh-TW" w:eastAsia="zh-TW"/>
        </w:rPr>
        <w:t>、评估报告的注意事项</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第二十</w:t>
      </w:r>
      <w:r>
        <w:rPr>
          <w:rFonts w:hint="eastAsia" w:ascii="Times New Roman" w:hAnsi="Times New Roman"/>
          <w:spacing w:val="-1"/>
          <w:sz w:val="32"/>
          <w:szCs w:val="32"/>
          <w:lang w:val="zh-TW"/>
        </w:rPr>
        <w:t>二</w:t>
      </w:r>
      <w:r>
        <w:rPr>
          <w:rFonts w:ascii="Times New Roman" w:hAnsi="Times New Roman"/>
          <w:spacing w:val="-1"/>
          <w:sz w:val="32"/>
          <w:szCs w:val="32"/>
          <w:lang w:val="zh-TW" w:eastAsia="zh-TW"/>
        </w:rPr>
        <w:t>条  金融企业的收益法评估结论可以采取区间值或者确定值形式。</w:t>
      </w:r>
    </w:p>
    <w:p>
      <w:pPr>
        <w:spacing w:line="360" w:lineRule="auto"/>
        <w:ind w:firstLine="636" w:firstLineChars="200"/>
        <w:rPr>
          <w:rFonts w:ascii="Times New Roman" w:hAnsi="Times New Roman"/>
          <w:spacing w:val="-1"/>
          <w:sz w:val="32"/>
          <w:szCs w:val="32"/>
          <w:lang w:val="zh-TW"/>
        </w:rPr>
      </w:pPr>
      <w:r>
        <w:rPr>
          <w:rFonts w:hint="eastAsia" w:ascii="Times New Roman" w:hAnsi="Times New Roman"/>
          <w:spacing w:val="-1"/>
          <w:sz w:val="32"/>
          <w:szCs w:val="32"/>
          <w:lang w:val="zh-TW" w:eastAsia="zh-TW"/>
        </w:rPr>
        <w:t>在采取区间值形式的时候</w:t>
      </w:r>
      <w:r>
        <w:rPr>
          <w:rFonts w:hint="eastAsia" w:ascii="Times New Roman" w:hAnsi="Times New Roman"/>
          <w:spacing w:val="-1"/>
          <w:sz w:val="32"/>
          <w:szCs w:val="32"/>
          <w:lang w:val="zh-TW"/>
        </w:rPr>
        <w:t>，</w:t>
      </w:r>
      <w:r>
        <w:rPr>
          <w:rFonts w:hint="eastAsia" w:ascii="Times New Roman" w:hAnsi="Times New Roman"/>
          <w:spacing w:val="-1"/>
          <w:sz w:val="32"/>
          <w:szCs w:val="32"/>
          <w:lang w:val="zh-TW" w:eastAsia="zh-TW"/>
        </w:rPr>
        <w:t>区间值的确定应该是对影响评估结果的主要参数</w:t>
      </w:r>
      <w:r>
        <w:rPr>
          <w:rFonts w:hint="eastAsia" w:ascii="Times New Roman" w:hAnsi="Times New Roman"/>
          <w:spacing w:val="-1"/>
          <w:sz w:val="32"/>
          <w:szCs w:val="32"/>
          <w:lang w:val="zh-TW"/>
        </w:rPr>
        <w:t>，</w:t>
      </w:r>
      <w:r>
        <w:rPr>
          <w:rFonts w:hint="eastAsia" w:ascii="Times New Roman" w:hAnsi="Times New Roman"/>
          <w:spacing w:val="-1"/>
          <w:sz w:val="32"/>
          <w:szCs w:val="32"/>
          <w:lang w:val="zh-TW" w:eastAsia="zh-TW"/>
        </w:rPr>
        <w:t>如收入增长率</w:t>
      </w:r>
      <w:r>
        <w:rPr>
          <w:rFonts w:hint="eastAsia" w:ascii="Times New Roman" w:hAnsi="Times New Roman"/>
          <w:spacing w:val="-1"/>
          <w:sz w:val="32"/>
          <w:szCs w:val="32"/>
          <w:lang w:val="zh-TW"/>
        </w:rPr>
        <w:t>、</w:t>
      </w:r>
      <w:r>
        <w:rPr>
          <w:rFonts w:hint="eastAsia" w:ascii="Times New Roman" w:hAnsi="Times New Roman"/>
          <w:spacing w:val="-1"/>
          <w:sz w:val="32"/>
          <w:szCs w:val="32"/>
          <w:lang w:val="zh-TW" w:eastAsia="zh-TW"/>
        </w:rPr>
        <w:t>折现率</w:t>
      </w:r>
      <w:r>
        <w:rPr>
          <w:rFonts w:hint="eastAsia" w:ascii="Times New Roman" w:hAnsi="Times New Roman"/>
          <w:spacing w:val="-1"/>
          <w:sz w:val="32"/>
          <w:szCs w:val="32"/>
          <w:lang w:val="zh-TW"/>
        </w:rPr>
        <w:t>、永续增长率等参数做敏感性分析的基础上形成。敏感性分析可以根据评估对象特点按照参数每变化0.5个单位，如折现率增加或减少0.5%进行分析。</w:t>
      </w:r>
    </w:p>
    <w:p>
      <w:pPr>
        <w:spacing w:line="360" w:lineRule="auto"/>
        <w:ind w:firstLine="636" w:firstLineChars="200"/>
        <w:rPr>
          <w:rFonts w:ascii="Times New Roman" w:hAnsi="Times New Roman"/>
          <w:spacing w:val="-1"/>
          <w:sz w:val="32"/>
          <w:szCs w:val="32"/>
          <w:lang w:val="zh-TW" w:eastAsia="zh-TW"/>
        </w:rPr>
      </w:pPr>
      <w:r>
        <w:rPr>
          <w:rFonts w:ascii="Times New Roman" w:hAnsi="Times New Roman"/>
          <w:spacing w:val="-1"/>
          <w:sz w:val="32"/>
          <w:szCs w:val="32"/>
          <w:lang w:val="zh-TW" w:eastAsia="zh-TW"/>
        </w:rPr>
        <w:t>第二十</w:t>
      </w:r>
      <w:r>
        <w:rPr>
          <w:rFonts w:hint="eastAsia" w:ascii="Times New Roman" w:hAnsi="Times New Roman"/>
          <w:spacing w:val="-1"/>
          <w:sz w:val="32"/>
          <w:szCs w:val="32"/>
          <w:lang w:val="zh-TW"/>
        </w:rPr>
        <w:t>三</w:t>
      </w:r>
      <w:r>
        <w:rPr>
          <w:rFonts w:ascii="Times New Roman" w:hAnsi="Times New Roman"/>
          <w:spacing w:val="-1"/>
          <w:sz w:val="32"/>
          <w:szCs w:val="32"/>
          <w:lang w:val="zh-TW" w:eastAsia="zh-TW"/>
        </w:rPr>
        <w:t>条  在金融</w:t>
      </w:r>
      <w:r>
        <w:rPr>
          <w:rFonts w:hint="eastAsia" w:ascii="Times New Roman" w:hAnsi="Times New Roman"/>
          <w:spacing w:val="-1"/>
          <w:sz w:val="32"/>
          <w:szCs w:val="32"/>
          <w:lang w:val="zh-TW"/>
        </w:rPr>
        <w:t>企业</w:t>
      </w:r>
      <w:r>
        <w:rPr>
          <w:rFonts w:ascii="Times New Roman" w:hAnsi="Times New Roman"/>
          <w:spacing w:val="-1"/>
          <w:sz w:val="32"/>
          <w:szCs w:val="32"/>
          <w:lang w:val="zh-TW" w:eastAsia="zh-TW"/>
        </w:rPr>
        <w:t>收益法评估报告中应披露评估假设和预测基准，如：银行的不良率，资本充足率，存贷比等指标；保险公司的费用率，投资收益品种和投资收益率等指标。</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第二十</w:t>
      </w:r>
      <w:r>
        <w:rPr>
          <w:rFonts w:hint="eastAsia" w:ascii="Times New Roman" w:hAnsi="Times New Roman"/>
          <w:spacing w:val="-1"/>
          <w:sz w:val="32"/>
          <w:szCs w:val="32"/>
          <w:lang w:val="zh-TW"/>
        </w:rPr>
        <w:t>四</w:t>
      </w:r>
      <w:r>
        <w:rPr>
          <w:rFonts w:ascii="Times New Roman" w:hAnsi="Times New Roman"/>
          <w:spacing w:val="-1"/>
          <w:sz w:val="32"/>
          <w:szCs w:val="32"/>
          <w:lang w:val="zh-TW" w:eastAsia="zh-TW"/>
        </w:rPr>
        <w:t>条  评估结论是否考虑了具有控制权溢价或者缺乏控制权折价，或快速变现对评估对象价值影响的，应当披露控制权溢价或缺乏控制权折价数值的测算过程及确定依据，并对相关差异进行分析说明</w:t>
      </w:r>
      <w:r>
        <w:rPr>
          <w:rFonts w:ascii="Times New Roman" w:hAnsi="Times New Roman"/>
          <w:spacing w:val="-1"/>
          <w:sz w:val="32"/>
          <w:szCs w:val="32"/>
          <w:lang w:val="zh-TW"/>
        </w:rPr>
        <w:t>。</w:t>
      </w:r>
    </w:p>
    <w:p>
      <w:pPr>
        <w:spacing w:line="360" w:lineRule="auto"/>
        <w:ind w:firstLine="636" w:firstLineChars="200"/>
        <w:rPr>
          <w:rFonts w:ascii="Times New Roman" w:hAnsi="Times New Roman"/>
          <w:spacing w:val="-1"/>
          <w:sz w:val="32"/>
          <w:szCs w:val="32"/>
          <w:lang w:val="zh-TW"/>
        </w:rPr>
      </w:pPr>
      <w:r>
        <w:rPr>
          <w:rFonts w:ascii="Times New Roman" w:hAnsi="Times New Roman"/>
          <w:spacing w:val="-1"/>
          <w:sz w:val="32"/>
          <w:szCs w:val="32"/>
          <w:lang w:val="zh-TW" w:eastAsia="zh-TW"/>
        </w:rPr>
        <w:t>第二十</w:t>
      </w:r>
      <w:r>
        <w:rPr>
          <w:rFonts w:hint="eastAsia" w:ascii="Times New Roman" w:hAnsi="Times New Roman"/>
          <w:spacing w:val="-1"/>
          <w:sz w:val="32"/>
          <w:szCs w:val="32"/>
          <w:lang w:val="zh-TW"/>
        </w:rPr>
        <w:t>五</w:t>
      </w:r>
      <w:r>
        <w:rPr>
          <w:rFonts w:ascii="Times New Roman" w:hAnsi="Times New Roman"/>
          <w:spacing w:val="-1"/>
          <w:sz w:val="32"/>
          <w:szCs w:val="32"/>
          <w:lang w:val="zh-TW" w:eastAsia="zh-TW"/>
        </w:rPr>
        <w:t>条  评估报告中应就未来收益预测是否考虑了通货膨胀的影响给予适当说明。</w:t>
      </w:r>
      <w:r>
        <w:rPr>
          <w:rFonts w:ascii="Times New Roman" w:hAnsi="Times New Roman"/>
          <w:spacing w:val="-1"/>
          <w:sz w:val="32"/>
          <w:szCs w:val="32"/>
          <w:lang w:val="zh-TW"/>
        </w:rPr>
        <w:t xml:space="preserve"> </w:t>
      </w:r>
    </w:p>
    <w:p>
      <w:pPr>
        <w:spacing w:line="360" w:lineRule="auto"/>
        <w:ind w:firstLine="636" w:firstLineChars="200"/>
        <w:rPr>
          <w:rFonts w:ascii="Times New Roman" w:hAnsi="Times New Roman"/>
          <w:b w:val="0"/>
          <w:bCs w:val="0"/>
          <w:spacing w:val="-1"/>
          <w:sz w:val="32"/>
          <w:szCs w:val="32"/>
          <w:lang w:val="zh-TW"/>
        </w:rPr>
      </w:pPr>
      <w:bookmarkStart w:id="2" w:name="_GoBack"/>
      <w:r>
        <w:rPr>
          <w:rFonts w:ascii="Times New Roman" w:hAnsi="Times New Roman"/>
          <w:b w:val="0"/>
          <w:bCs w:val="0"/>
          <w:spacing w:val="-1"/>
          <w:sz w:val="32"/>
          <w:szCs w:val="32"/>
          <w:lang w:val="zh-TW"/>
        </w:rPr>
        <w:t>附</w:t>
      </w:r>
      <w:r>
        <w:rPr>
          <w:rFonts w:hint="eastAsia" w:ascii="Times New Roman" w:hAnsi="Times New Roman"/>
          <w:b w:val="0"/>
          <w:bCs w:val="0"/>
          <w:spacing w:val="-1"/>
          <w:sz w:val="32"/>
          <w:szCs w:val="32"/>
          <w:lang w:val="zh-TW" w:eastAsia="zh-CN"/>
        </w:rPr>
        <w:t>：</w:t>
      </w:r>
      <w:r>
        <w:rPr>
          <w:rFonts w:ascii="Times New Roman" w:hAnsi="Times New Roman"/>
          <w:b w:val="0"/>
          <w:bCs w:val="0"/>
          <w:spacing w:val="-1"/>
          <w:sz w:val="32"/>
          <w:szCs w:val="32"/>
          <w:lang w:val="zh-TW"/>
        </w:rPr>
        <w:t>案例</w:t>
      </w:r>
    </w:p>
    <w:bookmarkEnd w:id="2"/>
    <w:p>
      <w:pPr>
        <w:spacing w:line="360" w:lineRule="auto"/>
        <w:ind w:firstLine="636" w:firstLineChars="200"/>
        <w:rPr>
          <w:rFonts w:ascii="Times New Roman" w:hAnsi="Times New Roman"/>
          <w:spacing w:val="-1"/>
          <w:sz w:val="32"/>
          <w:szCs w:val="32"/>
          <w:lang w:val="zh-TW" w:eastAsia="zh-TW"/>
        </w:rPr>
      </w:pPr>
    </w:p>
    <w:p>
      <w:pPr>
        <w:widowControl/>
        <w:spacing w:line="240" w:lineRule="auto"/>
        <w:jc w:val="left"/>
        <w:rPr>
          <w:rFonts w:ascii="Times New Roman" w:hAnsi="Times New Roman"/>
          <w:spacing w:val="-1"/>
          <w:sz w:val="32"/>
          <w:szCs w:val="32"/>
          <w:lang w:val="zh-TW" w:eastAsia="zh-TW"/>
        </w:rPr>
      </w:pPr>
      <w:r>
        <w:rPr>
          <w:rFonts w:ascii="Times New Roman" w:hAnsi="Times New Roman"/>
          <w:spacing w:val="-1"/>
          <w:sz w:val="32"/>
          <w:szCs w:val="32"/>
          <w:lang w:val="zh-TW" w:eastAsia="zh-TW"/>
        </w:rPr>
        <w:br w:type="page"/>
      </w:r>
    </w:p>
    <w:p>
      <w:pPr>
        <w:spacing w:line="360" w:lineRule="auto"/>
        <w:ind w:firstLine="636" w:firstLineChars="200"/>
        <w:rPr>
          <w:rFonts w:ascii="Times New Roman" w:hAnsi="Times New Roman"/>
          <w:b/>
          <w:bCs/>
          <w:spacing w:val="-1"/>
          <w:sz w:val="32"/>
          <w:szCs w:val="32"/>
          <w:lang w:val="zh-TW"/>
        </w:rPr>
      </w:pPr>
      <w:r>
        <w:rPr>
          <w:rFonts w:ascii="Times New Roman" w:hAnsi="Times New Roman"/>
          <w:b/>
          <w:bCs/>
          <w:spacing w:val="-1"/>
          <w:sz w:val="32"/>
          <w:szCs w:val="32"/>
          <w:lang w:val="zh-TW"/>
        </w:rPr>
        <w:t>附</w:t>
      </w:r>
      <w:r>
        <w:rPr>
          <w:rFonts w:hint="eastAsia" w:ascii="Times New Roman" w:hAnsi="Times New Roman"/>
          <w:b/>
          <w:bCs/>
          <w:spacing w:val="-1"/>
          <w:sz w:val="32"/>
          <w:szCs w:val="32"/>
          <w:lang w:val="zh-TW" w:eastAsia="zh-CN"/>
        </w:rPr>
        <w:t>：</w:t>
      </w:r>
    </w:p>
    <w:p>
      <w:pPr>
        <w:spacing w:line="360" w:lineRule="auto"/>
        <w:ind w:firstLine="636" w:firstLineChars="200"/>
        <w:jc w:val="center"/>
        <w:rPr>
          <w:rFonts w:ascii="Times New Roman" w:hAnsi="Times New Roman"/>
          <w:spacing w:val="-1"/>
          <w:sz w:val="32"/>
          <w:szCs w:val="32"/>
          <w:lang w:val="zh-TW"/>
        </w:rPr>
      </w:pPr>
      <w:r>
        <w:rPr>
          <w:rFonts w:ascii="Times New Roman" w:hAnsi="Times New Roman"/>
          <w:spacing w:val="-1"/>
          <w:sz w:val="32"/>
          <w:szCs w:val="32"/>
          <w:lang w:val="zh-TW"/>
        </w:rPr>
        <w:t>案</w:t>
      </w:r>
      <w:r>
        <w:rPr>
          <w:rFonts w:hint="eastAsia" w:ascii="Times New Roman" w:hAnsi="Times New Roman"/>
          <w:spacing w:val="-1"/>
          <w:sz w:val="32"/>
          <w:szCs w:val="32"/>
          <w:lang w:val="en-US" w:eastAsia="zh-CN"/>
        </w:rPr>
        <w:t xml:space="preserve">    </w:t>
      </w:r>
      <w:r>
        <w:rPr>
          <w:rFonts w:ascii="Times New Roman" w:hAnsi="Times New Roman"/>
          <w:spacing w:val="-1"/>
          <w:sz w:val="32"/>
          <w:szCs w:val="32"/>
          <w:lang w:val="zh-TW"/>
        </w:rPr>
        <w:t>例</w:t>
      </w:r>
    </w:p>
    <w:p>
      <w:pPr>
        <w:spacing w:line="360" w:lineRule="auto"/>
        <w:ind w:firstLine="638" w:firstLineChars="200"/>
        <w:outlineLvl w:val="0"/>
        <w:rPr>
          <w:rFonts w:ascii="Times New Roman" w:hAnsi="Times New Roman"/>
          <w:b/>
          <w:spacing w:val="-1"/>
          <w:sz w:val="32"/>
          <w:szCs w:val="32"/>
          <w:lang w:val="zh-TW"/>
        </w:rPr>
      </w:pPr>
      <w:r>
        <w:rPr>
          <w:rFonts w:ascii="Times New Roman" w:hAnsi="Times New Roman"/>
          <w:b/>
          <w:spacing w:val="-1"/>
          <w:sz w:val="32"/>
          <w:szCs w:val="32"/>
          <w:lang w:val="zh-TW"/>
        </w:rPr>
        <w:t>案例</w:t>
      </w:r>
      <w:r>
        <w:rPr>
          <w:rFonts w:hint="eastAsia" w:ascii="Times New Roman" w:hAnsi="Times New Roman"/>
          <w:b/>
          <w:spacing w:val="-1"/>
          <w:sz w:val="32"/>
          <w:szCs w:val="32"/>
          <w:lang w:val="zh-TW"/>
        </w:rPr>
        <w:t>一</w:t>
      </w:r>
      <w:r>
        <w:rPr>
          <w:rFonts w:ascii="Times New Roman" w:hAnsi="Times New Roman"/>
          <w:b/>
          <w:spacing w:val="-1"/>
          <w:sz w:val="32"/>
          <w:szCs w:val="32"/>
          <w:lang w:val="zh-TW"/>
        </w:rPr>
        <w:t>：银行的资产负债表预测</w:t>
      </w:r>
    </w:p>
    <w:p>
      <w:pPr>
        <w:spacing w:line="360" w:lineRule="auto"/>
        <w:ind w:firstLine="584" w:firstLineChars="200"/>
        <w:rPr>
          <w:rFonts w:ascii="Times New Roman" w:hAnsi="Times New Roman"/>
          <w:sz w:val="28"/>
        </w:rPr>
      </w:pPr>
      <w:r>
        <w:rPr>
          <w:rFonts w:ascii="Times New Roman" w:hAnsi="Times New Roman"/>
          <w:sz w:val="28"/>
        </w:rPr>
        <w:t>从银行企业的盈利模式可以看出，存款是银行企业的利润来源，因此采用收益法评估时，首先对银行存款进行预测，进而根据存贷比率、存款准备金率对资产进行预测，然后根据各项生息资产和付息负债的收益率或付息率对损益表进行预测，最后对权益表和现金流表进行预测。</w:t>
      </w:r>
    </w:p>
    <w:p>
      <w:pPr>
        <w:spacing w:line="360" w:lineRule="auto"/>
        <w:ind w:firstLine="584" w:firstLineChars="200"/>
        <w:rPr>
          <w:rFonts w:ascii="Times New Roman" w:hAnsi="Times New Roman"/>
          <w:sz w:val="28"/>
        </w:rPr>
      </w:pPr>
      <w:r>
        <w:rPr>
          <w:rFonts w:ascii="Times New Roman" w:hAnsi="Times New Roman"/>
          <w:sz w:val="28"/>
        </w:rPr>
        <w:t>以xx银行为例对其资产负债表进行预测。</w:t>
      </w:r>
    </w:p>
    <w:p>
      <w:pPr>
        <w:spacing w:line="360" w:lineRule="auto"/>
        <w:ind w:firstLine="584" w:firstLineChars="200"/>
        <w:rPr>
          <w:rFonts w:ascii="Times New Roman" w:hAnsi="Times New Roman"/>
          <w:sz w:val="28"/>
        </w:rPr>
      </w:pPr>
      <w:r>
        <w:rPr>
          <w:rFonts w:ascii="Times New Roman" w:hAnsi="Times New Roman"/>
          <w:sz w:val="28"/>
        </w:rPr>
        <w:t>1</w:t>
      </w:r>
      <w:r>
        <w:rPr>
          <w:rFonts w:hint="eastAsia" w:ascii="Times New Roman" w:hAnsi="Times New Roman"/>
          <w:sz w:val="28"/>
        </w:rPr>
        <w:t>．</w:t>
      </w:r>
      <w:r>
        <w:rPr>
          <w:rFonts w:ascii="Times New Roman" w:hAnsi="Times New Roman"/>
          <w:sz w:val="28"/>
        </w:rPr>
        <w:t>从存款入手</w:t>
      </w:r>
    </w:p>
    <w:p>
      <w:pPr>
        <w:spacing w:line="360" w:lineRule="auto"/>
        <w:ind w:firstLine="584" w:firstLineChars="200"/>
        <w:rPr>
          <w:rFonts w:ascii="Times New Roman" w:hAnsi="Times New Roman"/>
          <w:sz w:val="28"/>
        </w:rPr>
      </w:pPr>
      <w:r>
        <w:rPr>
          <w:rFonts w:ascii="Times New Roman" w:hAnsi="Times New Roman"/>
          <w:sz w:val="28"/>
        </w:rPr>
        <w:t>存款是银行利润的来源，包括吸收公众存款和同业及其他金融机构存放款项。</w:t>
      </w:r>
    </w:p>
    <w:p>
      <w:pPr>
        <w:spacing w:line="360" w:lineRule="auto"/>
        <w:ind w:firstLine="584" w:firstLineChars="200"/>
        <w:rPr>
          <w:rFonts w:ascii="Times New Roman" w:hAnsi="Times New Roman"/>
          <w:sz w:val="28"/>
        </w:rPr>
      </w:pPr>
      <w:r>
        <w:rPr>
          <w:rFonts w:ascii="Times New Roman" w:hAnsi="Times New Roman"/>
          <w:sz w:val="28"/>
        </w:rPr>
        <w:t>（1）吸收公众存款预测</w:t>
      </w:r>
    </w:p>
    <w:p>
      <w:pPr>
        <w:spacing w:line="360" w:lineRule="auto"/>
        <w:ind w:firstLine="584" w:firstLineChars="200"/>
        <w:rPr>
          <w:rFonts w:ascii="Times New Roman" w:hAnsi="Times New Roman"/>
          <w:sz w:val="28"/>
          <w:szCs w:val="28"/>
        </w:rPr>
      </w:pPr>
      <w:r>
        <w:rPr>
          <w:rFonts w:ascii="Times New Roman" w:hAnsi="Times New Roman"/>
          <w:kern w:val="0"/>
          <w:sz w:val="28"/>
          <w:szCs w:val="28"/>
        </w:rPr>
        <w:t>xx银行20x3年存款平均余额为人民币149,795,300.00万元，较20x2年平均余额增加人民币21,467,800.00万元，增幅16.73%。</w:t>
      </w:r>
      <w:r>
        <w:rPr>
          <w:rFonts w:ascii="Times New Roman" w:hAnsi="Times New Roman"/>
          <w:sz w:val="28"/>
          <w:szCs w:val="28"/>
        </w:rPr>
        <w:t>根据国民经济发展趋势、国内银行业存款发展趋势、银行存款吸收计划、银行企业的市场份额等预测xx银行企业存款未来的规模。</w:t>
      </w:r>
    </w:p>
    <w:p>
      <w:pPr>
        <w:spacing w:line="360" w:lineRule="auto"/>
        <w:jc w:val="center"/>
        <w:rPr>
          <w:rFonts w:ascii="Times New Roman" w:hAnsi="Times New Roman"/>
          <w:kern w:val="0"/>
          <w:sz w:val="28"/>
          <w:szCs w:val="28"/>
        </w:rPr>
      </w:pPr>
      <w:r>
        <w:rPr>
          <w:rFonts w:ascii="Times New Roman" w:hAnsi="Times New Roman" w:eastAsia="黑体"/>
          <w:kern w:val="0"/>
          <w:sz w:val="24"/>
        </w:rPr>
        <w:t>吸收存款规模预测表</w:t>
      </w:r>
    </w:p>
    <w:p>
      <w:pPr>
        <w:spacing w:line="360" w:lineRule="auto"/>
        <w:ind w:firstLine="384" w:firstLineChars="200"/>
        <w:jc w:val="right"/>
        <w:rPr>
          <w:rFonts w:ascii="Times New Roman" w:hAnsi="Times New Roman"/>
          <w:sz w:val="18"/>
          <w:szCs w:val="18"/>
        </w:rPr>
      </w:pPr>
      <w:r>
        <w:rPr>
          <w:rFonts w:ascii="Times New Roman" w:hAnsi="Times New Roman"/>
          <w:sz w:val="18"/>
          <w:szCs w:val="18"/>
        </w:rPr>
        <w:t>金额单位：人民币万元</w:t>
      </w:r>
    </w:p>
    <w:tbl>
      <w:tblPr>
        <w:tblStyle w:val="27"/>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5"/>
        <w:gridCol w:w="1382"/>
        <w:gridCol w:w="1382"/>
        <w:gridCol w:w="1382"/>
        <w:gridCol w:w="1382"/>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15"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项目</w:t>
            </w:r>
          </w:p>
        </w:tc>
        <w:tc>
          <w:tcPr>
            <w:tcW w:w="138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20x4年</w:t>
            </w:r>
          </w:p>
        </w:tc>
        <w:tc>
          <w:tcPr>
            <w:tcW w:w="138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20x5年</w:t>
            </w:r>
          </w:p>
        </w:tc>
        <w:tc>
          <w:tcPr>
            <w:tcW w:w="138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20x6年</w:t>
            </w:r>
          </w:p>
        </w:tc>
        <w:tc>
          <w:tcPr>
            <w:tcW w:w="138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20x7年</w:t>
            </w:r>
          </w:p>
        </w:tc>
        <w:tc>
          <w:tcPr>
            <w:tcW w:w="137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615" w:type="dxa"/>
            <w:tcBorders>
              <w:top w:val="single" w:color="auto" w:sz="4"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存款期末规模</w:t>
            </w:r>
          </w:p>
        </w:tc>
        <w:tc>
          <w:tcPr>
            <w:tcW w:w="1382"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176,480,100.00</w:t>
            </w:r>
          </w:p>
        </w:tc>
        <w:tc>
          <w:tcPr>
            <w:tcW w:w="1382"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194,128,100.00</w:t>
            </w:r>
          </w:p>
        </w:tc>
        <w:tc>
          <w:tcPr>
            <w:tcW w:w="1382"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213,540,900.00</w:t>
            </w:r>
          </w:p>
        </w:tc>
        <w:tc>
          <w:tcPr>
            <w:tcW w:w="1382"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232,759,600.00</w:t>
            </w:r>
          </w:p>
        </w:tc>
        <w:tc>
          <w:tcPr>
            <w:tcW w:w="137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251,380,400.00</w:t>
            </w:r>
          </w:p>
        </w:tc>
      </w:tr>
    </w:tbl>
    <w:p>
      <w:pPr>
        <w:spacing w:line="360" w:lineRule="auto"/>
        <w:ind w:firstLine="584" w:firstLineChars="200"/>
        <w:rPr>
          <w:rFonts w:ascii="Times New Roman" w:hAnsi="Times New Roman"/>
          <w:kern w:val="0"/>
          <w:sz w:val="28"/>
          <w:szCs w:val="28"/>
        </w:rPr>
      </w:pP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（2）同业及其他金融机构存放款项预测</w:t>
      </w:r>
    </w:p>
    <w:p>
      <w:pPr>
        <w:spacing w:line="360" w:lineRule="auto"/>
        <w:ind w:firstLine="584" w:firstLineChars="200"/>
        <w:rPr>
          <w:rFonts w:ascii="Times New Roman" w:hAnsi="Times New Roman"/>
          <w:sz w:val="28"/>
        </w:rPr>
      </w:pPr>
      <w:r>
        <w:rPr>
          <w:rFonts w:ascii="Times New Roman" w:hAnsi="Times New Roman"/>
          <w:sz w:val="28"/>
        </w:rPr>
        <w:t>根据银行企业历史和基准日的向其他银行和政府借款、同业存放款项水平，及银行企业未来计划预测其向其他银行和政府借款、同业存放款项水平。</w:t>
      </w:r>
      <w:r>
        <w:rPr>
          <w:rFonts w:ascii="Times New Roman" w:hAnsi="Times New Roman"/>
          <w:kern w:val="0"/>
          <w:sz w:val="28"/>
          <w:szCs w:val="28"/>
        </w:rPr>
        <w:t>根据xx银行过去三年历史数据分析，同业存入及拆入款日均余额约占付息负债总额的30%。出于维持流动性需要，预计以后年度同业存入及拆入款占付息负债的比例仍将维持在此水平上。</w:t>
      </w:r>
    </w:p>
    <w:p>
      <w:pPr>
        <w:spacing w:line="360" w:lineRule="auto"/>
        <w:jc w:val="center"/>
        <w:rPr>
          <w:rFonts w:ascii="Times New Roman" w:hAnsi="Times New Roman"/>
          <w:kern w:val="0"/>
          <w:sz w:val="28"/>
          <w:szCs w:val="28"/>
        </w:rPr>
      </w:pPr>
      <w:r>
        <w:rPr>
          <w:rFonts w:ascii="Times New Roman" w:hAnsi="Times New Roman" w:eastAsia="黑体"/>
          <w:kern w:val="0"/>
          <w:sz w:val="24"/>
        </w:rPr>
        <w:t>同业拆借规模预测表</w:t>
      </w:r>
    </w:p>
    <w:p>
      <w:pPr>
        <w:spacing w:line="360" w:lineRule="auto"/>
        <w:ind w:firstLine="384" w:firstLineChars="200"/>
        <w:jc w:val="right"/>
        <w:rPr>
          <w:rFonts w:ascii="Times New Roman" w:hAnsi="Times New Roman"/>
          <w:sz w:val="18"/>
          <w:szCs w:val="18"/>
        </w:rPr>
      </w:pPr>
      <w:r>
        <w:rPr>
          <w:rFonts w:ascii="Times New Roman" w:hAnsi="Times New Roman"/>
          <w:sz w:val="18"/>
          <w:szCs w:val="18"/>
        </w:rPr>
        <w:t>金额单位：人民币万元</w:t>
      </w:r>
    </w:p>
    <w:tbl>
      <w:tblPr>
        <w:tblStyle w:val="2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339"/>
        <w:gridCol w:w="1340"/>
        <w:gridCol w:w="1340"/>
        <w:gridCol w:w="134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726"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项目</w:t>
            </w:r>
          </w:p>
        </w:tc>
        <w:tc>
          <w:tcPr>
            <w:tcW w:w="1339" w:type="dxa"/>
            <w:vAlign w:val="center"/>
          </w:tcPr>
          <w:p>
            <w:pPr>
              <w:spacing w:line="240" w:lineRule="auto"/>
              <w:jc w:val="center"/>
              <w:rPr>
                <w:rFonts w:ascii="Times New Roman" w:hAnsi="Times New Roman"/>
                <w:b/>
                <w:bCs/>
                <w:sz w:val="18"/>
                <w:szCs w:val="18"/>
              </w:rPr>
            </w:pPr>
            <w:r>
              <w:rPr>
                <w:rFonts w:ascii="Times New Roman" w:hAnsi="Times New Roman"/>
                <w:b/>
                <w:bCs/>
                <w:sz w:val="18"/>
                <w:szCs w:val="18"/>
              </w:rPr>
              <w:t>20x4年</w:t>
            </w:r>
          </w:p>
        </w:tc>
        <w:tc>
          <w:tcPr>
            <w:tcW w:w="1340" w:type="dxa"/>
            <w:vAlign w:val="center"/>
          </w:tcPr>
          <w:p>
            <w:pPr>
              <w:spacing w:line="240" w:lineRule="auto"/>
              <w:jc w:val="center"/>
              <w:rPr>
                <w:rFonts w:ascii="Times New Roman" w:hAnsi="Times New Roman"/>
                <w:b/>
                <w:bCs/>
                <w:sz w:val="18"/>
                <w:szCs w:val="18"/>
              </w:rPr>
            </w:pPr>
            <w:r>
              <w:rPr>
                <w:rFonts w:ascii="Times New Roman" w:hAnsi="Times New Roman"/>
                <w:b/>
                <w:bCs/>
                <w:sz w:val="18"/>
                <w:szCs w:val="18"/>
              </w:rPr>
              <w:t>20x5年</w:t>
            </w:r>
          </w:p>
        </w:tc>
        <w:tc>
          <w:tcPr>
            <w:tcW w:w="1340" w:type="dxa"/>
            <w:vAlign w:val="center"/>
          </w:tcPr>
          <w:p>
            <w:pPr>
              <w:spacing w:line="240" w:lineRule="auto"/>
              <w:jc w:val="center"/>
              <w:rPr>
                <w:rFonts w:ascii="Times New Roman" w:hAnsi="Times New Roman"/>
                <w:b/>
                <w:bCs/>
                <w:sz w:val="18"/>
                <w:szCs w:val="18"/>
              </w:rPr>
            </w:pPr>
            <w:r>
              <w:rPr>
                <w:rFonts w:ascii="Times New Roman" w:hAnsi="Times New Roman"/>
                <w:b/>
                <w:bCs/>
                <w:sz w:val="18"/>
                <w:szCs w:val="18"/>
              </w:rPr>
              <w:t>20x6年</w:t>
            </w:r>
          </w:p>
        </w:tc>
        <w:tc>
          <w:tcPr>
            <w:tcW w:w="1340" w:type="dxa"/>
            <w:vAlign w:val="center"/>
          </w:tcPr>
          <w:p>
            <w:pPr>
              <w:spacing w:line="240" w:lineRule="auto"/>
              <w:jc w:val="center"/>
              <w:rPr>
                <w:rFonts w:ascii="Times New Roman" w:hAnsi="Times New Roman"/>
                <w:b/>
                <w:bCs/>
                <w:sz w:val="18"/>
                <w:szCs w:val="18"/>
              </w:rPr>
            </w:pPr>
            <w:r>
              <w:rPr>
                <w:rFonts w:ascii="Times New Roman" w:hAnsi="Times New Roman"/>
                <w:b/>
                <w:bCs/>
                <w:sz w:val="18"/>
                <w:szCs w:val="18"/>
              </w:rPr>
              <w:t>20x7年</w:t>
            </w:r>
          </w:p>
        </w:tc>
        <w:tc>
          <w:tcPr>
            <w:tcW w:w="1437" w:type="dxa"/>
            <w:vAlign w:val="center"/>
          </w:tcPr>
          <w:p>
            <w:pPr>
              <w:spacing w:line="240" w:lineRule="auto"/>
              <w:jc w:val="center"/>
              <w:rPr>
                <w:rFonts w:ascii="Times New Roman" w:hAnsi="Times New Roman"/>
                <w:b/>
                <w:bCs/>
                <w:sz w:val="18"/>
                <w:szCs w:val="18"/>
              </w:rPr>
            </w:pPr>
            <w:r>
              <w:rPr>
                <w:rFonts w:ascii="Times New Roman" w:hAnsi="Times New Roman"/>
                <w:b/>
                <w:bCs/>
                <w:sz w:val="18"/>
                <w:szCs w:val="18"/>
              </w:rPr>
              <w:t>20x8年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726" w:type="dxa"/>
            <w:vAlign w:val="center"/>
          </w:tcPr>
          <w:p>
            <w:pPr>
              <w:spacing w:line="240" w:lineRule="auto"/>
              <w:jc w:val="center"/>
              <w:rPr>
                <w:rFonts w:ascii="Times New Roman" w:hAnsi="Times New Roman"/>
                <w:sz w:val="18"/>
                <w:szCs w:val="18"/>
              </w:rPr>
            </w:pPr>
            <w:r>
              <w:rPr>
                <w:rFonts w:ascii="Times New Roman" w:hAnsi="Times New Roman"/>
                <w:sz w:val="18"/>
                <w:szCs w:val="18"/>
              </w:rPr>
              <w:t>同业拆借</w:t>
            </w:r>
          </w:p>
          <w:p>
            <w:pPr>
              <w:spacing w:line="240" w:lineRule="auto"/>
              <w:jc w:val="center"/>
              <w:rPr>
                <w:rFonts w:ascii="Times New Roman" w:hAnsi="Times New Roman"/>
                <w:sz w:val="18"/>
                <w:szCs w:val="18"/>
              </w:rPr>
            </w:pPr>
            <w:r>
              <w:rPr>
                <w:rFonts w:ascii="Times New Roman" w:hAnsi="Times New Roman"/>
                <w:sz w:val="18"/>
                <w:szCs w:val="18"/>
              </w:rPr>
              <w:t>期末余额</w:t>
            </w:r>
          </w:p>
        </w:tc>
        <w:tc>
          <w:tcPr>
            <w:tcW w:w="1339" w:type="dxa"/>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59,515,696.67</w:t>
            </w:r>
          </w:p>
        </w:tc>
        <w:tc>
          <w:tcPr>
            <w:tcW w:w="1340" w:type="dxa"/>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65,467,307.61</w:t>
            </w:r>
          </w:p>
        </w:tc>
        <w:tc>
          <w:tcPr>
            <w:tcW w:w="1340" w:type="dxa"/>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72,014,054.89</w:t>
            </w:r>
          </w:p>
        </w:tc>
        <w:tc>
          <w:tcPr>
            <w:tcW w:w="1340" w:type="dxa"/>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78,495,336.34</w:t>
            </w:r>
          </w:p>
        </w:tc>
        <w:tc>
          <w:tcPr>
            <w:tcW w:w="1437" w:type="dxa"/>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84,774,936.83</w:t>
            </w:r>
          </w:p>
        </w:tc>
      </w:tr>
    </w:tbl>
    <w:p>
      <w:pPr>
        <w:spacing w:line="360" w:lineRule="auto"/>
        <w:ind w:firstLine="584" w:firstLineChars="200"/>
        <w:rPr>
          <w:rFonts w:ascii="Times New Roman" w:hAnsi="Times New Roman"/>
          <w:kern w:val="0"/>
          <w:sz w:val="28"/>
          <w:szCs w:val="28"/>
        </w:rPr>
      </w:pP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2</w:t>
      </w:r>
      <w:r>
        <w:rPr>
          <w:rFonts w:hint="eastAsia" w:ascii="Times New Roman" w:hAnsi="Times New Roman"/>
          <w:kern w:val="0"/>
          <w:sz w:val="28"/>
          <w:szCs w:val="28"/>
        </w:rPr>
        <w:t>．</w:t>
      </w:r>
      <w:r>
        <w:rPr>
          <w:rFonts w:ascii="Times New Roman" w:hAnsi="Times New Roman"/>
          <w:kern w:val="0"/>
          <w:sz w:val="28"/>
          <w:szCs w:val="28"/>
        </w:rPr>
        <w:t>贷款规模预测</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xx银行作为一家全国性的商业银行，具有良好的公司治理结构、国际化的管理团队和市场化的经营管理机制，自成立以来业务经营始终坚持市场化原则，以实现股东价值和银行价值提升为最终目标，具备强劲的内生增长动力。客户存款快速增长，从20</w:t>
      </w:r>
      <w:r>
        <w:rPr>
          <w:rFonts w:hint="eastAsia" w:ascii="Times New Roman" w:hAnsi="Times New Roman"/>
          <w:kern w:val="0"/>
          <w:sz w:val="28"/>
          <w:szCs w:val="28"/>
        </w:rPr>
        <w:t>y</w:t>
      </w:r>
      <w:r>
        <w:rPr>
          <w:rFonts w:ascii="Times New Roman" w:hAnsi="Times New Roman"/>
          <w:kern w:val="0"/>
          <w:sz w:val="28"/>
          <w:szCs w:val="28"/>
        </w:rPr>
        <w:t>9年到20x3年复合增长率达到19.00%；贷款增速受到政策监管的影响，从20</w:t>
      </w:r>
      <w:r>
        <w:rPr>
          <w:rFonts w:hint="eastAsia" w:ascii="Times New Roman" w:hAnsi="Times New Roman"/>
          <w:kern w:val="0"/>
          <w:sz w:val="28"/>
          <w:szCs w:val="28"/>
        </w:rPr>
        <w:t>y</w:t>
      </w:r>
      <w:r>
        <w:rPr>
          <w:rFonts w:ascii="Times New Roman" w:hAnsi="Times New Roman"/>
          <w:kern w:val="0"/>
          <w:sz w:val="28"/>
          <w:szCs w:val="28"/>
        </w:rPr>
        <w:t>9年到20x3年复合增长率达到16.00%。</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xx银行20</w:t>
      </w:r>
      <w:r>
        <w:rPr>
          <w:rFonts w:hint="eastAsia" w:ascii="Times New Roman" w:hAnsi="Times New Roman"/>
          <w:kern w:val="0"/>
          <w:sz w:val="28"/>
          <w:szCs w:val="28"/>
        </w:rPr>
        <w:t>y</w:t>
      </w:r>
      <w:r>
        <w:rPr>
          <w:rFonts w:ascii="Times New Roman" w:hAnsi="Times New Roman"/>
          <w:kern w:val="0"/>
          <w:sz w:val="28"/>
          <w:szCs w:val="28"/>
        </w:rPr>
        <w:t>9-20x3年的存贷比如下表所示，历年存贷比除了在20x2年有短暂的下降以外基本维持在70%以上的水平，在评估基准日存贷比为71.16%。</w:t>
      </w:r>
    </w:p>
    <w:tbl>
      <w:tblPr>
        <w:tblStyle w:val="27"/>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6"/>
        <w:gridCol w:w="1410"/>
        <w:gridCol w:w="1514"/>
        <w:gridCol w:w="1514"/>
        <w:gridCol w:w="1514"/>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56"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项目</w:t>
            </w:r>
          </w:p>
        </w:tc>
        <w:tc>
          <w:tcPr>
            <w:tcW w:w="14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lang w:val="en-US" w:eastAsia="zh-CN"/>
              </w:rPr>
              <w:t>y</w:t>
            </w:r>
            <w:r>
              <w:rPr>
                <w:rFonts w:ascii="Times New Roman" w:hAnsi="Times New Roman" w:eastAsia="宋体"/>
                <w:b/>
                <w:spacing w:val="0"/>
                <w:kern w:val="0"/>
                <w:sz w:val="20"/>
                <w:szCs w:val="20"/>
              </w:rPr>
              <w:t>9年</w:t>
            </w:r>
          </w:p>
        </w:tc>
        <w:tc>
          <w:tcPr>
            <w:tcW w:w="15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20x0年</w:t>
            </w:r>
          </w:p>
        </w:tc>
        <w:tc>
          <w:tcPr>
            <w:tcW w:w="15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20x1年</w:t>
            </w:r>
          </w:p>
        </w:tc>
        <w:tc>
          <w:tcPr>
            <w:tcW w:w="15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20x2年</w:t>
            </w:r>
          </w:p>
        </w:tc>
        <w:tc>
          <w:tcPr>
            <w:tcW w:w="15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20x3年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56"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Cs/>
                <w:spacing w:val="0"/>
                <w:kern w:val="0"/>
                <w:sz w:val="18"/>
                <w:szCs w:val="18"/>
              </w:rPr>
            </w:pPr>
            <w:r>
              <w:rPr>
                <w:rFonts w:ascii="Times New Roman" w:hAnsi="Times New Roman" w:eastAsia="宋体"/>
                <w:bCs/>
                <w:spacing w:val="0"/>
                <w:kern w:val="0"/>
                <w:sz w:val="18"/>
                <w:szCs w:val="18"/>
              </w:rPr>
              <w:t>贷款余额</w:t>
            </w:r>
          </w:p>
        </w:tc>
        <w:tc>
          <w:tcPr>
            <w:tcW w:w="14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63,211,533.40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76,046,315.60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86,866,553.60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99,717,784.51</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114,162,237.88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56"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存款余额</w:t>
            </w:r>
          </w:p>
        </w:tc>
        <w:tc>
          <w:tcPr>
            <w:tcW w:w="14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79,961,130.30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102,952,747.80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117,844,503.70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142,653,327.66</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160,436,487.58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056" w:type="dxa"/>
            <w:tcBorders>
              <w:top w:val="nil"/>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存贷比</w:t>
            </w:r>
          </w:p>
        </w:tc>
        <w:tc>
          <w:tcPr>
            <w:tcW w:w="14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79.05%</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73.87%</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73.71%</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69.90%</w:t>
            </w:r>
          </w:p>
        </w:tc>
        <w:tc>
          <w:tcPr>
            <w:tcW w:w="1514"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71.16%</w:t>
            </w:r>
          </w:p>
        </w:tc>
      </w:tr>
    </w:tbl>
    <w:p>
      <w:pPr>
        <w:spacing w:line="360" w:lineRule="auto"/>
        <w:ind w:firstLine="584" w:firstLineChars="200"/>
        <w:rPr>
          <w:rFonts w:ascii="Times New Roman" w:hAnsi="Times New Roman"/>
          <w:kern w:val="0"/>
          <w:sz w:val="28"/>
          <w:szCs w:val="28"/>
        </w:rPr>
      </w:pP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本次评估认为xx银行在预测期的存贷比可保持在评估基准日水平，即预测期的存贷比为71.16%，并依此为依据对预测期的贷款余额进行预测。</w:t>
      </w:r>
    </w:p>
    <w:tbl>
      <w:tblPr>
        <w:tblStyle w:val="27"/>
        <w:tblW w:w="80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
        <w:gridCol w:w="1426"/>
        <w:gridCol w:w="1426"/>
        <w:gridCol w:w="1426"/>
        <w:gridCol w:w="1426"/>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936"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项目</w:t>
            </w:r>
          </w:p>
        </w:tc>
        <w:tc>
          <w:tcPr>
            <w:tcW w:w="142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20x4年</w:t>
            </w:r>
          </w:p>
        </w:tc>
        <w:tc>
          <w:tcPr>
            <w:tcW w:w="142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20x5年</w:t>
            </w:r>
          </w:p>
        </w:tc>
        <w:tc>
          <w:tcPr>
            <w:tcW w:w="142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20x6年</w:t>
            </w:r>
          </w:p>
        </w:tc>
        <w:tc>
          <w:tcPr>
            <w:tcW w:w="142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20x7年</w:t>
            </w:r>
          </w:p>
        </w:tc>
        <w:tc>
          <w:tcPr>
            <w:tcW w:w="1426" w:type="dxa"/>
            <w:tcBorders>
              <w:top w:val="single" w:color="auto" w:sz="4"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9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贷款余额</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125,583,239.16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138,141,555.96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151,955,704.44</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165,631,731.36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178,882,292.64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9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存款余额</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176,480,100.00</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194,128,100.00</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213,540,900.00</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232,759,600.00</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251,380,400.00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9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存贷比</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71.16%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71.16%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71.16%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71.16%</w:t>
            </w:r>
          </w:p>
        </w:tc>
        <w:tc>
          <w:tcPr>
            <w:tcW w:w="1426"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71.16%</w:t>
            </w:r>
          </w:p>
        </w:tc>
      </w:tr>
    </w:tbl>
    <w:p>
      <w:pPr>
        <w:spacing w:line="360" w:lineRule="auto"/>
        <w:ind w:firstLine="584" w:firstLineChars="200"/>
        <w:rPr>
          <w:rFonts w:ascii="Times New Roman" w:hAnsi="Times New Roman"/>
          <w:sz w:val="28"/>
        </w:rPr>
      </w:pPr>
      <w:r>
        <w:rPr>
          <w:rFonts w:ascii="Times New Roman" w:hAnsi="Times New Roman"/>
          <w:sz w:val="28"/>
        </w:rPr>
        <w:t>3</w:t>
      </w:r>
      <w:r>
        <w:rPr>
          <w:rFonts w:hint="eastAsia" w:ascii="Times New Roman" w:hAnsi="Times New Roman"/>
          <w:sz w:val="28"/>
        </w:rPr>
        <w:t>．</w:t>
      </w:r>
      <w:r>
        <w:rPr>
          <w:rFonts w:ascii="Times New Roman" w:hAnsi="Times New Roman"/>
          <w:sz w:val="28"/>
        </w:rPr>
        <w:t>存放央行款项及存放同业及其他金融机构款项预测</w:t>
      </w:r>
    </w:p>
    <w:p>
      <w:pPr>
        <w:spacing w:line="360" w:lineRule="auto"/>
        <w:ind w:firstLine="584" w:firstLineChars="200"/>
        <w:rPr>
          <w:rFonts w:ascii="Times New Roman" w:hAnsi="Times New Roman"/>
          <w:sz w:val="28"/>
          <w:szCs w:val="28"/>
        </w:rPr>
      </w:pPr>
      <w:r>
        <w:rPr>
          <w:rFonts w:ascii="Times New Roman" w:hAnsi="Times New Roman"/>
          <w:kern w:val="0"/>
          <w:sz w:val="28"/>
          <w:szCs w:val="28"/>
        </w:rPr>
        <w:t>xx银行存放央行的款项主要为存放央行的准备金及超额准备金，xx银行20</w:t>
      </w:r>
      <w:r>
        <w:rPr>
          <w:rFonts w:hint="eastAsia" w:ascii="Times New Roman" w:hAnsi="Times New Roman"/>
          <w:kern w:val="0"/>
          <w:sz w:val="28"/>
          <w:szCs w:val="28"/>
        </w:rPr>
        <w:t>y</w:t>
      </w:r>
      <w:r>
        <w:rPr>
          <w:rFonts w:ascii="Times New Roman" w:hAnsi="Times New Roman"/>
          <w:kern w:val="0"/>
          <w:sz w:val="28"/>
          <w:szCs w:val="28"/>
        </w:rPr>
        <w:t>9年至20x3年存款准备金率维持在20%左右,如下表所示。</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7"/>
        <w:gridCol w:w="1431"/>
        <w:gridCol w:w="1431"/>
        <w:gridCol w:w="1431"/>
        <w:gridCol w:w="1431"/>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07" w:type="dxa"/>
            <w:tcBorders>
              <w:top w:val="single" w:color="auto" w:sz="8"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项目</w:t>
            </w:r>
          </w:p>
        </w:tc>
        <w:tc>
          <w:tcPr>
            <w:tcW w:w="143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lang w:val="en-US" w:eastAsia="zh-CN"/>
              </w:rPr>
              <w:t>y</w:t>
            </w:r>
            <w:r>
              <w:rPr>
                <w:rFonts w:ascii="Times New Roman" w:hAnsi="Times New Roman" w:eastAsia="宋体"/>
                <w:b/>
                <w:spacing w:val="0"/>
                <w:kern w:val="0"/>
                <w:sz w:val="18"/>
                <w:szCs w:val="18"/>
              </w:rPr>
              <w:t>9年</w:t>
            </w:r>
          </w:p>
        </w:tc>
        <w:tc>
          <w:tcPr>
            <w:tcW w:w="143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20x0年</w:t>
            </w:r>
          </w:p>
        </w:tc>
        <w:tc>
          <w:tcPr>
            <w:tcW w:w="143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20x1年</w:t>
            </w:r>
          </w:p>
        </w:tc>
        <w:tc>
          <w:tcPr>
            <w:tcW w:w="143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20x2年</w:t>
            </w:r>
          </w:p>
        </w:tc>
        <w:tc>
          <w:tcPr>
            <w:tcW w:w="1431"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07" w:type="dxa"/>
            <w:tcBorders>
              <w:top w:val="nil"/>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宋体"/>
                <w:bCs/>
                <w:sz w:val="18"/>
                <w:szCs w:val="18"/>
              </w:rPr>
            </w:pPr>
            <w:r>
              <w:rPr>
                <w:rFonts w:ascii="Times New Roman" w:hAnsi="Times New Roman" w:eastAsia="宋体"/>
                <w:bCs/>
                <w:sz w:val="18"/>
                <w:szCs w:val="18"/>
              </w:rPr>
              <w:t>存放中央银行款项</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13,736,655.60</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18,571,265.30</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22,859,996.60</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28,541,821.53</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31,249,361.53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007" w:type="dxa"/>
            <w:tcBorders>
              <w:top w:val="nil"/>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准备金率</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17.18%</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18.04%</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19.40%</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20.01%</w:t>
            </w:r>
          </w:p>
        </w:tc>
        <w:tc>
          <w:tcPr>
            <w:tcW w:w="1431"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19.48%</w:t>
            </w:r>
          </w:p>
        </w:tc>
      </w:tr>
    </w:tbl>
    <w:p>
      <w:pPr>
        <w:spacing w:line="360" w:lineRule="auto"/>
        <w:ind w:firstLine="584" w:firstLineChars="200"/>
        <w:rPr>
          <w:rFonts w:ascii="Times New Roman" w:hAnsi="Times New Roman"/>
          <w:sz w:val="28"/>
        </w:rPr>
      </w:pP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预测20x4年及以后xx银行的存款准备金率维持20%。预测期xx银行存放央行款项预测如下表所示。</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7"/>
        <w:gridCol w:w="1442"/>
        <w:gridCol w:w="1442"/>
        <w:gridCol w:w="1442"/>
        <w:gridCol w:w="1442"/>
        <w:gridCol w:w="1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57" w:type="dxa"/>
            <w:tcBorders>
              <w:top w:val="single" w:color="auto" w:sz="8"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项目</w:t>
            </w:r>
          </w:p>
        </w:tc>
        <w:tc>
          <w:tcPr>
            <w:tcW w:w="1442" w:type="dxa"/>
            <w:tcBorders>
              <w:top w:val="single" w:color="auto" w:sz="8"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20x4年</w:t>
            </w:r>
          </w:p>
        </w:tc>
        <w:tc>
          <w:tcPr>
            <w:tcW w:w="1442" w:type="dxa"/>
            <w:tcBorders>
              <w:top w:val="single" w:color="auto" w:sz="8"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20x5年</w:t>
            </w:r>
          </w:p>
        </w:tc>
        <w:tc>
          <w:tcPr>
            <w:tcW w:w="1442" w:type="dxa"/>
            <w:tcBorders>
              <w:top w:val="single" w:color="auto" w:sz="8"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20x6年</w:t>
            </w:r>
          </w:p>
        </w:tc>
        <w:tc>
          <w:tcPr>
            <w:tcW w:w="1442" w:type="dxa"/>
            <w:tcBorders>
              <w:top w:val="single" w:color="auto" w:sz="8"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20x7年</w:t>
            </w:r>
          </w:p>
        </w:tc>
        <w:tc>
          <w:tcPr>
            <w:tcW w:w="1437" w:type="dxa"/>
            <w:tcBorders>
              <w:top w:val="single" w:color="auto" w:sz="8" w:space="0"/>
              <w:left w:val="nil"/>
              <w:bottom w:val="single" w:color="auto" w:sz="4" w:space="0"/>
              <w:right w:val="single" w:color="auto" w:sz="4" w:space="0"/>
            </w:tcBorders>
            <w:vAlign w:val="center"/>
          </w:tcPr>
          <w:p>
            <w:pPr>
              <w:spacing w:line="240" w:lineRule="auto"/>
              <w:jc w:val="center"/>
              <w:rPr>
                <w:rFonts w:ascii="Times New Roman" w:hAnsi="Times New Roman"/>
                <w:b/>
                <w:sz w:val="18"/>
                <w:szCs w:val="18"/>
              </w:rPr>
            </w:pPr>
            <w:r>
              <w:rPr>
                <w:rFonts w:ascii="Times New Roman" w:hAnsi="Times New Roman"/>
                <w:b/>
                <w:sz w:val="18"/>
                <w:szCs w:val="18"/>
              </w:rPr>
              <w:t>20x8年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57" w:type="dxa"/>
            <w:tcBorders>
              <w:top w:val="nil"/>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宋体"/>
                <w:bCs/>
                <w:sz w:val="18"/>
                <w:szCs w:val="18"/>
              </w:rPr>
            </w:pPr>
            <w:r>
              <w:rPr>
                <w:rFonts w:ascii="Times New Roman" w:hAnsi="Times New Roman" w:eastAsia="宋体"/>
                <w:bCs/>
                <w:sz w:val="18"/>
                <w:szCs w:val="18"/>
              </w:rPr>
              <w:t>存放中央银行款项</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35,296,020.00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38,825,620.00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42,708,180.00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46,551,920.00</w:t>
            </w:r>
          </w:p>
        </w:tc>
        <w:tc>
          <w:tcPr>
            <w:tcW w:w="1437"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50,276,080.00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57" w:type="dxa"/>
            <w:tcBorders>
              <w:top w:val="nil"/>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准备金率</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20.00%</w:t>
            </w:r>
          </w:p>
        </w:tc>
        <w:tc>
          <w:tcPr>
            <w:tcW w:w="144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20.00%</w:t>
            </w:r>
          </w:p>
        </w:tc>
        <w:tc>
          <w:tcPr>
            <w:tcW w:w="1437"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微软雅黑"/>
                <w:sz w:val="18"/>
                <w:szCs w:val="18"/>
              </w:rPr>
            </w:pPr>
            <w:r>
              <w:rPr>
                <w:rFonts w:ascii="Times New Roman" w:hAnsi="Times New Roman" w:eastAsia="微软雅黑"/>
                <w:sz w:val="18"/>
                <w:szCs w:val="18"/>
              </w:rPr>
              <w:t>20.00%</w:t>
            </w:r>
          </w:p>
        </w:tc>
      </w:tr>
    </w:tbl>
    <w:p>
      <w:pPr>
        <w:spacing w:line="360" w:lineRule="auto"/>
        <w:ind w:firstLine="584" w:firstLineChars="200"/>
        <w:rPr>
          <w:rFonts w:ascii="Times New Roman" w:hAnsi="Times New Roman"/>
          <w:sz w:val="28"/>
        </w:rPr>
      </w:pPr>
    </w:p>
    <w:p>
      <w:pPr>
        <w:spacing w:line="360" w:lineRule="auto"/>
        <w:ind w:firstLine="584" w:firstLineChars="200"/>
        <w:rPr>
          <w:rFonts w:ascii="Times New Roman" w:hAnsi="Times New Roman"/>
          <w:sz w:val="28"/>
        </w:rPr>
      </w:pPr>
      <w:r>
        <w:rPr>
          <w:rFonts w:ascii="Times New Roman" w:hAnsi="Times New Roman"/>
          <w:sz w:val="28"/>
        </w:rPr>
        <w:t>存放同业及其他金融机构款项根据历史年度存放同业款项占资产总额的比重及企业规划进行预测。</w:t>
      </w:r>
    </w:p>
    <w:p>
      <w:pPr>
        <w:spacing w:line="360" w:lineRule="auto"/>
        <w:ind w:firstLine="584" w:firstLineChars="200"/>
        <w:rPr>
          <w:rFonts w:ascii="Times New Roman" w:hAnsi="Times New Roman"/>
          <w:sz w:val="28"/>
        </w:rPr>
      </w:pPr>
      <w:r>
        <w:rPr>
          <w:rFonts w:ascii="Times New Roman" w:hAnsi="Times New Roman"/>
          <w:sz w:val="28"/>
        </w:rPr>
        <w:t>4</w:t>
      </w:r>
      <w:r>
        <w:rPr>
          <w:rFonts w:hint="eastAsia" w:ascii="Times New Roman" w:hAnsi="Times New Roman"/>
          <w:sz w:val="28"/>
        </w:rPr>
        <w:t>．</w:t>
      </w:r>
      <w:r>
        <w:rPr>
          <w:rFonts w:ascii="Times New Roman" w:hAnsi="Times New Roman"/>
          <w:sz w:val="28"/>
        </w:rPr>
        <w:t>应付债券规模预测</w:t>
      </w:r>
    </w:p>
    <w:p>
      <w:pPr>
        <w:spacing w:line="360" w:lineRule="auto"/>
        <w:ind w:firstLine="584" w:firstLineChars="200"/>
        <w:rPr>
          <w:rFonts w:ascii="Times New Roman" w:hAnsi="Times New Roman"/>
          <w:sz w:val="28"/>
        </w:rPr>
      </w:pPr>
      <w:r>
        <w:rPr>
          <w:rFonts w:ascii="Times New Roman" w:hAnsi="Times New Roman"/>
          <w:sz w:val="28"/>
        </w:rPr>
        <w:t>截至评估基准日，xx银行账面应付债券次级债和一般金融债，次级债的账面值为97亿元，一般金融债为325.47亿元。其中 20</w:t>
      </w:r>
      <w:r>
        <w:rPr>
          <w:rFonts w:hint="eastAsia" w:ascii="Times New Roman" w:hAnsi="Times New Roman"/>
          <w:sz w:val="28"/>
        </w:rPr>
        <w:t>y</w:t>
      </w:r>
      <w:r>
        <w:rPr>
          <w:rFonts w:ascii="Times New Roman" w:hAnsi="Times New Roman"/>
          <w:sz w:val="28"/>
        </w:rPr>
        <w:t>9年第一期次级债券30亿元已在20x4年2月赎回。20x4年6月9日xx银行已成功发行162亿次级债，利率为6.2%。</w:t>
      </w:r>
    </w:p>
    <w:p>
      <w:pPr>
        <w:spacing w:line="360" w:lineRule="auto"/>
        <w:ind w:firstLine="584" w:firstLineChars="200"/>
        <w:rPr>
          <w:rFonts w:ascii="Times New Roman" w:hAnsi="Times New Roman"/>
          <w:sz w:val="28"/>
        </w:rPr>
      </w:pPr>
      <w:r>
        <w:rPr>
          <w:rFonts w:ascii="Times New Roman" w:hAnsi="Times New Roman"/>
          <w:sz w:val="28"/>
        </w:rPr>
        <w:t>本次评估假设xx企业在预测期应付债券规模不变，到期后以同样的利率重新发行。</w:t>
      </w:r>
    </w:p>
    <w:p>
      <w:pPr>
        <w:spacing w:line="360" w:lineRule="auto"/>
        <w:ind w:firstLine="584" w:firstLineChars="200"/>
        <w:rPr>
          <w:rFonts w:ascii="Times New Roman" w:hAnsi="Times New Roman"/>
          <w:sz w:val="28"/>
        </w:rPr>
      </w:pPr>
      <w:r>
        <w:rPr>
          <w:rFonts w:ascii="Times New Roman" w:hAnsi="Times New Roman"/>
          <w:sz w:val="28"/>
        </w:rPr>
        <w:t>5</w:t>
      </w:r>
      <w:r>
        <w:rPr>
          <w:rFonts w:hint="eastAsia" w:ascii="Times New Roman" w:hAnsi="Times New Roman"/>
          <w:sz w:val="28"/>
        </w:rPr>
        <w:t>．</w:t>
      </w:r>
      <w:r>
        <w:rPr>
          <w:rFonts w:ascii="Times New Roman" w:hAnsi="Times New Roman"/>
          <w:sz w:val="28"/>
        </w:rPr>
        <w:t>其他资产、负债科目预测</w:t>
      </w:r>
    </w:p>
    <w:p>
      <w:pPr>
        <w:spacing w:line="360" w:lineRule="auto"/>
        <w:ind w:firstLine="584" w:firstLineChars="200"/>
        <w:rPr>
          <w:rFonts w:ascii="Times New Roman" w:hAnsi="Times New Roman"/>
          <w:sz w:val="28"/>
        </w:rPr>
      </w:pPr>
      <w:r>
        <w:rPr>
          <w:rFonts w:ascii="Times New Roman" w:hAnsi="Times New Roman"/>
          <w:sz w:val="28"/>
        </w:rPr>
        <w:t>其他资产科目根据历史期的水平预测，若无明确资本性支出计划，一般认为保持评估基准日水平不变。</w:t>
      </w:r>
    </w:p>
    <w:p>
      <w:pPr>
        <w:spacing w:line="360" w:lineRule="auto"/>
        <w:ind w:firstLine="584" w:firstLineChars="200"/>
        <w:rPr>
          <w:rFonts w:ascii="Times New Roman" w:hAnsi="Times New Roman"/>
          <w:sz w:val="28"/>
        </w:rPr>
      </w:pPr>
      <w:r>
        <w:rPr>
          <w:rFonts w:ascii="Times New Roman" w:hAnsi="Times New Roman"/>
          <w:sz w:val="28"/>
        </w:rPr>
        <w:t>对xx银行资产负债预测如下表所示。</w:t>
      </w:r>
    </w:p>
    <w:p>
      <w:pPr>
        <w:spacing w:line="360" w:lineRule="auto"/>
        <w:ind w:firstLine="584" w:firstLineChars="200"/>
        <w:rPr>
          <w:rFonts w:ascii="Times New Roman" w:hAnsi="Times New Roman"/>
          <w:sz w:val="28"/>
        </w:rPr>
      </w:pP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8"/>
        <w:gridCol w:w="1458"/>
        <w:gridCol w:w="1459"/>
        <w:gridCol w:w="1459"/>
        <w:gridCol w:w="145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blHeader/>
        </w:trPr>
        <w:tc>
          <w:tcPr>
            <w:tcW w:w="1868"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项目名称</w:t>
            </w:r>
          </w:p>
        </w:tc>
        <w:tc>
          <w:tcPr>
            <w:tcW w:w="1458"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rPr>
              <w:t>x</w:t>
            </w:r>
            <w:r>
              <w:rPr>
                <w:rFonts w:ascii="Times New Roman" w:hAnsi="Times New Roman" w:eastAsia="宋体"/>
                <w:b/>
                <w:spacing w:val="0"/>
                <w:kern w:val="0"/>
                <w:sz w:val="18"/>
                <w:szCs w:val="18"/>
              </w:rPr>
              <w:t>4年</w:t>
            </w:r>
          </w:p>
        </w:tc>
        <w:tc>
          <w:tcPr>
            <w:tcW w:w="1459"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rPr>
              <w:t>x</w:t>
            </w:r>
            <w:r>
              <w:rPr>
                <w:rFonts w:ascii="Times New Roman" w:hAnsi="Times New Roman" w:eastAsia="宋体"/>
                <w:b/>
                <w:spacing w:val="0"/>
                <w:kern w:val="0"/>
                <w:sz w:val="18"/>
                <w:szCs w:val="18"/>
              </w:rPr>
              <w:t>5年</w:t>
            </w:r>
          </w:p>
        </w:tc>
        <w:tc>
          <w:tcPr>
            <w:tcW w:w="1459"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rPr>
              <w:t>x</w:t>
            </w:r>
            <w:r>
              <w:rPr>
                <w:rFonts w:ascii="Times New Roman" w:hAnsi="Times New Roman" w:eastAsia="宋体"/>
                <w:b/>
                <w:spacing w:val="0"/>
                <w:kern w:val="0"/>
                <w:sz w:val="18"/>
                <w:szCs w:val="18"/>
              </w:rPr>
              <w:t>6年</w:t>
            </w:r>
          </w:p>
        </w:tc>
        <w:tc>
          <w:tcPr>
            <w:tcW w:w="1459"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rPr>
              <w:t>x</w:t>
            </w:r>
            <w:r>
              <w:rPr>
                <w:rFonts w:ascii="Times New Roman" w:hAnsi="Times New Roman" w:eastAsia="宋体"/>
                <w:b/>
                <w:spacing w:val="0"/>
                <w:kern w:val="0"/>
                <w:sz w:val="18"/>
                <w:szCs w:val="18"/>
              </w:rPr>
              <w:t>7年</w:t>
            </w:r>
          </w:p>
        </w:tc>
        <w:tc>
          <w:tcPr>
            <w:tcW w:w="1459" w:type="dxa"/>
            <w:tcBorders>
              <w:top w:val="single" w:color="auto" w:sz="8" w:space="0"/>
              <w:left w:val="nil"/>
              <w:bottom w:val="single" w:color="auto" w:sz="4" w:space="0"/>
              <w:right w:val="single" w:color="auto" w:sz="8"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w:t>
            </w:r>
            <w:r>
              <w:rPr>
                <w:rFonts w:hint="eastAsia" w:ascii="Times New Roman" w:hAnsi="Times New Roman" w:eastAsia="宋体"/>
                <w:b/>
                <w:spacing w:val="0"/>
                <w:kern w:val="0"/>
                <w:sz w:val="18"/>
                <w:szCs w:val="18"/>
              </w:rPr>
              <w:t>x</w:t>
            </w:r>
            <w:r>
              <w:rPr>
                <w:rFonts w:ascii="Times New Roman" w:hAnsi="Times New Roman" w:eastAsia="宋体"/>
                <w:b/>
                <w:spacing w:val="0"/>
                <w:kern w:val="0"/>
                <w:sz w:val="18"/>
                <w:szCs w:val="18"/>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资产</w:t>
            </w:r>
          </w:p>
        </w:tc>
        <w:tc>
          <w:tcPr>
            <w:tcW w:w="145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p>
        </w:tc>
        <w:tc>
          <w:tcPr>
            <w:tcW w:w="14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p>
        </w:tc>
        <w:tc>
          <w:tcPr>
            <w:tcW w:w="14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p>
        </w:tc>
        <w:tc>
          <w:tcPr>
            <w:tcW w:w="14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center"/>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现金及存放中央银行款项</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35,296,020.00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38,825,620.00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42,708,180.00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46,551,920.00</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50,276,080.00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存放同业及其他金融机构款项</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41,207,957.88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46,179,034.48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50,627,236.81</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55,310,117.42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59,889,299.97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贵金属</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拆出资金</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交易性金融资产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52,501,177.88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58,131,649.01</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65,492,927.45</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72,709,505.42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79,811,051.54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衍生金融资产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买入返售金融资产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应收利息</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1,295,545.02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1,295,545.02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1,295,545.02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1,295,545.02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1,295,545.02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发放贷款和垫款</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125,583,239.16</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138,141,555.96</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151,955,704.44</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165,631,731.36</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178,882,292.64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代理业务资产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可供出售金融资产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持有至到期投资</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长期股权投资</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92,371.98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92,371.98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92,371.98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92,371.98</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92,371.98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应收款项类投资</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固定资产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1,261,511.98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1,261,511.98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1,261,511.98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1,261,511.98</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1,261,511.98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无形资产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76,006.95</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76,006.95</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76,006.95</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76,006.95</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76,006.95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商誉</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128,100.00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128,100.00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128,100.00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128,100.00</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递延所得税资产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395,466.34</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395,466.34</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395,466.34</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395,466.34</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395,466.34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投资性房地产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其他资产</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5,668,302.99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5,668,302.99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5,668,302.99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5,668,302.99</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5,668,302.99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资产总计</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263,505,700.18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290,195,164.71</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319,701,353.96</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349,120,579.46</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377,776,029.41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负债和股东权益</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同业及其他金融机构存放款项</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59,515,696.67</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65,467,307.61</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72,014,054.89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78,495,336.34</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84,774,936.83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向中央银行借款</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拆入资金</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交易性金融负债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衍生金融负债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卖出回购金融资产款项</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吸收存款</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176,480,100.00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194,128,100.00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213,540,900.00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232,759,600.00</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251,380,400.00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应付职工薪酬</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810,546.27</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810,546.27</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810,546.27</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810,546.27</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810,546.27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应交税费</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257,846.62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257,846.62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257,846.62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257,846.62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257,846.62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应付利息</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2,077,869.22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2,077,869.22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2,077,869.22</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2,077,869.22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2,077,869.22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代理业务负债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应付债券</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5,290,000.00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5,290,000.00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5,290,000.00</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5,290,000.00</w:t>
            </w:r>
          </w:p>
        </w:tc>
        <w:tc>
          <w:tcPr>
            <w:tcW w:w="14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递延所得税负债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459" w:type="dxa"/>
            <w:tcBorders>
              <w:top w:val="single" w:color="auto" w:sz="4" w:space="0"/>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预计负债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32,631.68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32,631.68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32,631.68</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32,631.68</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32,631.68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其他负债</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2,481,047.19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2,481,047.19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2,481,047.19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2,481,047.19</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2,481,047.19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868"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负债合计</w:t>
            </w:r>
          </w:p>
        </w:tc>
        <w:tc>
          <w:tcPr>
            <w:tcW w:w="145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246,945,737.65</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270,545,348.59</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296,504,895.87</w:t>
            </w:r>
          </w:p>
        </w:tc>
        <w:tc>
          <w:tcPr>
            <w:tcW w:w="1459"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322,204,877.32</w:t>
            </w:r>
          </w:p>
        </w:tc>
        <w:tc>
          <w:tcPr>
            <w:tcW w:w="1459" w:type="dxa"/>
            <w:tcBorders>
              <w:top w:val="nil"/>
              <w:left w:val="single" w:color="auto" w:sz="4" w:space="0"/>
              <w:bottom w:val="single" w:color="auto" w:sz="4" w:space="0"/>
              <w:right w:val="single" w:color="auto" w:sz="8"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347,105,277.81</w:t>
            </w:r>
          </w:p>
        </w:tc>
      </w:tr>
    </w:tbl>
    <w:p>
      <w:pPr>
        <w:spacing w:line="360" w:lineRule="auto"/>
        <w:ind w:firstLine="584" w:firstLineChars="200"/>
        <w:rPr>
          <w:rFonts w:ascii="Times New Roman" w:hAnsi="Times New Roman"/>
          <w:sz w:val="28"/>
        </w:rPr>
      </w:pPr>
    </w:p>
    <w:p>
      <w:pPr>
        <w:spacing w:line="360" w:lineRule="auto"/>
        <w:ind w:firstLine="638" w:firstLineChars="200"/>
        <w:outlineLvl w:val="0"/>
        <w:rPr>
          <w:rFonts w:ascii="Times New Roman" w:hAnsi="Times New Roman"/>
          <w:b/>
          <w:spacing w:val="-1"/>
          <w:sz w:val="32"/>
          <w:szCs w:val="32"/>
          <w:lang w:val="zh-TW"/>
        </w:rPr>
      </w:pPr>
      <w:r>
        <w:rPr>
          <w:rFonts w:hint="eastAsia" w:ascii="Times New Roman" w:hAnsi="Times New Roman"/>
          <w:b/>
          <w:spacing w:val="-1"/>
          <w:sz w:val="32"/>
          <w:szCs w:val="32"/>
          <w:lang w:val="zh-TW"/>
        </w:rPr>
        <w:t>案例二：银行权益变动表预测</w:t>
      </w:r>
    </w:p>
    <w:p>
      <w:pPr>
        <w:spacing w:line="360" w:lineRule="auto"/>
        <w:ind w:firstLine="584" w:firstLineChars="200"/>
        <w:rPr>
          <w:rFonts w:ascii="Times New Roman" w:hAnsi="Times New Roman"/>
          <w:sz w:val="28"/>
        </w:rPr>
      </w:pPr>
      <w:r>
        <w:rPr>
          <w:rFonts w:ascii="Times New Roman" w:hAnsi="Times New Roman"/>
          <w:sz w:val="28"/>
        </w:rPr>
        <w:t>根据xx银行资产、负债规模，结合股本、资本公积、一般风险准备及实现净利润对权益变动表进行预测。</w:t>
      </w:r>
    </w:p>
    <w:p>
      <w:pPr>
        <w:spacing w:line="360" w:lineRule="auto"/>
        <w:ind w:firstLine="584" w:firstLineChars="200"/>
        <w:rPr>
          <w:rFonts w:ascii="Times New Roman" w:hAnsi="Times New Roman"/>
          <w:sz w:val="28"/>
        </w:rPr>
      </w:pPr>
      <w:r>
        <w:rPr>
          <w:rFonts w:ascii="Times New Roman" w:hAnsi="Times New Roman"/>
          <w:sz w:val="28"/>
        </w:rPr>
        <w:t>股本和资本公积在预测期保持评估基准日水平不变。盈余公积根据公司法关于提取盈余公积的相关规定，按净利润的10%进行提取，当提取的法定盈余公积金累计额超过注册资本的50%以上时，可以不再提取。一般风险准备根据监管政策按照净利润的10%进行提取。按照会计政策提取盈余公积和一般风险准备后，对xx银行的资本充足率进行测算，使资本充足率满足监管要求的前提下将利润最大程度进行分配。</w:t>
      </w:r>
    </w:p>
    <w:p>
      <w:pPr>
        <w:spacing w:line="360" w:lineRule="auto"/>
        <w:ind w:firstLine="584" w:firstLineChars="200"/>
        <w:rPr>
          <w:rFonts w:ascii="Times New Roman" w:hAnsi="Times New Roman"/>
          <w:sz w:val="28"/>
          <w:szCs w:val="28"/>
          <w:lang w:val="zh-CN"/>
        </w:rPr>
      </w:pPr>
      <w:r>
        <w:rPr>
          <w:rFonts w:ascii="Times New Roman" w:hAnsi="Times New Roman"/>
          <w:sz w:val="28"/>
          <w:szCs w:val="28"/>
        </w:rPr>
        <w:t>2012年6月7日，银监会发布了《商业银行资本管理办法（试行）》（以下简称“《资本办法》”）。《资本办法》将于2013年1月1日起施行，要求商业银行在2018年底前达到规定的资本充足率监管要求。通过尽职调查了解到，</w:t>
      </w:r>
      <w:r>
        <w:rPr>
          <w:rFonts w:ascii="Times New Roman" w:hAnsi="Times New Roman"/>
          <w:sz w:val="28"/>
          <w:szCs w:val="28"/>
          <w:lang w:val="zh-CN"/>
        </w:rPr>
        <w:t>xx银行在过渡年份资本充足率也会争取保持在10.5%的监管水平以上，</w:t>
      </w:r>
      <w:r>
        <w:rPr>
          <w:rFonts w:hint="eastAsia" w:ascii="Times New Roman" w:hAnsi="Times New Roman"/>
          <w:sz w:val="28"/>
          <w:szCs w:val="28"/>
          <w:lang w:val="zh-CN"/>
        </w:rPr>
        <w:t>资产评估师</w:t>
      </w:r>
      <w:r>
        <w:rPr>
          <w:rFonts w:ascii="Times New Roman" w:hAnsi="Times New Roman"/>
          <w:sz w:val="28"/>
          <w:szCs w:val="28"/>
          <w:lang w:val="zh-CN"/>
        </w:rPr>
        <w:t>根据xx银行的发展速度，资产的扩张速度，为使盈利预测中的核心资本充足率达到要求，一方面在满足资本充足率监管要求，提取一般风险准备和盈余公积后，最大可能分配利润；另一方面在资本不足时进行资本补充。资本充足率根据历史年度风险资本占总资产比重进行测算。</w:t>
      </w:r>
    </w:p>
    <w:p>
      <w:pPr>
        <w:spacing w:line="360" w:lineRule="auto"/>
        <w:jc w:val="center"/>
        <w:rPr>
          <w:rFonts w:ascii="Times New Roman" w:hAnsi="Times New Roman" w:eastAsia="黑体"/>
          <w:sz w:val="24"/>
        </w:rPr>
      </w:pPr>
      <w:r>
        <w:rPr>
          <w:rFonts w:ascii="Times New Roman" w:hAnsi="Times New Roman" w:eastAsia="黑体"/>
          <w:sz w:val="24"/>
        </w:rPr>
        <w:t>资本充足率监管表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1297"/>
        <w:gridCol w:w="1297"/>
        <w:gridCol w:w="1297"/>
        <w:gridCol w:w="129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39" w:type="dxa"/>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年份</w:t>
            </w:r>
          </w:p>
        </w:tc>
        <w:tc>
          <w:tcPr>
            <w:tcW w:w="129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20x4</w:t>
            </w:r>
            <w:r>
              <w:rPr>
                <w:rFonts w:ascii="Times New Roman" w:hAnsi="宋体" w:eastAsia="宋体"/>
                <w:b/>
                <w:kern w:val="0"/>
                <w:sz w:val="18"/>
                <w:szCs w:val="18"/>
              </w:rPr>
              <w:t>年</w:t>
            </w:r>
          </w:p>
        </w:tc>
        <w:tc>
          <w:tcPr>
            <w:tcW w:w="129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20x5</w:t>
            </w:r>
            <w:r>
              <w:rPr>
                <w:rFonts w:ascii="Times New Roman" w:hAnsi="宋体" w:eastAsia="宋体"/>
                <w:b/>
                <w:kern w:val="0"/>
                <w:sz w:val="18"/>
                <w:szCs w:val="18"/>
              </w:rPr>
              <w:t>年</w:t>
            </w:r>
          </w:p>
        </w:tc>
        <w:tc>
          <w:tcPr>
            <w:tcW w:w="129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20x6</w:t>
            </w:r>
            <w:r>
              <w:rPr>
                <w:rFonts w:ascii="Times New Roman" w:hAnsi="宋体" w:eastAsia="宋体"/>
                <w:b/>
                <w:kern w:val="0"/>
                <w:sz w:val="18"/>
                <w:szCs w:val="18"/>
              </w:rPr>
              <w:t>年</w:t>
            </w:r>
          </w:p>
        </w:tc>
        <w:tc>
          <w:tcPr>
            <w:tcW w:w="129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20x7</w:t>
            </w:r>
            <w:r>
              <w:rPr>
                <w:rFonts w:ascii="Times New Roman" w:hAnsi="宋体" w:eastAsia="宋体"/>
                <w:b/>
                <w:kern w:val="0"/>
                <w:sz w:val="18"/>
                <w:szCs w:val="18"/>
              </w:rPr>
              <w:t>年</w:t>
            </w:r>
          </w:p>
        </w:tc>
        <w:tc>
          <w:tcPr>
            <w:tcW w:w="1295"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20x8</w:t>
            </w:r>
            <w:r>
              <w:rPr>
                <w:rFonts w:ascii="Times New Roman" w:hAnsi="宋体" w:eastAsia="宋体"/>
                <w:b/>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39"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核心一级资本充足率</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8.56%</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8.81%</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9.03%</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9.22%</w:t>
            </w:r>
          </w:p>
        </w:tc>
        <w:tc>
          <w:tcPr>
            <w:tcW w:w="1295"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39"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一级资本充足率</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8.56%</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8.81%</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9.03%</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9.22%</w:t>
            </w:r>
          </w:p>
        </w:tc>
        <w:tc>
          <w:tcPr>
            <w:tcW w:w="1295"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039"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资本充足率</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10.512%</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10.503%</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10.502%</w:t>
            </w:r>
          </w:p>
        </w:tc>
        <w:tc>
          <w:tcPr>
            <w:tcW w:w="1297"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10.512%</w:t>
            </w:r>
          </w:p>
        </w:tc>
        <w:tc>
          <w:tcPr>
            <w:tcW w:w="1295"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10.505%</w:t>
            </w:r>
          </w:p>
        </w:tc>
      </w:tr>
    </w:tbl>
    <w:p>
      <w:pPr>
        <w:spacing w:line="360" w:lineRule="auto"/>
        <w:ind w:firstLine="584" w:firstLineChars="200"/>
        <w:rPr>
          <w:rFonts w:ascii="Times New Roman" w:hAnsi="Times New Roman"/>
          <w:sz w:val="28"/>
          <w:szCs w:val="28"/>
        </w:rPr>
      </w:pPr>
    </w:p>
    <w:p>
      <w:pPr>
        <w:spacing w:line="360" w:lineRule="auto"/>
        <w:ind w:firstLine="584" w:firstLineChars="200"/>
        <w:rPr>
          <w:rFonts w:ascii="Times New Roman" w:hAnsi="Times New Roman"/>
          <w:sz w:val="28"/>
          <w:szCs w:val="28"/>
        </w:rPr>
      </w:pPr>
      <w:r>
        <w:rPr>
          <w:rFonts w:ascii="Times New Roman" w:hAnsi="Times New Roman"/>
          <w:sz w:val="28"/>
          <w:szCs w:val="28"/>
        </w:rPr>
        <w:t>综上，对xx银行所有者权益的预测如下表所示。</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6"/>
        <w:gridCol w:w="1387"/>
        <w:gridCol w:w="1387"/>
        <w:gridCol w:w="1387"/>
        <w:gridCol w:w="1387"/>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blHeader/>
        </w:trPr>
        <w:tc>
          <w:tcPr>
            <w:tcW w:w="2036" w:type="dxa"/>
            <w:tcBorders>
              <w:top w:val="single" w:color="auto" w:sz="8" w:space="0"/>
              <w:left w:val="single" w:color="auto" w:sz="8"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spacing w:val="0"/>
                <w:kern w:val="0"/>
                <w:sz w:val="18"/>
                <w:szCs w:val="18"/>
              </w:rPr>
            </w:pPr>
            <w:r>
              <w:rPr>
                <w:rFonts w:ascii="Times New Roman" w:hAnsi="Times New Roman" w:eastAsia="宋体"/>
                <w:b/>
                <w:bCs/>
                <w:spacing w:val="0"/>
                <w:kern w:val="0"/>
                <w:sz w:val="18"/>
                <w:szCs w:val="18"/>
              </w:rPr>
              <w:t>科目</w:t>
            </w:r>
          </w:p>
        </w:tc>
        <w:tc>
          <w:tcPr>
            <w:tcW w:w="1387"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rPr>
              <w:t>x</w:t>
            </w:r>
            <w:r>
              <w:rPr>
                <w:rFonts w:ascii="Times New Roman" w:hAnsi="Times New Roman" w:eastAsia="宋体"/>
                <w:b/>
                <w:spacing w:val="0"/>
                <w:kern w:val="0"/>
                <w:sz w:val="20"/>
                <w:szCs w:val="20"/>
              </w:rPr>
              <w:t>4年</w:t>
            </w:r>
          </w:p>
        </w:tc>
        <w:tc>
          <w:tcPr>
            <w:tcW w:w="1387"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rPr>
              <w:t>x</w:t>
            </w:r>
            <w:r>
              <w:rPr>
                <w:rFonts w:ascii="Times New Roman" w:hAnsi="Times New Roman" w:eastAsia="宋体"/>
                <w:b/>
                <w:spacing w:val="0"/>
                <w:kern w:val="0"/>
                <w:sz w:val="20"/>
                <w:szCs w:val="20"/>
              </w:rPr>
              <w:t>5年</w:t>
            </w:r>
          </w:p>
        </w:tc>
        <w:tc>
          <w:tcPr>
            <w:tcW w:w="1387"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rPr>
              <w:t>x</w:t>
            </w:r>
            <w:r>
              <w:rPr>
                <w:rFonts w:ascii="Times New Roman" w:hAnsi="Times New Roman" w:eastAsia="宋体"/>
                <w:b/>
                <w:spacing w:val="0"/>
                <w:kern w:val="0"/>
                <w:sz w:val="20"/>
                <w:szCs w:val="20"/>
              </w:rPr>
              <w:t>6年</w:t>
            </w:r>
          </w:p>
        </w:tc>
        <w:tc>
          <w:tcPr>
            <w:tcW w:w="1387"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rPr>
              <w:t>x</w:t>
            </w:r>
            <w:r>
              <w:rPr>
                <w:rFonts w:ascii="Times New Roman" w:hAnsi="Times New Roman" w:eastAsia="宋体"/>
                <w:b/>
                <w:spacing w:val="0"/>
                <w:kern w:val="0"/>
                <w:sz w:val="20"/>
                <w:szCs w:val="20"/>
              </w:rPr>
              <w:t>7年</w:t>
            </w:r>
          </w:p>
        </w:tc>
        <w:tc>
          <w:tcPr>
            <w:tcW w:w="1578" w:type="dxa"/>
            <w:tcBorders>
              <w:top w:val="single" w:color="auto" w:sz="8"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20"/>
                <w:szCs w:val="20"/>
              </w:rPr>
            </w:pPr>
            <w:r>
              <w:rPr>
                <w:rFonts w:ascii="Times New Roman" w:hAnsi="Times New Roman" w:eastAsia="宋体"/>
                <w:b/>
                <w:spacing w:val="0"/>
                <w:kern w:val="0"/>
                <w:sz w:val="20"/>
                <w:szCs w:val="20"/>
              </w:rPr>
              <w:t>20</w:t>
            </w:r>
            <w:r>
              <w:rPr>
                <w:rFonts w:hint="eastAsia" w:ascii="Times New Roman" w:hAnsi="Times New Roman" w:eastAsia="宋体"/>
                <w:b/>
                <w:spacing w:val="0"/>
                <w:kern w:val="0"/>
                <w:sz w:val="20"/>
                <w:szCs w:val="20"/>
              </w:rPr>
              <w:t>x</w:t>
            </w:r>
            <w:r>
              <w:rPr>
                <w:rFonts w:ascii="Times New Roman" w:hAnsi="Times New Roman" w:eastAsia="宋体"/>
                <w:b/>
                <w:spacing w:val="0"/>
                <w:kern w:val="0"/>
                <w:sz w:val="20"/>
                <w:szCs w:val="20"/>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所有者权益：</w:t>
            </w:r>
          </w:p>
        </w:tc>
        <w:tc>
          <w:tcPr>
            <w:tcW w:w="1387"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股本:</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年末股本</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4,627,679.00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4,627,679.00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4,627,679.00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4,627,679.00</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4,627,679.00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资本公积:</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年末资本公积</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2,870,767.50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2,870,767.50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2,870,767.50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2,870,767.50</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2,870,767.50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盈余公积:</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年初数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919,900.73</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1,209,824.18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1,536,784.00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1,900,517.84</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2,302,113.27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本年增加</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326,959.82</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401,595.43</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本年减少</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1,209,824.18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1,536,784.00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1,900,517.84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2,302,113.27</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2,741,125.57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一般准备:</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年初数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3,804,593.34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4,094,516.79</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4,421,476.61</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4,785,210.45</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5,186,805.88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本年增加</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326,959.82</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401,595.43</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本年减少</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4,094,516.79</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4,421,476.61</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4,785,210.45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5,186,805.88</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5,625,818.18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未分配利润:</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年初未分配利润</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2,986,089.90</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3,768,883.23</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6,188,385.88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9,025,509.78</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11,957,156.37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本年增加数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3,269,598.18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3,637,338.35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4,015,954.25</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净利润</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3,269,598.18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3,637,338.35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4,015,954.25</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其他</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本年减少数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2,116,441.21</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850,095.53</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800,214.45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1,084,307.66</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1,536,543.05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提取盈余公积</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326,959.82</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401,595.43</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一般风险准备</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289,923.45</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326,959.82</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363,733.84</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401,595.43</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439,012.30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分配股利</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1,536,594.31</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196,175.89</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72,746.77</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281,116.80</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658,518.45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转增资本</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其他</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年末未分配利润</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3,768,883.23</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6,188,385.88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9,025,509.78</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11,957,156.37</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14,810,736.30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外币报表折算差额</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36" w:type="dxa"/>
            <w:tcBorders>
              <w:top w:val="nil"/>
              <w:left w:val="single" w:color="auto" w:sz="8" w:space="0"/>
              <w:bottom w:val="single" w:color="auto" w:sz="4" w:space="0"/>
              <w:right w:val="single" w:color="auto" w:sz="4" w:space="0"/>
            </w:tcBorders>
            <w:vAlign w:val="center"/>
          </w:tcPr>
          <w:p>
            <w:pPr>
              <w:widowControl/>
              <w:spacing w:line="240" w:lineRule="auto"/>
              <w:jc w:val="left"/>
              <w:rPr>
                <w:rFonts w:ascii="Times New Roman" w:hAnsi="Times New Roman" w:eastAsia="宋体"/>
                <w:spacing w:val="0"/>
                <w:kern w:val="0"/>
                <w:sz w:val="18"/>
                <w:szCs w:val="18"/>
              </w:rPr>
            </w:pPr>
            <w:r>
              <w:rPr>
                <w:rFonts w:ascii="Times New Roman" w:hAnsi="Times New Roman" w:eastAsia="宋体"/>
                <w:spacing w:val="0"/>
                <w:kern w:val="0"/>
                <w:sz w:val="18"/>
                <w:szCs w:val="18"/>
              </w:rPr>
              <w:t>年末数</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38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c>
          <w:tcPr>
            <w:tcW w:w="15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2036" w:type="dxa"/>
            <w:tcBorders>
              <w:top w:val="nil"/>
              <w:left w:val="single" w:color="auto" w:sz="8" w:space="0"/>
              <w:bottom w:val="single" w:color="auto" w:sz="8" w:space="0"/>
              <w:right w:val="single" w:color="auto" w:sz="4" w:space="0"/>
            </w:tcBorders>
            <w:vAlign w:val="center"/>
          </w:tcPr>
          <w:p>
            <w:pPr>
              <w:widowControl/>
              <w:spacing w:line="240" w:lineRule="auto"/>
              <w:jc w:val="left"/>
              <w:rPr>
                <w:rFonts w:ascii="Times New Roman" w:hAnsi="Times New Roman" w:eastAsia="宋体"/>
                <w:bCs/>
                <w:spacing w:val="0"/>
                <w:kern w:val="0"/>
                <w:sz w:val="18"/>
                <w:szCs w:val="18"/>
              </w:rPr>
            </w:pPr>
            <w:r>
              <w:rPr>
                <w:rFonts w:ascii="Times New Roman" w:hAnsi="Times New Roman" w:eastAsia="宋体"/>
                <w:bCs/>
                <w:spacing w:val="0"/>
                <w:kern w:val="0"/>
                <w:sz w:val="18"/>
                <w:szCs w:val="18"/>
              </w:rPr>
              <w:t>年末所有者权益合计</w:t>
            </w:r>
          </w:p>
        </w:tc>
        <w:tc>
          <w:tcPr>
            <w:tcW w:w="1387" w:type="dxa"/>
            <w:tcBorders>
              <w:top w:val="single" w:color="auto" w:sz="4" w:space="0"/>
              <w:left w:val="nil"/>
              <w:bottom w:val="single" w:color="auto" w:sz="8"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16,571,670.70</w:t>
            </w:r>
          </w:p>
        </w:tc>
        <w:tc>
          <w:tcPr>
            <w:tcW w:w="1387" w:type="dxa"/>
            <w:tcBorders>
              <w:top w:val="single" w:color="auto" w:sz="4" w:space="0"/>
              <w:left w:val="nil"/>
              <w:bottom w:val="single" w:color="auto" w:sz="8"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19,645,092.99</w:t>
            </w:r>
          </w:p>
        </w:tc>
        <w:tc>
          <w:tcPr>
            <w:tcW w:w="1387" w:type="dxa"/>
            <w:tcBorders>
              <w:top w:val="single" w:color="auto" w:sz="4" w:space="0"/>
              <w:left w:val="nil"/>
              <w:bottom w:val="single" w:color="auto" w:sz="8"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23,209,684.57</w:t>
            </w:r>
          </w:p>
        </w:tc>
        <w:tc>
          <w:tcPr>
            <w:tcW w:w="1387" w:type="dxa"/>
            <w:tcBorders>
              <w:top w:val="single" w:color="auto" w:sz="4" w:space="0"/>
              <w:left w:val="nil"/>
              <w:bottom w:val="single" w:color="auto" w:sz="8"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26,944,522.02</w:t>
            </w:r>
          </w:p>
        </w:tc>
        <w:tc>
          <w:tcPr>
            <w:tcW w:w="1578" w:type="dxa"/>
            <w:tcBorders>
              <w:top w:val="single" w:color="auto" w:sz="4" w:space="0"/>
              <w:left w:val="nil"/>
              <w:bottom w:val="single" w:color="auto" w:sz="8"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30,676,126.55</w:t>
            </w:r>
          </w:p>
        </w:tc>
      </w:tr>
    </w:tbl>
    <w:p>
      <w:pPr>
        <w:spacing w:line="360" w:lineRule="auto"/>
        <w:ind w:firstLine="584" w:firstLineChars="200"/>
        <w:rPr>
          <w:rFonts w:ascii="Times New Roman" w:hAnsi="Times New Roman"/>
          <w:sz w:val="28"/>
        </w:rPr>
      </w:pPr>
    </w:p>
    <w:p>
      <w:pPr>
        <w:spacing w:line="360" w:lineRule="auto"/>
        <w:ind w:firstLine="584" w:firstLineChars="200"/>
        <w:rPr>
          <w:rFonts w:ascii="Times New Roman" w:hAnsi="Times New Roman"/>
          <w:sz w:val="28"/>
        </w:rPr>
      </w:pPr>
      <w:r>
        <w:rPr>
          <w:rFonts w:ascii="Times New Roman" w:hAnsi="Times New Roman"/>
          <w:sz w:val="28"/>
        </w:rPr>
        <w:t>权益增加额=本年所有者权益合计－上年所有者权益合计</w:t>
      </w:r>
    </w:p>
    <w:p>
      <w:pPr>
        <w:widowControl/>
        <w:spacing w:line="240" w:lineRule="auto"/>
        <w:jc w:val="left"/>
        <w:rPr>
          <w:rFonts w:ascii="Times New Roman" w:hAnsi="Times New Roman"/>
          <w:sz w:val="28"/>
        </w:rPr>
      </w:pPr>
      <w:r>
        <w:rPr>
          <w:rFonts w:ascii="Times New Roman" w:hAnsi="Times New Roman"/>
          <w:sz w:val="28"/>
        </w:rPr>
        <w:br w:type="page"/>
      </w: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案例</w:t>
      </w:r>
      <w:r>
        <w:rPr>
          <w:rFonts w:hint="eastAsia" w:ascii="Times New Roman" w:hAnsi="Times New Roman"/>
          <w:b/>
          <w:spacing w:val="-1"/>
          <w:sz w:val="32"/>
          <w:szCs w:val="32"/>
          <w:lang w:val="zh-TW"/>
        </w:rPr>
        <w:t>三</w:t>
      </w:r>
      <w:r>
        <w:rPr>
          <w:rFonts w:ascii="Times New Roman" w:hAnsi="Times New Roman"/>
          <w:b/>
          <w:spacing w:val="-1"/>
          <w:sz w:val="32"/>
          <w:szCs w:val="32"/>
          <w:lang w:val="zh-TW" w:eastAsia="zh-TW"/>
        </w:rPr>
        <w:t>：银行的利息收入和手续费收入预测</w:t>
      </w:r>
    </w:p>
    <w:p>
      <w:pPr>
        <w:spacing w:line="360" w:lineRule="auto"/>
        <w:ind w:firstLine="556" w:firstLineChars="200"/>
        <w:rPr>
          <w:rFonts w:ascii="Times New Roman" w:hAnsi="Times New Roman"/>
          <w:spacing w:val="-1"/>
          <w:sz w:val="28"/>
          <w:szCs w:val="28"/>
          <w:lang w:val="zh-TW"/>
        </w:rPr>
      </w:pPr>
      <w:r>
        <w:rPr>
          <w:rFonts w:hint="eastAsia" w:ascii="Times New Roman" w:hAnsi="Times New Roman"/>
          <w:spacing w:val="-1"/>
          <w:sz w:val="28"/>
          <w:szCs w:val="28"/>
          <w:lang w:val="zh-TW"/>
        </w:rPr>
        <w:t>1．</w:t>
      </w:r>
      <w:r>
        <w:rPr>
          <w:rFonts w:ascii="Times New Roman" w:hAnsi="Times New Roman"/>
          <w:spacing w:val="-1"/>
          <w:sz w:val="28"/>
          <w:szCs w:val="28"/>
          <w:lang w:val="zh-TW"/>
        </w:rPr>
        <w:t xml:space="preserve">利息收入预测 </w:t>
      </w:r>
    </w:p>
    <w:p>
      <w:pPr>
        <w:spacing w:line="360" w:lineRule="auto"/>
        <w:ind w:firstLine="636" w:firstLineChars="200"/>
        <w:rPr>
          <w:rFonts w:ascii="Times New Roman" w:hAnsi="Times New Roman"/>
          <w:kern w:val="0"/>
          <w:sz w:val="28"/>
          <w:szCs w:val="28"/>
        </w:rPr>
      </w:pPr>
      <w:r>
        <w:rPr>
          <w:rFonts w:ascii="Times New Roman" w:hAnsi="Times New Roman"/>
          <w:spacing w:val="-1"/>
          <w:sz w:val="32"/>
          <w:szCs w:val="32"/>
          <w:lang w:val="zh-TW"/>
        </w:rPr>
        <w:t>xx</w:t>
      </w:r>
      <w:r>
        <w:rPr>
          <w:rFonts w:ascii="Times New Roman" w:hAnsi="Times New Roman"/>
          <w:kern w:val="0"/>
          <w:sz w:val="28"/>
          <w:szCs w:val="28"/>
        </w:rPr>
        <w:t>银行是一家快速成长的金融企业，具有较强的超额收益能力、完备的管理体制、成熟的团队及较高的市场开拓能力，自成立以来一直保持了较高的成长速度。客户存款快速增长，从20</w:t>
      </w:r>
      <w:r>
        <w:rPr>
          <w:rFonts w:hint="eastAsia" w:ascii="Times New Roman" w:hAnsi="Times New Roman"/>
          <w:kern w:val="0"/>
          <w:sz w:val="28"/>
          <w:szCs w:val="28"/>
        </w:rPr>
        <w:t>y</w:t>
      </w:r>
      <w:r>
        <w:rPr>
          <w:rFonts w:ascii="Times New Roman" w:hAnsi="Times New Roman"/>
          <w:kern w:val="0"/>
          <w:sz w:val="28"/>
          <w:szCs w:val="28"/>
        </w:rPr>
        <w:t>6年到20x0年6月复合增长率达到27.2%；20</w:t>
      </w:r>
      <w:r>
        <w:rPr>
          <w:rFonts w:hint="eastAsia" w:ascii="Times New Roman" w:hAnsi="Times New Roman"/>
          <w:kern w:val="0"/>
          <w:sz w:val="28"/>
          <w:szCs w:val="28"/>
        </w:rPr>
        <w:t>y6到</w:t>
      </w:r>
      <w:r>
        <w:rPr>
          <w:rFonts w:ascii="Times New Roman" w:hAnsi="Times New Roman"/>
          <w:kern w:val="0"/>
          <w:sz w:val="28"/>
          <w:szCs w:val="28"/>
        </w:rPr>
        <w:t>20x0年贷款增长虽然受监管部门规模的控制，但增长仍快于市场，从20</w:t>
      </w:r>
      <w:r>
        <w:rPr>
          <w:rFonts w:hint="eastAsia" w:ascii="Times New Roman" w:hAnsi="Times New Roman"/>
          <w:kern w:val="0"/>
          <w:sz w:val="28"/>
          <w:szCs w:val="28"/>
        </w:rPr>
        <w:t>y</w:t>
      </w:r>
      <w:r>
        <w:rPr>
          <w:rFonts w:ascii="Times New Roman" w:hAnsi="Times New Roman"/>
          <w:kern w:val="0"/>
          <w:sz w:val="28"/>
          <w:szCs w:val="28"/>
        </w:rPr>
        <w:t>6年到20x0年6月复合增长率达到30.5%；营业收入已从20</w:t>
      </w:r>
      <w:r>
        <w:rPr>
          <w:rFonts w:hint="eastAsia" w:ascii="Times New Roman" w:hAnsi="Times New Roman"/>
          <w:kern w:val="0"/>
          <w:sz w:val="28"/>
          <w:szCs w:val="28"/>
        </w:rPr>
        <w:t>y</w:t>
      </w:r>
      <w:r>
        <w:rPr>
          <w:rFonts w:ascii="Times New Roman" w:hAnsi="Times New Roman"/>
          <w:kern w:val="0"/>
          <w:sz w:val="28"/>
          <w:szCs w:val="28"/>
        </w:rPr>
        <w:t>6年的21.11亿元达到20</w:t>
      </w:r>
      <w:r>
        <w:rPr>
          <w:rFonts w:hint="eastAsia" w:ascii="Times New Roman" w:hAnsi="Times New Roman"/>
          <w:kern w:val="0"/>
          <w:sz w:val="28"/>
          <w:szCs w:val="28"/>
        </w:rPr>
        <w:t>y</w:t>
      </w:r>
      <w:r>
        <w:rPr>
          <w:rFonts w:ascii="Times New Roman" w:hAnsi="Times New Roman"/>
          <w:kern w:val="0"/>
          <w:sz w:val="28"/>
          <w:szCs w:val="28"/>
        </w:rPr>
        <w:t>9年的42.82亿元，截止到20x0年6月营业收入已达到28.92亿元。</w:t>
      </w: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（1）</w:t>
      </w:r>
      <w:r>
        <w:rPr>
          <w:rFonts w:ascii="Times New Roman" w:hAnsi="Times New Roman"/>
          <w:kern w:val="0"/>
          <w:sz w:val="28"/>
          <w:szCs w:val="28"/>
        </w:rPr>
        <w:t>同行业商业银行上市后贷款复合增长速度比较表</w:t>
      </w:r>
    </w:p>
    <w:tbl>
      <w:tblPr>
        <w:tblStyle w:val="27"/>
        <w:tblW w:w="7726"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2281"/>
        <w:gridCol w:w="1720"/>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544" w:type="dxa"/>
            <w:vAlign w:val="center"/>
          </w:tcPr>
          <w:p>
            <w:pPr>
              <w:widowControl/>
              <w:spacing w:line="240" w:lineRule="auto"/>
              <w:jc w:val="center"/>
              <w:rPr>
                <w:rFonts w:ascii="Times New Roman" w:hAnsi="Times New Roman" w:eastAsia="宋体"/>
                <w:b/>
                <w:bCs/>
                <w:kern w:val="0"/>
                <w:sz w:val="18"/>
                <w:szCs w:val="18"/>
              </w:rPr>
            </w:pPr>
            <w:r>
              <w:rPr>
                <w:rFonts w:ascii="Times New Roman" w:hAnsi="宋体" w:eastAsia="宋体"/>
                <w:b/>
                <w:bCs/>
                <w:kern w:val="0"/>
                <w:sz w:val="18"/>
                <w:szCs w:val="18"/>
              </w:rPr>
              <w:t>证券代码</w:t>
            </w:r>
          </w:p>
        </w:tc>
        <w:tc>
          <w:tcPr>
            <w:tcW w:w="2281" w:type="dxa"/>
            <w:vAlign w:val="center"/>
          </w:tcPr>
          <w:p>
            <w:pPr>
              <w:widowControl/>
              <w:spacing w:line="240" w:lineRule="auto"/>
              <w:jc w:val="center"/>
              <w:rPr>
                <w:rFonts w:ascii="Times New Roman" w:hAnsi="Times New Roman" w:eastAsia="宋体"/>
                <w:b/>
                <w:bCs/>
                <w:kern w:val="0"/>
                <w:sz w:val="18"/>
                <w:szCs w:val="18"/>
              </w:rPr>
            </w:pPr>
            <w:r>
              <w:rPr>
                <w:rFonts w:ascii="Times New Roman" w:hAnsi="宋体" w:eastAsia="宋体"/>
                <w:b/>
                <w:bCs/>
                <w:kern w:val="0"/>
                <w:sz w:val="18"/>
                <w:szCs w:val="18"/>
              </w:rPr>
              <w:t>证券简称</w:t>
            </w:r>
          </w:p>
        </w:tc>
        <w:tc>
          <w:tcPr>
            <w:tcW w:w="1720" w:type="dxa"/>
            <w:vAlign w:val="center"/>
          </w:tcPr>
          <w:p>
            <w:pPr>
              <w:widowControl/>
              <w:spacing w:line="240" w:lineRule="auto"/>
              <w:jc w:val="center"/>
              <w:rPr>
                <w:rFonts w:ascii="Times New Roman" w:hAnsi="Times New Roman" w:eastAsia="宋体"/>
                <w:b/>
                <w:bCs/>
                <w:kern w:val="0"/>
                <w:sz w:val="18"/>
                <w:szCs w:val="18"/>
              </w:rPr>
            </w:pPr>
            <w:r>
              <w:rPr>
                <w:rFonts w:ascii="Times New Roman" w:hAnsi="宋体" w:eastAsia="宋体"/>
                <w:b/>
                <w:bCs/>
                <w:kern w:val="0"/>
                <w:sz w:val="18"/>
                <w:szCs w:val="18"/>
              </w:rPr>
              <w:t>贷款</w:t>
            </w:r>
          </w:p>
        </w:tc>
        <w:tc>
          <w:tcPr>
            <w:tcW w:w="1181" w:type="dxa"/>
            <w:vAlign w:val="center"/>
          </w:tcPr>
          <w:p>
            <w:pPr>
              <w:widowControl/>
              <w:spacing w:line="240" w:lineRule="auto"/>
              <w:jc w:val="center"/>
              <w:rPr>
                <w:rFonts w:ascii="Times New Roman" w:hAnsi="Times New Roman" w:eastAsia="宋体"/>
                <w:b/>
                <w:bCs/>
                <w:kern w:val="0"/>
                <w:sz w:val="18"/>
                <w:szCs w:val="18"/>
              </w:rPr>
            </w:pPr>
            <w:r>
              <w:rPr>
                <w:rFonts w:ascii="Times New Roman" w:hAnsi="宋体" w:eastAsia="宋体"/>
                <w:b/>
                <w:bCs/>
                <w:kern w:val="0"/>
                <w:sz w:val="18"/>
                <w:szCs w:val="18"/>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000001.SZ</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深发展</w:t>
            </w:r>
            <w:r>
              <w:rPr>
                <w:rFonts w:ascii="Times New Roman" w:hAnsi="Times New Roman" w:eastAsia="宋体"/>
                <w:kern w:val="0"/>
                <w:sz w:val="18"/>
                <w:szCs w:val="18"/>
              </w:rPr>
              <w:t>A</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29.77%</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002142.SZ</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宁波银行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36.47%</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600000.SH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浦发银行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32.73%</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600015.SH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华夏银行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25.28%</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600016.SH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民生银行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48.63%</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600036.SH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招商银行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30.49%</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601009.SH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南京银行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36.98%</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601166.SH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兴业银行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32.18%</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601169.SH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北京银行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20.19%</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544"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601998.SH</w:t>
            </w:r>
          </w:p>
        </w:tc>
        <w:tc>
          <w:tcPr>
            <w:tcW w:w="2281" w:type="dxa"/>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中信银行</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26.35%</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825" w:type="dxa"/>
            <w:gridSpan w:val="2"/>
            <w:vAlign w:val="center"/>
          </w:tcPr>
          <w:p>
            <w:pPr>
              <w:widowControl/>
              <w:spacing w:line="240" w:lineRule="auto"/>
              <w:jc w:val="center"/>
              <w:rPr>
                <w:rFonts w:ascii="Times New Roman" w:hAnsi="Times New Roman" w:eastAsia="宋体"/>
                <w:kern w:val="0"/>
                <w:sz w:val="18"/>
                <w:szCs w:val="18"/>
              </w:rPr>
            </w:pPr>
            <w:r>
              <w:rPr>
                <w:rFonts w:ascii="Times New Roman" w:hAnsi="宋体" w:eastAsia="宋体"/>
                <w:kern w:val="0"/>
                <w:sz w:val="18"/>
                <w:szCs w:val="18"/>
              </w:rPr>
              <w:t>合计</w:t>
            </w:r>
          </w:p>
        </w:tc>
        <w:tc>
          <w:tcPr>
            <w:tcW w:w="1720"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31.91%</w:t>
            </w:r>
          </w:p>
        </w:tc>
        <w:tc>
          <w:tcPr>
            <w:tcW w:w="1181"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6</w:t>
            </w:r>
          </w:p>
        </w:tc>
      </w:tr>
    </w:tbl>
    <w:p>
      <w:pPr>
        <w:spacing w:line="360" w:lineRule="auto"/>
        <w:ind w:firstLine="584" w:firstLineChars="200"/>
        <w:rPr>
          <w:rFonts w:ascii="Times New Roman" w:hAnsi="Times New Roman"/>
          <w:kern w:val="0"/>
          <w:sz w:val="28"/>
          <w:szCs w:val="28"/>
        </w:rPr>
      </w:pP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（2）</w:t>
      </w:r>
      <w:r>
        <w:rPr>
          <w:rFonts w:ascii="Times New Roman" w:hAnsi="Times New Roman"/>
          <w:kern w:val="0"/>
          <w:sz w:val="28"/>
          <w:szCs w:val="28"/>
        </w:rPr>
        <w:t>评估对象贷款分析及预测</w:t>
      </w: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资产</w:t>
      </w:r>
      <w:r>
        <w:rPr>
          <w:rFonts w:ascii="Times New Roman" w:hAnsi="Times New Roman"/>
          <w:kern w:val="0"/>
          <w:sz w:val="28"/>
          <w:szCs w:val="28"/>
        </w:rPr>
        <w:t>评估师通过尽职调查、访谈和企业提供的盈利预测了解到：企业的贷款平均余额在最近几年中迅速发展，其中企业贷款平均余额在20</w:t>
      </w:r>
      <w:r>
        <w:rPr>
          <w:rFonts w:hint="eastAsia" w:ascii="Times New Roman" w:hAnsi="Times New Roman"/>
          <w:kern w:val="0"/>
          <w:sz w:val="28"/>
          <w:szCs w:val="28"/>
        </w:rPr>
        <w:t>y</w:t>
      </w:r>
      <w:r>
        <w:rPr>
          <w:rFonts w:ascii="Times New Roman" w:hAnsi="Times New Roman"/>
          <w:kern w:val="0"/>
          <w:sz w:val="28"/>
          <w:szCs w:val="28"/>
        </w:rPr>
        <w:t>9年增长率达到45%；零售贷款的发展速度也达到了16%；信用卡贷款的发展速度更是达到了224%，综合平均余额达到了40%。预计20x0年综合平均余额达到27%，20x1年达到23%。而贷款年末余额预计在20x0年xx银行因宏观调控，将比20</w:t>
      </w:r>
      <w:r>
        <w:rPr>
          <w:rFonts w:hint="eastAsia" w:ascii="Times New Roman" w:hAnsi="Times New Roman"/>
          <w:kern w:val="0"/>
          <w:sz w:val="28"/>
          <w:szCs w:val="28"/>
        </w:rPr>
        <w:t>y</w:t>
      </w:r>
      <w:r>
        <w:rPr>
          <w:rFonts w:ascii="Times New Roman" w:hAnsi="Times New Roman"/>
          <w:kern w:val="0"/>
          <w:sz w:val="28"/>
          <w:szCs w:val="28"/>
        </w:rPr>
        <w:t>9年增长22%，而其中超过50%的贷款已在上半年发放。预计20x1年在宏观调控因素下，企业贷款年末余额增长约为30%。</w:t>
      </w:r>
      <w:r>
        <w:rPr>
          <w:rFonts w:hint="eastAsia" w:ascii="Times New Roman" w:hAnsi="Times New Roman"/>
          <w:kern w:val="0"/>
          <w:sz w:val="28"/>
          <w:szCs w:val="28"/>
        </w:rPr>
        <w:t>资产</w:t>
      </w:r>
      <w:r>
        <w:rPr>
          <w:rFonts w:ascii="Times New Roman" w:hAnsi="Times New Roman"/>
          <w:kern w:val="0"/>
          <w:sz w:val="28"/>
          <w:szCs w:val="28"/>
        </w:rPr>
        <w:t>评估师结合企业未来发展规划和同业上市银行的发展速度，预计20</w:t>
      </w:r>
      <w:r>
        <w:rPr>
          <w:rFonts w:hint="eastAsia" w:ascii="Times New Roman" w:hAnsi="Times New Roman"/>
          <w:kern w:val="0"/>
          <w:sz w:val="28"/>
          <w:szCs w:val="28"/>
        </w:rPr>
        <w:t>x</w:t>
      </w:r>
      <w:r>
        <w:rPr>
          <w:rFonts w:ascii="Times New Roman" w:hAnsi="Times New Roman"/>
          <w:kern w:val="0"/>
          <w:sz w:val="28"/>
          <w:szCs w:val="28"/>
        </w:rPr>
        <w:t>1年后贷款增长水平仍维持在较高的水平，但伴随着企业规模的增加和成熟，增长水平逐步降低并稳定。</w:t>
      </w:r>
    </w:p>
    <w:p>
      <w:pPr>
        <w:spacing w:line="360" w:lineRule="auto"/>
        <w:ind w:firstLine="584" w:firstLineChars="200"/>
        <w:rPr>
          <w:rFonts w:ascii="Times New Roman" w:hAnsi="Times New Roman"/>
          <w:sz w:val="28"/>
          <w:szCs w:val="28"/>
          <w:lang w:val="zh-CN"/>
        </w:rPr>
      </w:pPr>
      <w:r>
        <w:rPr>
          <w:rFonts w:ascii="Times New Roman" w:hAnsi="Times New Roman"/>
          <w:kern w:val="0"/>
          <w:sz w:val="28"/>
          <w:szCs w:val="28"/>
        </w:rPr>
        <w:t>而同时从20x0年以来企业加强定价管理已逐步出现效果，对各种不同风险级别的客户逐步具有更高的定价能力，使贷款利率有一定幅度的提高。20x0年上半年贷款利率比20</w:t>
      </w:r>
      <w:r>
        <w:rPr>
          <w:rFonts w:hint="eastAsia" w:ascii="Times New Roman" w:hAnsi="Times New Roman"/>
          <w:kern w:val="0"/>
          <w:sz w:val="28"/>
          <w:szCs w:val="28"/>
        </w:rPr>
        <w:t>y</w:t>
      </w:r>
      <w:r>
        <w:rPr>
          <w:rFonts w:ascii="Times New Roman" w:hAnsi="Times New Roman"/>
          <w:kern w:val="0"/>
          <w:sz w:val="28"/>
          <w:szCs w:val="28"/>
        </w:rPr>
        <w:t>9年上升13个基点，预计20x0年贷款全年平均利率维持20x0年上半年水平，而20x1年考虑到资本充足率的监管要求，企业将对贷款结构作适当调整，预计贷款综合利率将略有下降，预计20x1年全年贷款平均利率较20x0年下降5个基点。具体盈利预测如下</w:t>
      </w:r>
      <w:r>
        <w:rPr>
          <w:rFonts w:ascii="Times New Roman" w:hAnsi="Times New Roman"/>
          <w:sz w:val="28"/>
          <w:szCs w:val="28"/>
          <w:lang w:val="zh-CN"/>
        </w:rPr>
        <w:t>。</w:t>
      </w:r>
    </w:p>
    <w:p>
      <w:pPr>
        <w:spacing w:line="360" w:lineRule="auto"/>
        <w:ind w:firstLine="504" w:firstLineChars="200"/>
        <w:jc w:val="center"/>
        <w:rPr>
          <w:rFonts w:ascii="Times New Roman" w:hAnsi="Times New Roman" w:eastAsia="黑体"/>
          <w:sz w:val="24"/>
          <w:lang w:val="zh-CN"/>
        </w:rPr>
      </w:pPr>
      <w:r>
        <w:rPr>
          <w:rFonts w:ascii="Times New Roman" w:hAnsi="Times New Roman" w:eastAsia="黑体"/>
          <w:sz w:val="24"/>
          <w:lang w:val="zh-CN"/>
        </w:rPr>
        <w:t>贷款平均余额及利息收入预测表</w:t>
      </w:r>
    </w:p>
    <w:p>
      <w:pPr>
        <w:spacing w:line="360" w:lineRule="auto"/>
        <w:ind w:firstLine="444" w:firstLineChars="200"/>
        <w:jc w:val="right"/>
        <w:rPr>
          <w:rFonts w:eastAsia="宋体"/>
          <w:kern w:val="0"/>
          <w:sz w:val="21"/>
          <w:szCs w:val="21"/>
        </w:rPr>
      </w:pPr>
      <w:r>
        <w:rPr>
          <w:rFonts w:eastAsia="宋体"/>
          <w:kern w:val="0"/>
          <w:sz w:val="21"/>
          <w:szCs w:val="21"/>
        </w:rPr>
        <w:t>金额单位：百万元</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2"/>
        <w:gridCol w:w="1107"/>
        <w:gridCol w:w="933"/>
        <w:gridCol w:w="933"/>
        <w:gridCol w:w="933"/>
        <w:gridCol w:w="933"/>
        <w:gridCol w:w="933"/>
        <w:gridCol w:w="933"/>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eastAsia="宋体"/>
                <w:b/>
                <w:spacing w:val="0"/>
                <w:kern w:val="0"/>
                <w:sz w:val="18"/>
                <w:szCs w:val="18"/>
              </w:rPr>
              <w:t>项目</w:t>
            </w:r>
          </w:p>
        </w:tc>
        <w:tc>
          <w:tcPr>
            <w:tcW w:w="110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20x0</w:t>
            </w:r>
            <w:r>
              <w:rPr>
                <w:rFonts w:ascii="Times New Roman" w:eastAsia="宋体"/>
                <w:b/>
                <w:spacing w:val="0"/>
                <w:kern w:val="0"/>
                <w:sz w:val="18"/>
                <w:szCs w:val="18"/>
              </w:rPr>
              <w:t>下</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20x1</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20x2</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20x3</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20x4</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20x5</w:t>
            </w:r>
          </w:p>
        </w:tc>
        <w:tc>
          <w:tcPr>
            <w:tcW w:w="93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20x6</w:t>
            </w:r>
          </w:p>
        </w:tc>
        <w:tc>
          <w:tcPr>
            <w:tcW w:w="93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spacing w:val="0"/>
                <w:kern w:val="0"/>
                <w:sz w:val="18"/>
                <w:szCs w:val="18"/>
              </w:rPr>
            </w:pPr>
            <w:r>
              <w:rPr>
                <w:rFonts w:ascii="Times New Roman" w:hAnsi="Times New Roman" w:eastAsia="宋体"/>
                <w:b/>
                <w:spacing w:val="0"/>
                <w:kern w:val="0"/>
                <w:sz w:val="18"/>
                <w:szCs w:val="18"/>
              </w:rPr>
              <w:t>20x7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522"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eastAsia="宋体"/>
                <w:spacing w:val="0"/>
                <w:kern w:val="0"/>
                <w:sz w:val="18"/>
                <w:szCs w:val="18"/>
              </w:rPr>
              <w:t>贷款平均余额</w:t>
            </w:r>
          </w:p>
        </w:tc>
        <w:tc>
          <w:tcPr>
            <w:tcW w:w="110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128,867</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151,082</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178,898</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209,872</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240,962</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273,577</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304,993</w:t>
            </w:r>
          </w:p>
        </w:tc>
        <w:tc>
          <w:tcPr>
            <w:tcW w:w="935"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334,768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522"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eastAsia="宋体"/>
                <w:spacing w:val="0"/>
                <w:kern w:val="0"/>
                <w:sz w:val="18"/>
                <w:szCs w:val="18"/>
              </w:rPr>
              <w:t>贷款利息收入</w:t>
            </w:r>
          </w:p>
        </w:tc>
        <w:tc>
          <w:tcPr>
            <w:tcW w:w="110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3,336</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7,755</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9,183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10,773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12,369</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14,043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15,655</w:t>
            </w:r>
          </w:p>
        </w:tc>
        <w:tc>
          <w:tcPr>
            <w:tcW w:w="935"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17,184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522"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eastAsia="宋体"/>
                <w:spacing w:val="0"/>
                <w:kern w:val="0"/>
                <w:sz w:val="18"/>
                <w:szCs w:val="18"/>
              </w:rPr>
              <w:t>平均利率</w:t>
            </w:r>
            <w:r>
              <w:rPr>
                <w:rFonts w:ascii="Times New Roman" w:hAnsi="Times New Roman" w:eastAsia="宋体"/>
                <w:spacing w:val="0"/>
                <w:kern w:val="0"/>
                <w:sz w:val="18"/>
                <w:szCs w:val="18"/>
              </w:rPr>
              <w:t>(%)</w:t>
            </w:r>
          </w:p>
        </w:tc>
        <w:tc>
          <w:tcPr>
            <w:tcW w:w="1107"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2.59</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3"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c>
          <w:tcPr>
            <w:tcW w:w="935"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5.13</w:t>
            </w:r>
          </w:p>
        </w:tc>
      </w:tr>
    </w:tbl>
    <w:p>
      <w:pPr>
        <w:spacing w:line="360" w:lineRule="auto"/>
        <w:rPr>
          <w:rFonts w:ascii="Times New Roman" w:hAnsi="Times New Roman"/>
          <w:spacing w:val="-1"/>
          <w:sz w:val="32"/>
          <w:szCs w:val="32"/>
          <w:lang w:val="zh-TW"/>
        </w:rPr>
      </w:pPr>
    </w:p>
    <w:p>
      <w:pPr>
        <w:spacing w:line="360" w:lineRule="auto"/>
        <w:ind w:firstLine="584" w:firstLineChars="200"/>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手续费及佣金收入预测</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xx银行的手续费及佣金收入主要为结算和清算手续费收入、代理业务手续费收入、银行卡手续费收入、托管及其他受托业务收入及其他业务收入。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我国上市银行手续费及佣金净收入的增长速度很快，10家上市银行复合增长速度达到了57.18%，</w:t>
      </w:r>
      <w:r>
        <w:rPr>
          <w:rFonts w:hint="eastAsia" w:ascii="Times New Roman" w:hAnsi="Times New Roman"/>
          <w:kern w:val="0"/>
          <w:sz w:val="28"/>
          <w:szCs w:val="28"/>
        </w:rPr>
        <w:t>资产</w:t>
      </w:r>
      <w:r>
        <w:rPr>
          <w:rFonts w:ascii="Times New Roman" w:hAnsi="Times New Roman"/>
          <w:kern w:val="0"/>
          <w:sz w:val="28"/>
          <w:szCs w:val="28"/>
        </w:rPr>
        <w:t>评估师对xx银行的手续费及佣金收入的预测一方面考虑</w:t>
      </w:r>
      <w:r>
        <w:rPr>
          <w:rFonts w:hint="eastAsia" w:ascii="Times New Roman" w:hAnsi="Times New Roman"/>
          <w:kern w:val="0"/>
          <w:sz w:val="28"/>
          <w:szCs w:val="28"/>
        </w:rPr>
        <w:t>xx</w:t>
      </w:r>
      <w:r>
        <w:rPr>
          <w:rFonts w:ascii="Times New Roman" w:hAnsi="Times New Roman"/>
          <w:kern w:val="0"/>
          <w:sz w:val="28"/>
          <w:szCs w:val="28"/>
        </w:rPr>
        <w:t>银行自身的因素，另一方面也受此因素的影响。</w:t>
      </w: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（1）</w:t>
      </w:r>
      <w:r>
        <w:rPr>
          <w:rFonts w:ascii="Times New Roman" w:hAnsi="Times New Roman"/>
          <w:kern w:val="0"/>
          <w:sz w:val="28"/>
          <w:szCs w:val="28"/>
        </w:rPr>
        <w:t>同行业商业银行手续费及佣金净收入复合增长速度表</w:t>
      </w:r>
    </w:p>
    <w:tbl>
      <w:tblPr>
        <w:tblStyle w:val="27"/>
        <w:tblW w:w="7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2107"/>
        <w:gridCol w:w="2403"/>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350" w:type="dxa"/>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证券代码</w:t>
            </w:r>
          </w:p>
        </w:tc>
        <w:tc>
          <w:tcPr>
            <w:tcW w:w="2107" w:type="dxa"/>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证券简称</w:t>
            </w:r>
          </w:p>
        </w:tc>
        <w:tc>
          <w:tcPr>
            <w:tcW w:w="2403" w:type="dxa"/>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手续费及佣金净收入</w:t>
            </w:r>
          </w:p>
        </w:tc>
        <w:tc>
          <w:tcPr>
            <w:tcW w:w="1092" w:type="dxa"/>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000001.SZ</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深发展A</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52.77%</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002142.SZ</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宁波银行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51.53%</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600000.SH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浦发银行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47.43%</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600015.SH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华夏银行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36.27%</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600016.SH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民生银行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81.40%</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600036.SH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招商银行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49.31%</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601009.SH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南京银行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53.93%</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601166.SH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兴业银行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71.26%</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601169.SH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北京银行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68.44%</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350" w:type="dxa"/>
            <w:vAlign w:val="center"/>
          </w:tcPr>
          <w:p>
            <w:pPr>
              <w:widowControl/>
              <w:spacing w:line="240" w:lineRule="auto"/>
              <w:ind w:right="636"/>
              <w:jc w:val="right"/>
              <w:rPr>
                <w:rFonts w:ascii="Times New Roman" w:hAnsi="Times New Roman" w:eastAsia="宋体"/>
                <w:kern w:val="0"/>
                <w:sz w:val="18"/>
                <w:szCs w:val="18"/>
              </w:rPr>
            </w:pPr>
            <w:r>
              <w:rPr>
                <w:rFonts w:ascii="Times New Roman" w:hAnsi="Times New Roman" w:eastAsia="宋体"/>
                <w:kern w:val="0"/>
                <w:sz w:val="18"/>
                <w:szCs w:val="18"/>
              </w:rPr>
              <w:t>601998.SH</w:t>
            </w:r>
          </w:p>
        </w:tc>
        <w:tc>
          <w:tcPr>
            <w:tcW w:w="210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中信银行</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59.44%</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4457" w:type="dxa"/>
            <w:gridSpan w:val="2"/>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合计</w:t>
            </w:r>
          </w:p>
        </w:tc>
        <w:tc>
          <w:tcPr>
            <w:tcW w:w="2403"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57.18%</w:t>
            </w:r>
          </w:p>
        </w:tc>
        <w:tc>
          <w:tcPr>
            <w:tcW w:w="1092" w:type="dxa"/>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6</w:t>
            </w:r>
          </w:p>
        </w:tc>
      </w:tr>
    </w:tbl>
    <w:p>
      <w:pPr>
        <w:spacing w:line="360" w:lineRule="auto"/>
        <w:ind w:firstLine="584" w:firstLineChars="200"/>
        <w:rPr>
          <w:rFonts w:ascii="Times New Roman" w:hAnsi="Times New Roman"/>
          <w:kern w:val="0"/>
          <w:sz w:val="28"/>
          <w:szCs w:val="28"/>
        </w:rPr>
      </w:pP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（2）</w:t>
      </w:r>
      <w:r>
        <w:rPr>
          <w:rFonts w:ascii="Times New Roman" w:hAnsi="Times New Roman"/>
          <w:kern w:val="0"/>
          <w:sz w:val="28"/>
          <w:szCs w:val="28"/>
        </w:rPr>
        <w:t>评估对象手续费收入分析及预测</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1）结算手续费收入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结算手续费收入主要来源于外汇业务，20</w:t>
      </w:r>
      <w:r>
        <w:rPr>
          <w:rFonts w:hint="eastAsia" w:ascii="Times New Roman" w:hAnsi="Times New Roman"/>
          <w:kern w:val="0"/>
          <w:sz w:val="28"/>
          <w:szCs w:val="28"/>
        </w:rPr>
        <w:t>y</w:t>
      </w:r>
      <w:r>
        <w:rPr>
          <w:rFonts w:ascii="Times New Roman" w:hAnsi="Times New Roman"/>
          <w:kern w:val="0"/>
          <w:sz w:val="28"/>
          <w:szCs w:val="28"/>
        </w:rPr>
        <w:t>9年受金融危机影响，外汇业务增长缓慢，但随着全球经济复苏，外汇业务逐步恢复；同时企业推出新国际业务系统及流程自动化，将更有助于该业务的成长。企业根据网点扩张与客户量增长的预期及20x0年上半年结算手续费收入人民币2,300万元的实际情况，预计20x0年及20x1年结算手续费收入将维持每年人民币1,100万元至1,300万元的增长。预计20x1年后结算手续费仍以较高的速度发展，但增长速度逐渐放缓。</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2）代理手续费收入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20</w:t>
      </w:r>
      <w:r>
        <w:rPr>
          <w:rFonts w:hint="eastAsia" w:ascii="Times New Roman" w:hAnsi="Times New Roman"/>
          <w:kern w:val="0"/>
          <w:sz w:val="28"/>
          <w:szCs w:val="28"/>
        </w:rPr>
        <w:t>y</w:t>
      </w:r>
      <w:r>
        <w:rPr>
          <w:rFonts w:ascii="Times New Roman" w:hAnsi="Times New Roman"/>
          <w:kern w:val="0"/>
          <w:sz w:val="28"/>
          <w:szCs w:val="28"/>
        </w:rPr>
        <w:t>7年至20</w:t>
      </w:r>
      <w:r>
        <w:rPr>
          <w:rFonts w:hint="eastAsia" w:ascii="Times New Roman" w:hAnsi="Times New Roman"/>
          <w:kern w:val="0"/>
          <w:sz w:val="28"/>
          <w:szCs w:val="28"/>
        </w:rPr>
        <w:t>y</w:t>
      </w:r>
      <w:r>
        <w:rPr>
          <w:rFonts w:ascii="Times New Roman" w:hAnsi="Times New Roman"/>
          <w:kern w:val="0"/>
          <w:sz w:val="28"/>
          <w:szCs w:val="28"/>
        </w:rPr>
        <w:t>9年企业正处于转型期且受到金融危机影响，代理业务手续费收入迅速萎缩，但随着与集团其他子公司交叉销售业务的磨合完成，代理业务将逐步转入正轨。根据20x0年上半年代理业务手续费收入增长良好的实际情况（已高出20</w:t>
      </w:r>
      <w:r>
        <w:rPr>
          <w:rFonts w:hint="eastAsia" w:ascii="Times New Roman" w:hAnsi="Times New Roman"/>
          <w:kern w:val="0"/>
          <w:sz w:val="28"/>
          <w:szCs w:val="28"/>
        </w:rPr>
        <w:t>y</w:t>
      </w:r>
      <w:r>
        <w:rPr>
          <w:rFonts w:ascii="Times New Roman" w:hAnsi="Times New Roman"/>
          <w:kern w:val="0"/>
          <w:sz w:val="28"/>
          <w:szCs w:val="28"/>
        </w:rPr>
        <w:t>9年全年25%），预计20x0年及20x1年代理业务手续费收入将保持快速增长。20x1年后代理手续费收入保持比较稳定的增长速度发展。</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3）受托业务手续费收入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受托业务手续费包括贷款额度管理费、委托贷款手续费收入、额度占用费及综合理财业务手续费收入等。基于20x0年上半年已实现收入人民币8,400万元，企业预计全年同比将有15%的增长。20x1年随着贷款额度管理费的回升，分行与网点的增加，各种公司及零售理财业务的拓展，及与集团交叉销售的深入开展，预计增幅将达35%。</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4）银行卡手续费收入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银行卡手续费收入的增长主要来自于信用卡业务的持续扩张，根据信用卡未来业务规划，20</w:t>
      </w:r>
      <w:r>
        <w:rPr>
          <w:rFonts w:hint="eastAsia" w:ascii="Times New Roman" w:hAnsi="Times New Roman"/>
          <w:kern w:val="0"/>
          <w:sz w:val="28"/>
          <w:szCs w:val="28"/>
        </w:rPr>
        <w:t>y</w:t>
      </w:r>
      <w:r>
        <w:rPr>
          <w:rFonts w:ascii="Times New Roman" w:hAnsi="Times New Roman"/>
          <w:kern w:val="0"/>
          <w:sz w:val="28"/>
          <w:szCs w:val="28"/>
        </w:rPr>
        <w:t>9年年度及20x0年上半年信用卡累计流通发卡量分别为340万张和430万张，预计20x0年度与20x1年度将超过500万与800万张。银行卡手续费收入20</w:t>
      </w:r>
      <w:r>
        <w:rPr>
          <w:rFonts w:hint="eastAsia" w:ascii="Times New Roman" w:hAnsi="Times New Roman"/>
          <w:kern w:val="0"/>
          <w:sz w:val="28"/>
          <w:szCs w:val="28"/>
        </w:rPr>
        <w:t>y</w:t>
      </w:r>
      <w:r>
        <w:rPr>
          <w:rFonts w:ascii="Times New Roman" w:hAnsi="Times New Roman"/>
          <w:kern w:val="0"/>
          <w:sz w:val="28"/>
          <w:szCs w:val="28"/>
        </w:rPr>
        <w:t>8与20</w:t>
      </w:r>
      <w:r>
        <w:rPr>
          <w:rFonts w:hint="eastAsia" w:ascii="Times New Roman" w:hAnsi="Times New Roman"/>
          <w:kern w:val="0"/>
          <w:sz w:val="28"/>
          <w:szCs w:val="28"/>
        </w:rPr>
        <w:t>y</w:t>
      </w:r>
      <w:r>
        <w:rPr>
          <w:rFonts w:ascii="Times New Roman" w:hAnsi="Times New Roman"/>
          <w:kern w:val="0"/>
          <w:sz w:val="28"/>
          <w:szCs w:val="28"/>
        </w:rPr>
        <w:t>9年的实际增长率也分别达到250%和108%，从20</w:t>
      </w:r>
      <w:r>
        <w:rPr>
          <w:rFonts w:hint="eastAsia" w:ascii="Times New Roman" w:hAnsi="Times New Roman"/>
          <w:kern w:val="0"/>
          <w:sz w:val="28"/>
          <w:szCs w:val="28"/>
        </w:rPr>
        <w:t>y</w:t>
      </w:r>
      <w:r>
        <w:rPr>
          <w:rFonts w:ascii="Times New Roman" w:hAnsi="Times New Roman"/>
          <w:kern w:val="0"/>
          <w:sz w:val="28"/>
          <w:szCs w:val="28"/>
        </w:rPr>
        <w:t>6至20</w:t>
      </w:r>
      <w:r>
        <w:rPr>
          <w:rFonts w:hint="eastAsia" w:ascii="Times New Roman" w:hAnsi="Times New Roman"/>
          <w:kern w:val="0"/>
          <w:sz w:val="28"/>
          <w:szCs w:val="28"/>
        </w:rPr>
        <w:t>y</w:t>
      </w:r>
      <w:r>
        <w:rPr>
          <w:rFonts w:ascii="Times New Roman" w:hAnsi="Times New Roman"/>
          <w:kern w:val="0"/>
          <w:sz w:val="28"/>
          <w:szCs w:val="28"/>
        </w:rPr>
        <w:t>9年信用卡业务净收入的复合增长率达到了74.3%。未来，信用卡在业务扩张的同时也将加强精细化经营的力度，通过发行车主卡、白金卡等新产品增加年费收入；通过开展帐单分期、邮购分期、网上商城等增加分期业务手续费收入；另外，随着银联规范POS机商户管理和信用卡中心对高回佣消费领域的重点经营，发卡行回佣率持续提升，由此带来回佣收入大幅提升。根据历史数据结合信用卡业务的未来规划，企业预计银行卡手续费收入相应也将维持大幅度的增长，20x0年及20x1年预测的年度增长分别为76%和85%。预计20x1年银行卡的手续费收入仍将会迅速发展，保持在较高的发展速度。</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5）其他手续费收入</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其他手续费的增长主要来源于投资银行手续收入的增长。20</w:t>
      </w:r>
      <w:r>
        <w:rPr>
          <w:rFonts w:hint="eastAsia" w:ascii="Times New Roman" w:hAnsi="Times New Roman"/>
          <w:kern w:val="0"/>
          <w:sz w:val="28"/>
          <w:szCs w:val="28"/>
        </w:rPr>
        <w:t>y</w:t>
      </w:r>
      <w:r>
        <w:rPr>
          <w:rFonts w:ascii="Times New Roman" w:hAnsi="Times New Roman"/>
          <w:kern w:val="0"/>
          <w:sz w:val="28"/>
          <w:szCs w:val="28"/>
        </w:rPr>
        <w:t>9年度投资银行手续费收入为人民币5,000万元，截至20x0年6月30日，投资银行手续费收入已达人民币5,500万元，企业预计20x0年全年其他手续费收入增长幅度约为21%；而随着投行业务的不断拓展，20x1年手续费收入将有33%的增长预期，预计20x1年后增长速度趋于稳定。</w:t>
      </w:r>
    </w:p>
    <w:p>
      <w:pPr>
        <w:spacing w:line="360" w:lineRule="auto"/>
        <w:jc w:val="center"/>
        <w:rPr>
          <w:rFonts w:ascii="Times New Roman" w:hAnsi="Times New Roman" w:eastAsia="黑体"/>
          <w:sz w:val="24"/>
          <w:lang w:val="zh-CN"/>
        </w:rPr>
      </w:pPr>
      <w:r>
        <w:rPr>
          <w:rFonts w:ascii="Times New Roman" w:hAnsi="Times New Roman" w:eastAsia="黑体"/>
          <w:sz w:val="24"/>
          <w:lang w:val="zh-CN"/>
        </w:rPr>
        <w:t>手续费收入预测表</w:t>
      </w:r>
    </w:p>
    <w:p>
      <w:pPr>
        <w:spacing w:line="360" w:lineRule="auto"/>
        <w:ind w:firstLine="444" w:firstLineChars="200"/>
        <w:jc w:val="right"/>
        <w:rPr>
          <w:rFonts w:ascii="Times New Roman" w:hAnsi="Times New Roman"/>
          <w:kern w:val="0"/>
          <w:sz w:val="21"/>
          <w:szCs w:val="21"/>
        </w:rPr>
      </w:pPr>
      <w:r>
        <w:rPr>
          <w:rFonts w:hint="eastAsia" w:ascii="Times New Roman" w:hAnsi="Times New Roman"/>
          <w:kern w:val="0"/>
          <w:sz w:val="21"/>
          <w:szCs w:val="21"/>
        </w:rPr>
        <w:t>金额</w:t>
      </w:r>
      <w:r>
        <w:rPr>
          <w:rFonts w:ascii="Times New Roman" w:hAnsi="Times New Roman"/>
          <w:kern w:val="0"/>
          <w:sz w:val="21"/>
          <w:szCs w:val="21"/>
        </w:rPr>
        <w:t>单位：</w:t>
      </w:r>
      <w:r>
        <w:rPr>
          <w:rFonts w:hint="eastAsia" w:ascii="Times New Roman" w:hAnsi="Times New Roman"/>
          <w:kern w:val="0"/>
          <w:sz w:val="21"/>
          <w:szCs w:val="21"/>
        </w:rPr>
        <w:t>人民币</w:t>
      </w:r>
      <w:r>
        <w:rPr>
          <w:rFonts w:ascii="Times New Roman" w:hAnsi="Times New Roman"/>
          <w:kern w:val="0"/>
          <w:sz w:val="21"/>
          <w:szCs w:val="21"/>
        </w:rPr>
        <w:t>百万元</w:t>
      </w:r>
    </w:p>
    <w:tbl>
      <w:tblPr>
        <w:tblStyle w:val="27"/>
        <w:tblW w:w="916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87"/>
        <w:gridCol w:w="1095"/>
        <w:gridCol w:w="801"/>
        <w:gridCol w:w="905"/>
        <w:gridCol w:w="905"/>
        <w:gridCol w:w="905"/>
        <w:gridCol w:w="905"/>
        <w:gridCol w:w="905"/>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项目</w:t>
            </w:r>
          </w:p>
        </w:tc>
        <w:tc>
          <w:tcPr>
            <w:tcW w:w="109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20x0下</w:t>
            </w:r>
          </w:p>
        </w:tc>
        <w:tc>
          <w:tcPr>
            <w:tcW w:w="80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20x1</w:t>
            </w:r>
          </w:p>
        </w:tc>
        <w:tc>
          <w:tcPr>
            <w:tcW w:w="90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20x2</w:t>
            </w:r>
          </w:p>
        </w:tc>
        <w:tc>
          <w:tcPr>
            <w:tcW w:w="90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20x3</w:t>
            </w:r>
          </w:p>
        </w:tc>
        <w:tc>
          <w:tcPr>
            <w:tcW w:w="90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20x4</w:t>
            </w:r>
          </w:p>
        </w:tc>
        <w:tc>
          <w:tcPr>
            <w:tcW w:w="90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20x5</w:t>
            </w:r>
          </w:p>
        </w:tc>
        <w:tc>
          <w:tcPr>
            <w:tcW w:w="90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20x6</w:t>
            </w:r>
          </w:p>
        </w:tc>
        <w:tc>
          <w:tcPr>
            <w:tcW w:w="85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结算与清算手续费</w:t>
            </w:r>
          </w:p>
        </w:tc>
        <w:tc>
          <w:tcPr>
            <w:tcW w:w="109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24</w:t>
            </w:r>
          </w:p>
        </w:tc>
        <w:tc>
          <w:tcPr>
            <w:tcW w:w="801"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60</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111</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164</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212</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259</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313</w:t>
            </w:r>
          </w:p>
        </w:tc>
        <w:tc>
          <w:tcPr>
            <w:tcW w:w="854"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代理业务手续费</w:t>
            </w:r>
          </w:p>
        </w:tc>
        <w:tc>
          <w:tcPr>
            <w:tcW w:w="109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13</w:t>
            </w:r>
          </w:p>
        </w:tc>
        <w:tc>
          <w:tcPr>
            <w:tcW w:w="801"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37</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44</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52</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61</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69</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78</w:t>
            </w:r>
          </w:p>
        </w:tc>
        <w:tc>
          <w:tcPr>
            <w:tcW w:w="854"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银行卡手续费</w:t>
            </w:r>
          </w:p>
        </w:tc>
        <w:tc>
          <w:tcPr>
            <w:tcW w:w="109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169</w:t>
            </w:r>
          </w:p>
        </w:tc>
        <w:tc>
          <w:tcPr>
            <w:tcW w:w="801"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616</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1,078</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1,725</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2,406</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3,272</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4,418</w:t>
            </w:r>
          </w:p>
        </w:tc>
        <w:tc>
          <w:tcPr>
            <w:tcW w:w="854"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5,893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托管及其他受托业务佣金</w:t>
            </w:r>
          </w:p>
        </w:tc>
        <w:tc>
          <w:tcPr>
            <w:tcW w:w="109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84</w:t>
            </w:r>
          </w:p>
        </w:tc>
        <w:tc>
          <w:tcPr>
            <w:tcW w:w="801"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227</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431</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712</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968</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1,258</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1,616</w:t>
            </w:r>
          </w:p>
        </w:tc>
        <w:tc>
          <w:tcPr>
            <w:tcW w:w="854"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 w:hRule="atLeast"/>
          <w:jc w:val="right"/>
        </w:trPr>
        <w:tc>
          <w:tcPr>
            <w:tcW w:w="1887"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其他</w:t>
            </w:r>
          </w:p>
        </w:tc>
        <w:tc>
          <w:tcPr>
            <w:tcW w:w="109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28</w:t>
            </w:r>
          </w:p>
        </w:tc>
        <w:tc>
          <w:tcPr>
            <w:tcW w:w="801"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160</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213</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266</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314</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364</w:t>
            </w:r>
          </w:p>
        </w:tc>
        <w:tc>
          <w:tcPr>
            <w:tcW w:w="905"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419</w:t>
            </w:r>
          </w:p>
        </w:tc>
        <w:tc>
          <w:tcPr>
            <w:tcW w:w="854"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477</w:t>
            </w:r>
          </w:p>
        </w:tc>
      </w:tr>
    </w:tbl>
    <w:p>
      <w:pPr>
        <w:spacing w:line="360" w:lineRule="auto"/>
        <w:rPr>
          <w:rFonts w:ascii="Times New Roman" w:hAnsi="Times New Roman"/>
          <w:sz w:val="32"/>
          <w:szCs w:val="32"/>
        </w:rPr>
      </w:pPr>
    </w:p>
    <w:p>
      <w:pPr>
        <w:widowControl/>
        <w:spacing w:line="240" w:lineRule="auto"/>
        <w:jc w:val="left"/>
        <w:rPr>
          <w:rFonts w:ascii="Times New Roman" w:hAnsi="Times New Roman"/>
          <w:sz w:val="32"/>
          <w:szCs w:val="32"/>
        </w:rPr>
      </w:pP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案例</w:t>
      </w:r>
      <w:r>
        <w:rPr>
          <w:rFonts w:ascii="Times New Roman" w:hAnsi="Times New Roman"/>
          <w:b/>
          <w:spacing w:val="-1"/>
          <w:sz w:val="32"/>
          <w:szCs w:val="32"/>
          <w:lang w:val="zh-TW"/>
        </w:rPr>
        <w:t>四</w:t>
      </w:r>
      <w:r>
        <w:rPr>
          <w:rFonts w:ascii="Times New Roman" w:hAnsi="Times New Roman"/>
          <w:b/>
          <w:spacing w:val="-1"/>
          <w:sz w:val="32"/>
          <w:szCs w:val="32"/>
          <w:lang w:val="zh-TW" w:eastAsia="zh-TW"/>
        </w:rPr>
        <w:t>：证券公司的手续费收入预测</w:t>
      </w:r>
    </w:p>
    <w:p>
      <w:pPr>
        <w:spacing w:line="360" w:lineRule="auto"/>
        <w:ind w:firstLine="561" w:firstLineChars="192"/>
        <w:rPr>
          <w:rFonts w:ascii="Times New Roman" w:hAnsi="Times New Roman"/>
          <w:sz w:val="28"/>
        </w:rPr>
      </w:pPr>
      <w:r>
        <w:rPr>
          <w:rFonts w:ascii="Times New Roman" w:hAnsi="Times New Roman"/>
          <w:sz w:val="28"/>
        </w:rPr>
        <w:t>手续费及佣金净收入＝手续费及佣金收入－手续费及佣金支出。</w:t>
      </w:r>
    </w:p>
    <w:p>
      <w:pPr>
        <w:spacing w:line="360" w:lineRule="auto"/>
        <w:ind w:firstLine="561" w:firstLineChars="192"/>
        <w:rPr>
          <w:rFonts w:ascii="Times New Roman" w:hAnsi="Times New Roman"/>
          <w:sz w:val="28"/>
        </w:rPr>
      </w:pPr>
      <w:r>
        <w:rPr>
          <w:rFonts w:ascii="Times New Roman" w:hAnsi="Times New Roman"/>
          <w:sz w:val="28"/>
        </w:rPr>
        <w:t>手续费及佣金收入＝市场成交额×2×市场份额×平均佣金率</w:t>
      </w:r>
    </w:p>
    <w:p>
      <w:pPr>
        <w:spacing w:line="360" w:lineRule="auto"/>
        <w:ind w:firstLine="584" w:firstLineChars="200"/>
        <w:rPr>
          <w:rFonts w:ascii="Times New Roman" w:hAnsi="Times New Roman"/>
          <w:sz w:val="28"/>
        </w:rPr>
      </w:pPr>
      <w:r>
        <w:rPr>
          <w:rFonts w:ascii="Times New Roman" w:hAnsi="Times New Roman"/>
          <w:sz w:val="28"/>
        </w:rPr>
        <w:t>手续费及佣金支出＝代理买卖证券业务的收入×代理买卖证券的平均费用比率</w:t>
      </w:r>
    </w:p>
    <w:p>
      <w:pPr>
        <w:spacing w:line="360" w:lineRule="auto"/>
        <w:ind w:firstLine="584" w:firstLineChars="200"/>
        <w:rPr>
          <w:rFonts w:ascii="Times New Roman" w:hAnsi="Times New Roman"/>
          <w:sz w:val="28"/>
        </w:rPr>
      </w:pPr>
      <w:r>
        <w:rPr>
          <w:rFonts w:hint="eastAsia" w:ascii="Times New Roman" w:hAnsi="Times New Roman"/>
          <w:sz w:val="28"/>
        </w:rPr>
        <w:t>1、</w:t>
      </w:r>
      <w:r>
        <w:rPr>
          <w:rFonts w:ascii="Times New Roman" w:hAnsi="Times New Roman"/>
          <w:sz w:val="28"/>
        </w:rPr>
        <w:t>市场成交额预测</w:t>
      </w:r>
    </w:p>
    <w:p>
      <w:pPr>
        <w:spacing w:line="360" w:lineRule="auto"/>
        <w:ind w:firstLine="584" w:firstLineChars="200"/>
        <w:rPr>
          <w:rFonts w:ascii="Times New Roman" w:hAnsi="Times New Roman"/>
          <w:sz w:val="28"/>
        </w:rPr>
      </w:pPr>
      <w:r>
        <w:rPr>
          <w:rFonts w:ascii="Times New Roman" w:hAnsi="Times New Roman"/>
          <w:sz w:val="28"/>
        </w:rPr>
        <w:t>成交额是反映证券市场运行情况的重要参数之一，从我国证券行业发展的历史轨迹来看，证券交易的活跃程度与证券指数呈正相关，但更主要与市场股权结构、流通股票容量以及资金供求相关联。</w:t>
      </w:r>
    </w:p>
    <w:p>
      <w:pPr>
        <w:spacing w:line="360" w:lineRule="auto"/>
        <w:jc w:val="center"/>
        <w:rPr>
          <w:rFonts w:ascii="Times New Roman" w:hAnsi="Times New Roman" w:eastAsia="黑体"/>
          <w:sz w:val="24"/>
        </w:rPr>
      </w:pPr>
      <w:r>
        <w:rPr>
          <w:rFonts w:ascii="Times New Roman" w:hAnsi="Times New Roman" w:eastAsia="黑体"/>
          <w:sz w:val="24"/>
        </w:rPr>
        <w:t>A股市场单边交易额统计表</w:t>
      </w:r>
    </w:p>
    <w:p>
      <w:pPr>
        <w:spacing w:line="360" w:lineRule="auto"/>
        <w:ind w:firstLine="444" w:firstLineChars="200"/>
        <w:jc w:val="right"/>
        <w:rPr>
          <w:rFonts w:ascii="仿宋_GB2312" w:hAnsi="Times New Roman"/>
          <w:sz w:val="21"/>
          <w:szCs w:val="21"/>
        </w:rPr>
      </w:pPr>
      <w:r>
        <w:rPr>
          <w:rFonts w:hint="eastAsia" w:ascii="仿宋_GB2312" w:hAnsi="Times New Roman"/>
          <w:sz w:val="21"/>
          <w:szCs w:val="21"/>
        </w:rPr>
        <w:t>金额单位：人民币万元</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0"/>
        <w:gridCol w:w="2056"/>
        <w:gridCol w:w="2056"/>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宋体" w:eastAsia="宋体"/>
                <w:kern w:val="0"/>
                <w:sz w:val="18"/>
                <w:szCs w:val="18"/>
              </w:rPr>
              <w:t>项目</w:t>
            </w:r>
          </w:p>
        </w:tc>
        <w:tc>
          <w:tcPr>
            <w:tcW w:w="205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w:t>
            </w:r>
            <w:r>
              <w:rPr>
                <w:rFonts w:hint="eastAsia" w:ascii="Times New Roman" w:hAnsi="Times New Roman" w:eastAsia="宋体"/>
                <w:kern w:val="0"/>
                <w:sz w:val="18"/>
                <w:szCs w:val="18"/>
              </w:rPr>
              <w:t>y</w:t>
            </w:r>
            <w:r>
              <w:rPr>
                <w:rFonts w:ascii="Times New Roman" w:hAnsi="Times New Roman" w:eastAsia="宋体"/>
                <w:kern w:val="0"/>
                <w:sz w:val="18"/>
                <w:szCs w:val="18"/>
              </w:rPr>
              <w:t>9</w:t>
            </w:r>
            <w:r>
              <w:rPr>
                <w:rFonts w:ascii="Times New Roman" w:hAnsi="宋体" w:eastAsia="宋体"/>
                <w:kern w:val="0"/>
                <w:sz w:val="18"/>
                <w:szCs w:val="18"/>
              </w:rPr>
              <w:t>年</w:t>
            </w:r>
          </w:p>
        </w:tc>
        <w:tc>
          <w:tcPr>
            <w:tcW w:w="2056"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20x0</w:t>
            </w:r>
            <w:r>
              <w:rPr>
                <w:rFonts w:ascii="Times New Roman" w:hAnsi="宋体" w:eastAsia="宋体"/>
                <w:kern w:val="0"/>
                <w:sz w:val="18"/>
                <w:szCs w:val="18"/>
              </w:rPr>
              <w:t>年</w:t>
            </w:r>
          </w:p>
        </w:tc>
        <w:tc>
          <w:tcPr>
            <w:tcW w:w="1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20x1</w:t>
            </w:r>
            <w:r>
              <w:rPr>
                <w:rFonts w:ascii="Times New Roman" w:hAnsi="宋体" w:eastAsia="宋体"/>
                <w:kern w:val="0"/>
                <w:sz w:val="18"/>
                <w:szCs w:val="18"/>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4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股票交易额</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1,065,220.97</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1,084,347.40</w:t>
            </w:r>
          </w:p>
        </w:tc>
        <w:tc>
          <w:tcPr>
            <w:tcW w:w="18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836,680.71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4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基金交易额</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19,544.59</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17,027.77</w:t>
            </w:r>
          </w:p>
        </w:tc>
        <w:tc>
          <w:tcPr>
            <w:tcW w:w="18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12,059.84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4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股票基金交易额合计</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1,084,765.56</w:t>
            </w:r>
          </w:p>
        </w:tc>
        <w:tc>
          <w:tcPr>
            <w:tcW w:w="2056"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1,101,375.17</w:t>
            </w:r>
          </w:p>
        </w:tc>
        <w:tc>
          <w:tcPr>
            <w:tcW w:w="181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848,740.55</w:t>
            </w:r>
          </w:p>
        </w:tc>
      </w:tr>
    </w:tbl>
    <w:p>
      <w:pPr>
        <w:spacing w:line="360" w:lineRule="auto"/>
        <w:ind w:firstLine="444" w:firstLineChars="200"/>
        <w:jc w:val="right"/>
        <w:rPr>
          <w:rFonts w:ascii="Times New Roman" w:hAnsi="Times New Roman"/>
          <w:kern w:val="0"/>
          <w:sz w:val="21"/>
          <w:szCs w:val="21"/>
        </w:rPr>
      </w:pPr>
      <w:r>
        <w:rPr>
          <w:rFonts w:ascii="Times New Roman" w:hAnsi="Times New Roman"/>
          <w:kern w:val="0"/>
          <w:sz w:val="21"/>
          <w:szCs w:val="21"/>
        </w:rPr>
        <w:t>数据来源：wind资讯</w:t>
      </w:r>
    </w:p>
    <w:p>
      <w:pPr>
        <w:spacing w:line="360" w:lineRule="auto"/>
        <w:ind w:firstLine="584" w:firstLineChars="200"/>
        <w:rPr>
          <w:rFonts w:ascii="Times New Roman" w:hAnsi="Times New Roman"/>
          <w:sz w:val="28"/>
          <w:szCs w:val="28"/>
          <w:lang w:val="zh-CN"/>
        </w:rPr>
      </w:pPr>
      <w:r>
        <w:rPr>
          <w:rFonts w:ascii="Times New Roman" w:hAnsi="Times New Roman"/>
          <w:sz w:val="28"/>
        </w:rPr>
        <w:t>本次评估的预测是基于我国的证券资本市场的增长速度、历史年度的波动水平、同时结合到现在的证券市场的表现进行预测的。面对我国证券市场的不稳定性，</w:t>
      </w:r>
      <w:r>
        <w:rPr>
          <w:rFonts w:hint="eastAsia" w:ascii="Times New Roman" w:hAnsi="Times New Roman"/>
          <w:sz w:val="28"/>
        </w:rPr>
        <w:t>资产</w:t>
      </w:r>
      <w:r>
        <w:rPr>
          <w:rFonts w:ascii="Times New Roman" w:hAnsi="Times New Roman"/>
          <w:sz w:val="28"/>
        </w:rPr>
        <w:t>评估师一方面考虑历史期的交易量，另一方面结合我国证券市场未来发展的走势，预测</w:t>
      </w:r>
      <w:r>
        <w:rPr>
          <w:rFonts w:ascii="Times New Roman" w:hAnsi="Times New Roman"/>
          <w:sz w:val="28"/>
          <w:szCs w:val="28"/>
          <w:lang w:val="zh-CN"/>
        </w:rPr>
        <w:t>未来年度我国证券市场成交额以每年7.6%的速度增长。</w:t>
      </w:r>
    </w:p>
    <w:p>
      <w:pPr>
        <w:spacing w:line="360" w:lineRule="auto"/>
        <w:ind w:firstLine="504" w:firstLineChars="200"/>
        <w:jc w:val="center"/>
        <w:rPr>
          <w:rFonts w:ascii="Times New Roman" w:hAnsi="Times New Roman" w:eastAsia="黑体"/>
          <w:sz w:val="24"/>
          <w:lang w:val="zh-CN"/>
        </w:rPr>
      </w:pPr>
      <w:r>
        <w:rPr>
          <w:rFonts w:ascii="Times New Roman" w:hAnsi="Times New Roman" w:eastAsia="黑体"/>
          <w:sz w:val="24"/>
          <w:lang w:val="zh-CN"/>
        </w:rPr>
        <w:t>我国历年GDP增长速度表</w:t>
      </w:r>
    </w:p>
    <w:tbl>
      <w:tblPr>
        <w:tblStyle w:val="27"/>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4"/>
        <w:gridCol w:w="2978"/>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blHeader/>
        </w:trPr>
        <w:tc>
          <w:tcPr>
            <w:tcW w:w="32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宋体" w:eastAsia="宋体"/>
                <w:kern w:val="0"/>
                <w:sz w:val="18"/>
                <w:szCs w:val="18"/>
              </w:rPr>
              <w:t>年份</w:t>
            </w:r>
          </w:p>
        </w:tc>
        <w:tc>
          <w:tcPr>
            <w:tcW w:w="2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GDP</w:t>
            </w:r>
            <w:r>
              <w:rPr>
                <w:rFonts w:ascii="Times New Roman" w:hAnsi="宋体" w:eastAsia="宋体"/>
                <w:kern w:val="0"/>
                <w:sz w:val="18"/>
                <w:szCs w:val="18"/>
              </w:rPr>
              <w:t>（亿元）</w:t>
            </w:r>
          </w:p>
        </w:tc>
        <w:tc>
          <w:tcPr>
            <w:tcW w:w="232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GDP:</w:t>
            </w:r>
            <w:r>
              <w:rPr>
                <w:rFonts w:ascii="Times New Roman" w:hAnsi="宋体" w:eastAsia="宋体"/>
                <w:kern w:val="0"/>
                <w:sz w:val="18"/>
                <w:szCs w:val="18"/>
              </w:rPr>
              <w:t>增长率</w:t>
            </w:r>
            <w:r>
              <w:rPr>
                <w:rFonts w:ascii="Times New Roman" w:hAnsi="Times New Roman" w:eastAsia="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bookmarkStart w:id="1" w:name="RANGE!A21:C34"/>
            <w:r>
              <w:rPr>
                <w:rFonts w:ascii="Times New Roman" w:hAnsi="Times New Roman" w:eastAsia="宋体"/>
                <w:kern w:val="0"/>
                <w:sz w:val="18"/>
                <w:szCs w:val="18"/>
              </w:rPr>
              <w:t>1999</w:t>
            </w:r>
            <w:bookmarkEnd w:id="1"/>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89,677.05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2000</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99,214.55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2001</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109,655.17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2002</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120,332.69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2003</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135,822.76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2004</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159,878.34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2005</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184,937.40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2006</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216,314.40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2007</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265,810.30 </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2008</w:t>
            </w:r>
          </w:p>
        </w:tc>
        <w:tc>
          <w:tcPr>
            <w:tcW w:w="2978"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314,045.40 </w:t>
            </w:r>
          </w:p>
        </w:tc>
        <w:tc>
          <w:tcPr>
            <w:tcW w:w="2320"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2009</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340,902.81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2010</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401,512.80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10.40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2011</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473,104.00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2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2012</w:t>
            </w:r>
          </w:p>
        </w:tc>
        <w:tc>
          <w:tcPr>
            <w:tcW w:w="2978"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519,322.10 </w:t>
            </w:r>
          </w:p>
        </w:tc>
        <w:tc>
          <w:tcPr>
            <w:tcW w:w="232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7.80 </w:t>
            </w:r>
          </w:p>
        </w:tc>
      </w:tr>
    </w:tbl>
    <w:p>
      <w:pPr>
        <w:spacing w:beforeLines="50" w:line="360" w:lineRule="auto"/>
        <w:ind w:right="360" w:firstLine="5856" w:firstLineChars="3050"/>
        <w:rPr>
          <w:rFonts w:ascii="Times New Roman" w:hAnsi="Times New Roman"/>
          <w:sz w:val="18"/>
          <w:szCs w:val="18"/>
        </w:rPr>
      </w:pPr>
      <w:r>
        <w:rPr>
          <w:rFonts w:ascii="Times New Roman" w:hAnsi="Times New Roman"/>
          <w:sz w:val="18"/>
          <w:szCs w:val="18"/>
        </w:rPr>
        <w:t>数据来源：wind资讯</w:t>
      </w:r>
    </w:p>
    <w:p>
      <w:pPr>
        <w:spacing w:beforeLines="100" w:line="360" w:lineRule="auto"/>
        <w:ind w:firstLine="584" w:firstLineChars="200"/>
        <w:rPr>
          <w:rFonts w:ascii="Times New Roman" w:hAnsi="Times New Roman"/>
          <w:sz w:val="28"/>
        </w:rPr>
      </w:pPr>
      <w:r>
        <w:rPr>
          <w:rFonts w:hint="eastAsia" w:ascii="Times New Roman" w:hAnsi="Times New Roman"/>
          <w:sz w:val="28"/>
        </w:rPr>
        <w:t>2、</w:t>
      </w:r>
      <w:r>
        <w:rPr>
          <w:rFonts w:ascii="Times New Roman" w:hAnsi="Times New Roman"/>
          <w:sz w:val="28"/>
        </w:rPr>
        <w:t>市场份额的预测</w:t>
      </w:r>
    </w:p>
    <w:p>
      <w:pPr>
        <w:spacing w:line="360" w:lineRule="auto"/>
        <w:ind w:firstLine="584" w:firstLineChars="200"/>
        <w:rPr>
          <w:rFonts w:ascii="Times New Roman" w:hAnsi="Times New Roman"/>
          <w:kern w:val="0"/>
          <w:sz w:val="28"/>
          <w:szCs w:val="28"/>
        </w:rPr>
      </w:pPr>
      <w:r>
        <w:rPr>
          <w:rFonts w:ascii="Times New Roman" w:hAnsi="Times New Roman"/>
          <w:sz w:val="28"/>
        </w:rPr>
        <w:t>市场份额与证券公司的经营政策、资金实力等相关，同时各个营业部之间也因为地区、运作经验、管理等多方面的因素各有不同。</w:t>
      </w:r>
    </w:p>
    <w:p>
      <w:pPr>
        <w:spacing w:line="360" w:lineRule="auto"/>
        <w:ind w:firstLine="584" w:firstLineChars="200"/>
        <w:rPr>
          <w:rFonts w:ascii="Times New Roman" w:hAnsi="Times New Roman"/>
          <w:sz w:val="28"/>
        </w:rPr>
      </w:pPr>
      <w:r>
        <w:rPr>
          <w:rFonts w:hint="eastAsia" w:ascii="Times New Roman" w:hAnsi="Times New Roman"/>
          <w:kern w:val="0"/>
          <w:sz w:val="28"/>
          <w:szCs w:val="28"/>
        </w:rPr>
        <w:t>x</w:t>
      </w:r>
      <w:r>
        <w:rPr>
          <w:rFonts w:ascii="Times New Roman" w:hAnsi="Times New Roman"/>
          <w:kern w:val="0"/>
          <w:sz w:val="28"/>
          <w:szCs w:val="28"/>
        </w:rPr>
        <w:t>x证券公司是一家经营稳定的金融企业，具有较稳定的客户资源、完备的管理体制、成熟的团队及较高的市场开拓能力，自成立以来一直保持了稳定的成长速度。20</w:t>
      </w:r>
      <w:r>
        <w:rPr>
          <w:rFonts w:hint="eastAsia" w:ascii="Times New Roman" w:hAnsi="Times New Roman"/>
          <w:kern w:val="0"/>
          <w:sz w:val="28"/>
          <w:szCs w:val="28"/>
        </w:rPr>
        <w:t>y</w:t>
      </w:r>
      <w:r>
        <w:rPr>
          <w:rFonts w:ascii="Times New Roman" w:hAnsi="Times New Roman"/>
          <w:kern w:val="0"/>
          <w:sz w:val="28"/>
          <w:szCs w:val="28"/>
        </w:rPr>
        <w:t>9年公司股票基金交易总金额为2,156.49亿元，20</w:t>
      </w:r>
      <w:r>
        <w:rPr>
          <w:rFonts w:hint="eastAsia" w:ascii="Times New Roman" w:hAnsi="Times New Roman"/>
          <w:kern w:val="0"/>
          <w:sz w:val="28"/>
          <w:szCs w:val="28"/>
        </w:rPr>
        <w:t>x</w:t>
      </w:r>
      <w:r>
        <w:rPr>
          <w:rFonts w:ascii="Times New Roman" w:hAnsi="Times New Roman"/>
          <w:kern w:val="0"/>
          <w:sz w:val="28"/>
          <w:szCs w:val="28"/>
        </w:rPr>
        <w:t>0年交易总金额为1,770.74亿元，20x1年交易总金额为2,042.35亿元，20x2年1-9月交易总金额为1,568.03亿元。</w:t>
      </w:r>
      <w:r>
        <w:rPr>
          <w:rFonts w:hint="eastAsia" w:ascii="Times New Roman" w:hAnsi="Times New Roman"/>
          <w:sz w:val="28"/>
        </w:rPr>
        <w:t>x</w:t>
      </w:r>
      <w:r>
        <w:rPr>
          <w:rFonts w:ascii="Times New Roman" w:hAnsi="Times New Roman"/>
          <w:sz w:val="28"/>
        </w:rPr>
        <w:t>x证券公司在20</w:t>
      </w:r>
      <w:r>
        <w:rPr>
          <w:rFonts w:hint="eastAsia" w:ascii="Times New Roman" w:hAnsi="Times New Roman"/>
          <w:sz w:val="28"/>
        </w:rPr>
        <w:t>y</w:t>
      </w:r>
      <w:r>
        <w:rPr>
          <w:rFonts w:ascii="Times New Roman" w:hAnsi="Times New Roman"/>
          <w:sz w:val="28"/>
        </w:rPr>
        <w:t>9-20</w:t>
      </w:r>
      <w:r>
        <w:rPr>
          <w:rFonts w:hint="eastAsia" w:ascii="Times New Roman" w:hAnsi="Times New Roman"/>
          <w:sz w:val="28"/>
        </w:rPr>
        <w:t>x</w:t>
      </w:r>
      <w:r>
        <w:rPr>
          <w:rFonts w:ascii="Times New Roman" w:hAnsi="Times New Roman"/>
          <w:sz w:val="28"/>
        </w:rPr>
        <w:t>2年市场份额分别为0.1988%、0.1608%、0.2406%、0.3688%，根据企业营销计划，预测20</w:t>
      </w:r>
      <w:r>
        <w:rPr>
          <w:rFonts w:hint="eastAsia" w:ascii="Times New Roman" w:hAnsi="Times New Roman"/>
          <w:sz w:val="28"/>
        </w:rPr>
        <w:t>x</w:t>
      </w:r>
      <w:r>
        <w:rPr>
          <w:rFonts w:ascii="Times New Roman" w:hAnsi="Times New Roman"/>
          <w:sz w:val="28"/>
        </w:rPr>
        <w:t>3年到20</w:t>
      </w:r>
      <w:r>
        <w:rPr>
          <w:rFonts w:hint="eastAsia" w:ascii="Times New Roman" w:hAnsi="Times New Roman"/>
          <w:sz w:val="28"/>
        </w:rPr>
        <w:t>x</w:t>
      </w:r>
      <w:r>
        <w:rPr>
          <w:rFonts w:ascii="Times New Roman" w:hAnsi="Times New Roman"/>
          <w:sz w:val="28"/>
        </w:rPr>
        <w:t>7年</w:t>
      </w:r>
      <w:r>
        <w:rPr>
          <w:rFonts w:hint="eastAsia" w:ascii="Times New Roman" w:hAnsi="Times New Roman"/>
          <w:sz w:val="28"/>
        </w:rPr>
        <w:t>xx</w:t>
      </w:r>
      <w:r>
        <w:rPr>
          <w:rFonts w:ascii="Times New Roman" w:hAnsi="Times New Roman"/>
          <w:sz w:val="28"/>
        </w:rPr>
        <w:t>证券市场份额每年将以6%的速度增长，分别达0.3909%、0.4144%、0.4393%、0.4657%、0.4936%，至20</w:t>
      </w:r>
      <w:r>
        <w:rPr>
          <w:rFonts w:hint="eastAsia" w:ascii="Times New Roman" w:hAnsi="Times New Roman"/>
          <w:sz w:val="28"/>
        </w:rPr>
        <w:t>x</w:t>
      </w:r>
      <w:r>
        <w:rPr>
          <w:rFonts w:ascii="Times New Roman" w:hAnsi="Times New Roman"/>
          <w:sz w:val="28"/>
        </w:rPr>
        <w:t>7之后稳定在0.4936%。</w:t>
      </w:r>
    </w:p>
    <w:p>
      <w:pPr>
        <w:tabs>
          <w:tab w:val="left" w:pos="2700"/>
        </w:tabs>
        <w:spacing w:line="360" w:lineRule="auto"/>
        <w:ind w:firstLine="561"/>
        <w:rPr>
          <w:rFonts w:ascii="Times New Roman" w:hAnsi="Times New Roman"/>
          <w:sz w:val="28"/>
        </w:rPr>
      </w:pPr>
      <w:r>
        <w:rPr>
          <w:rFonts w:hint="eastAsia" w:ascii="Times New Roman" w:hAnsi="Times New Roman"/>
          <w:sz w:val="28"/>
        </w:rPr>
        <w:t>3、</w:t>
      </w:r>
      <w:r>
        <w:rPr>
          <w:rFonts w:ascii="Times New Roman" w:hAnsi="Times New Roman"/>
          <w:sz w:val="28"/>
        </w:rPr>
        <w:t>平均佣金率的预测</w:t>
      </w:r>
    </w:p>
    <w:p>
      <w:pPr>
        <w:spacing w:line="360" w:lineRule="auto"/>
        <w:ind w:firstLine="584" w:firstLineChars="200"/>
        <w:rPr>
          <w:rFonts w:ascii="Times New Roman" w:hAnsi="Times New Roman"/>
          <w:sz w:val="28"/>
        </w:rPr>
      </w:pPr>
      <w:r>
        <w:rPr>
          <w:rFonts w:ascii="Times New Roman" w:hAnsi="Times New Roman"/>
          <w:sz w:val="28"/>
        </w:rPr>
        <w:t>各年的平均佣金率与证券市场的景气程度和临近营业部之间的竞争相关，根据xx证券公司的财务数据显示20</w:t>
      </w:r>
      <w:r>
        <w:rPr>
          <w:rFonts w:hint="eastAsia" w:ascii="Times New Roman" w:hAnsi="Times New Roman"/>
          <w:sz w:val="28"/>
        </w:rPr>
        <w:t>x</w:t>
      </w:r>
      <w:r>
        <w:rPr>
          <w:rFonts w:ascii="Times New Roman" w:hAnsi="Times New Roman"/>
          <w:sz w:val="28"/>
        </w:rPr>
        <w:t>2年1-9月其佣金费率水平为万分之8.0008。</w:t>
      </w:r>
    </w:p>
    <w:p>
      <w:pPr>
        <w:spacing w:line="360" w:lineRule="auto"/>
        <w:ind w:firstLine="584" w:firstLineChars="200"/>
        <w:rPr>
          <w:rFonts w:ascii="Times New Roman" w:hAnsi="Times New Roman"/>
          <w:sz w:val="28"/>
        </w:rPr>
      </w:pPr>
      <w:r>
        <w:rPr>
          <w:rFonts w:ascii="Times New Roman" w:hAnsi="Times New Roman"/>
          <w:sz w:val="28"/>
        </w:rPr>
        <w:t>由于xx证券公司的营业部设立在一线城市，客户均为高净值客户，具有较高的客户忠诚度，因此能保持较市场平均佣金率略高的水平，我们随着未来市场面临竞争的不断加剧，xx证券公司市场佣金率水平将保持在万分之八左右。</w:t>
      </w:r>
    </w:p>
    <w:p>
      <w:pPr>
        <w:spacing w:line="360" w:lineRule="auto"/>
        <w:ind w:firstLine="584" w:firstLineChars="200"/>
        <w:rPr>
          <w:rFonts w:ascii="Times New Roman" w:hAnsi="Times New Roman"/>
          <w:kern w:val="0"/>
          <w:sz w:val="28"/>
          <w:szCs w:val="28"/>
        </w:rPr>
      </w:pPr>
      <w:r>
        <w:rPr>
          <w:rFonts w:hint="eastAsia" w:ascii="Times New Roman" w:hAnsi="Times New Roman"/>
          <w:kern w:val="0"/>
          <w:sz w:val="28"/>
          <w:szCs w:val="28"/>
        </w:rPr>
        <w:t>4、</w:t>
      </w:r>
      <w:r>
        <w:rPr>
          <w:rFonts w:ascii="Times New Roman" w:hAnsi="Times New Roman"/>
          <w:kern w:val="0"/>
          <w:sz w:val="28"/>
          <w:szCs w:val="28"/>
        </w:rPr>
        <w:t>手续费及佣金支出</w:t>
      </w:r>
    </w:p>
    <w:p>
      <w:pPr>
        <w:spacing w:line="360" w:lineRule="auto"/>
        <w:ind w:firstLine="584" w:firstLineChars="200"/>
        <w:rPr>
          <w:rFonts w:ascii="Times New Roman" w:hAnsi="Times New Roman"/>
          <w:kern w:val="0"/>
          <w:sz w:val="28"/>
          <w:szCs w:val="28"/>
        </w:rPr>
      </w:pPr>
      <w:r>
        <w:rPr>
          <w:rFonts w:ascii="Times New Roman" w:hAnsi="Times New Roman"/>
          <w:kern w:val="0"/>
          <w:sz w:val="28"/>
          <w:szCs w:val="28"/>
        </w:rPr>
        <w:t>20x0年-20x2年前三季度</w:t>
      </w:r>
      <w:r>
        <w:rPr>
          <w:rFonts w:ascii="Times New Roman" w:hAnsi="Times New Roman"/>
          <w:sz w:val="28"/>
        </w:rPr>
        <w:t>xx证券公司</w:t>
      </w:r>
      <w:r>
        <w:rPr>
          <w:rFonts w:ascii="Times New Roman" w:hAnsi="Times New Roman"/>
          <w:kern w:val="0"/>
          <w:sz w:val="28"/>
          <w:szCs w:val="28"/>
        </w:rPr>
        <w:t>手续费及佣金支出占手续费佣金收入的比分别为3.44%、2.89%、3.04%。预计未来这一比例将保持在3.04%的水平。</w:t>
      </w:r>
    </w:p>
    <w:p>
      <w:pPr>
        <w:spacing w:line="360" w:lineRule="auto"/>
        <w:ind w:firstLine="584" w:firstLineChars="200"/>
        <w:rPr>
          <w:rFonts w:ascii="Times New Roman" w:hAnsi="Times New Roman"/>
          <w:sz w:val="28"/>
        </w:rPr>
      </w:pPr>
      <w:r>
        <w:rPr>
          <w:rFonts w:ascii="Times New Roman" w:hAnsi="Times New Roman"/>
          <w:sz w:val="28"/>
        </w:rPr>
        <w:t>通过上述参数计算xx证券公司20x2年第四季度到20x7年各年的证券经纪业务手续费及佣金净收入如下：</w:t>
      </w:r>
    </w:p>
    <w:p>
      <w:pPr>
        <w:spacing w:line="360" w:lineRule="auto"/>
        <w:ind w:firstLine="504" w:firstLineChars="200"/>
        <w:jc w:val="center"/>
        <w:rPr>
          <w:rFonts w:ascii="Times New Roman" w:hAnsi="Times New Roman" w:eastAsia="黑体"/>
          <w:sz w:val="24"/>
        </w:rPr>
      </w:pPr>
      <w:r>
        <w:rPr>
          <w:rFonts w:ascii="Times New Roman" w:hAnsi="Times New Roman" w:eastAsia="黑体"/>
          <w:sz w:val="24"/>
        </w:rPr>
        <w:t>证券经纪业务手续费及佣金净收入预测表</w:t>
      </w:r>
    </w:p>
    <w:p>
      <w:pPr>
        <w:spacing w:line="360" w:lineRule="auto"/>
        <w:ind w:firstLine="444" w:firstLineChars="200"/>
        <w:jc w:val="right"/>
        <w:rPr>
          <w:rFonts w:ascii="仿宋_GB2312" w:hAnsi="Times New Roman"/>
          <w:sz w:val="21"/>
          <w:szCs w:val="21"/>
        </w:rPr>
      </w:pPr>
      <w:r>
        <w:rPr>
          <w:rFonts w:hint="eastAsia" w:ascii="仿宋_GB2312" w:hAnsi="Times New Roman"/>
          <w:sz w:val="21"/>
          <w:szCs w:val="21"/>
        </w:rPr>
        <w:t>金额单位：人民币万元</w:t>
      </w:r>
    </w:p>
    <w:tbl>
      <w:tblPr>
        <w:tblStyle w:val="27"/>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1208"/>
        <w:gridCol w:w="1208"/>
        <w:gridCol w:w="1208"/>
        <w:gridCol w:w="120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3122"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项目</w:t>
            </w:r>
          </w:p>
        </w:tc>
        <w:tc>
          <w:tcPr>
            <w:tcW w:w="1208"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20x3年</w:t>
            </w:r>
          </w:p>
        </w:tc>
        <w:tc>
          <w:tcPr>
            <w:tcW w:w="1208"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20x4年</w:t>
            </w:r>
          </w:p>
        </w:tc>
        <w:tc>
          <w:tcPr>
            <w:tcW w:w="1208"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20x5年</w:t>
            </w:r>
          </w:p>
        </w:tc>
        <w:tc>
          <w:tcPr>
            <w:tcW w:w="1208"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20x6年</w:t>
            </w:r>
          </w:p>
        </w:tc>
        <w:tc>
          <w:tcPr>
            <w:tcW w:w="1208"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1、A股市场成交额（亿元）</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688,044.53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740,335.92</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796,601.45</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857,143.16</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922,286.04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2、xx证券公司市场份额</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0.3909%</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0.4144%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0.4393%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0.4657%</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0.4936%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3、平均佣金率（万分之）</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8.00</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8.00</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8.00</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8.00</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4、证券经纪业务手续费收入</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21,516.53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24,543.62</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27,995.76</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31,933.73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36,419.23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5、手续费率</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6、证券经纪业务手续费支出</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654.10</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746.13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851.07</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970.79</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1,107.14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22" w:type="dxa"/>
            <w:vAlign w:val="center"/>
          </w:tcPr>
          <w:p>
            <w:pPr>
              <w:widowControl/>
              <w:spacing w:line="240" w:lineRule="auto"/>
              <w:jc w:val="left"/>
              <w:rPr>
                <w:rFonts w:ascii="Times New Roman" w:hAnsi="Times New Roman" w:eastAsia="宋体"/>
                <w:kern w:val="0"/>
                <w:sz w:val="18"/>
                <w:szCs w:val="18"/>
              </w:rPr>
            </w:pPr>
            <w:r>
              <w:rPr>
                <w:rFonts w:ascii="Times New Roman" w:hAnsi="Times New Roman" w:eastAsia="宋体"/>
                <w:kern w:val="0"/>
                <w:sz w:val="18"/>
                <w:szCs w:val="18"/>
              </w:rPr>
              <w:t>7、证券经纪业务手续费净收入</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20,862.43</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23,797.49</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27,144.69</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30,962.94</w:t>
            </w:r>
          </w:p>
        </w:tc>
        <w:tc>
          <w:tcPr>
            <w:tcW w:w="1208" w:type="dxa"/>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35,312.09</w:t>
            </w:r>
          </w:p>
        </w:tc>
      </w:tr>
    </w:tbl>
    <w:p>
      <w:pPr>
        <w:spacing w:line="360" w:lineRule="auto"/>
        <w:rPr>
          <w:rFonts w:ascii="Times New Roman" w:hAnsi="Times New Roman"/>
          <w:sz w:val="32"/>
          <w:szCs w:val="32"/>
        </w:rPr>
      </w:pPr>
    </w:p>
    <w:p>
      <w:pPr>
        <w:spacing w:line="360" w:lineRule="auto"/>
        <w:rPr>
          <w:rFonts w:ascii="Times New Roman" w:hAnsi="Times New Roman"/>
          <w:sz w:val="32"/>
          <w:szCs w:val="32"/>
        </w:rPr>
      </w:pPr>
    </w:p>
    <w:p>
      <w:pPr>
        <w:widowControl/>
        <w:spacing w:line="240" w:lineRule="auto"/>
        <w:jc w:val="left"/>
        <w:rPr>
          <w:rFonts w:ascii="Times New Roman" w:hAnsi="Times New Roman"/>
          <w:sz w:val="32"/>
          <w:szCs w:val="32"/>
        </w:rPr>
      </w:pP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案例</w:t>
      </w:r>
      <w:r>
        <w:rPr>
          <w:rFonts w:hint="eastAsia" w:ascii="Times New Roman" w:hAnsi="Times New Roman"/>
          <w:b/>
          <w:spacing w:val="-1"/>
          <w:sz w:val="32"/>
          <w:szCs w:val="32"/>
          <w:lang w:val="zh-TW"/>
        </w:rPr>
        <w:t>五</w:t>
      </w:r>
      <w:r>
        <w:rPr>
          <w:rFonts w:ascii="Times New Roman" w:hAnsi="Times New Roman"/>
          <w:b/>
          <w:spacing w:val="-1"/>
          <w:sz w:val="32"/>
          <w:szCs w:val="32"/>
          <w:lang w:val="zh-TW" w:eastAsia="zh-TW"/>
        </w:rPr>
        <w:t>：保险公司的已赚保费的预测</w:t>
      </w:r>
    </w:p>
    <w:p>
      <w:pPr>
        <w:spacing w:line="360" w:lineRule="auto"/>
        <w:ind w:firstLine="584" w:firstLineChars="200"/>
        <w:rPr>
          <w:rFonts w:ascii="Times New Roman" w:hAnsi="Times New Roman"/>
          <w:sz w:val="28"/>
        </w:rPr>
      </w:pPr>
      <w:r>
        <w:rPr>
          <w:rFonts w:ascii="Times New Roman" w:hAnsi="Times New Roman"/>
          <w:sz w:val="28"/>
        </w:rPr>
        <w:t>已赚保费=保险业务收入-分出保费-提取未到期责任准备金</w:t>
      </w:r>
    </w:p>
    <w:p>
      <w:pPr>
        <w:spacing w:line="360" w:lineRule="auto"/>
        <w:ind w:firstLine="584" w:firstLineChars="200"/>
        <w:rPr>
          <w:rFonts w:ascii="Times New Roman" w:hAnsi="Times New Roman"/>
          <w:sz w:val="28"/>
        </w:rPr>
      </w:pPr>
      <w:r>
        <w:rPr>
          <w:rFonts w:hint="eastAsia" w:ascii="Times New Roman" w:hAnsi="Times New Roman"/>
          <w:sz w:val="28"/>
        </w:rPr>
        <w:t>1、</w:t>
      </w:r>
      <w:r>
        <w:rPr>
          <w:rFonts w:ascii="Times New Roman" w:hAnsi="Times New Roman"/>
          <w:sz w:val="28"/>
        </w:rPr>
        <w:t>保险业务收入</w:t>
      </w:r>
    </w:p>
    <w:p>
      <w:pPr>
        <w:spacing w:line="360" w:lineRule="auto"/>
        <w:ind w:firstLine="584" w:firstLineChars="200"/>
        <w:rPr>
          <w:rFonts w:ascii="Times New Roman" w:hAnsi="Times New Roman"/>
          <w:sz w:val="28"/>
          <w:szCs w:val="28"/>
        </w:rPr>
      </w:pPr>
      <w:r>
        <w:rPr>
          <w:rFonts w:ascii="Times New Roman" w:hAnsi="Times New Roman"/>
          <w:sz w:val="28"/>
          <w:szCs w:val="28"/>
        </w:rPr>
        <w:t>xx保险公司的业务范围覆盖了人寿、养老、投资、教育、医疗等多个领域，为了实现可持续的、盈利性的增长，公司的产品经营策略主要集中于以销售期缴、保障型产品为主。20x1年至20x3期缴保费收入占比达到了90%，且期缴新业务保费收入月均增幅为68%。20x3年保费收入较20x2年增长了30.19%，其中续期的保费收入占比超过了60%，首年业务保费收入占到了约30%，与同规模公司相比处于较高水平。近三年xx保险公司各渠道保费收入情况如下表所示。</w:t>
      </w:r>
    </w:p>
    <w:p>
      <w:pPr>
        <w:spacing w:line="360" w:lineRule="auto"/>
        <w:jc w:val="center"/>
        <w:rPr>
          <w:rFonts w:ascii="Times New Roman" w:hAnsi="Times New Roman" w:eastAsia="黑体"/>
          <w:sz w:val="24"/>
        </w:rPr>
      </w:pPr>
      <w:r>
        <w:rPr>
          <w:rFonts w:ascii="Times New Roman" w:hAnsi="Times New Roman" w:eastAsia="黑体"/>
          <w:sz w:val="24"/>
        </w:rPr>
        <w:t>20x1-20x3年各渠道保费收入情况</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3"/>
        <w:gridCol w:w="2050"/>
        <w:gridCol w:w="2050"/>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宋体" w:eastAsia="宋体"/>
                <w:b/>
                <w:bCs/>
                <w:kern w:val="0"/>
                <w:sz w:val="18"/>
                <w:szCs w:val="18"/>
              </w:rPr>
              <w:t>按渠道划分</w:t>
            </w:r>
          </w:p>
        </w:tc>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 xml:space="preserve"> 20x1</w:t>
            </w:r>
            <w:r>
              <w:rPr>
                <w:rFonts w:ascii="Times New Roman" w:hAnsi="宋体" w:eastAsia="宋体"/>
                <w:b/>
                <w:bCs/>
                <w:kern w:val="0"/>
                <w:sz w:val="18"/>
                <w:szCs w:val="18"/>
              </w:rPr>
              <w:t>年</w:t>
            </w:r>
          </w:p>
        </w:tc>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 xml:space="preserve"> 20x2</w:t>
            </w:r>
            <w:r>
              <w:rPr>
                <w:rFonts w:ascii="Times New Roman" w:hAnsi="宋体" w:eastAsia="宋体"/>
                <w:b/>
                <w:bCs/>
                <w:kern w:val="0"/>
                <w:sz w:val="18"/>
                <w:szCs w:val="18"/>
              </w:rPr>
              <w:t>年</w:t>
            </w:r>
          </w:p>
        </w:tc>
        <w:tc>
          <w:tcPr>
            <w:tcW w:w="20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 xml:space="preserve"> 20x3</w:t>
            </w:r>
            <w:r>
              <w:rPr>
                <w:rFonts w:ascii="Times New Roman" w:hAnsi="宋体" w:eastAsia="宋体"/>
                <w:b/>
                <w:bCs/>
                <w:kern w:val="0"/>
                <w:sz w:val="18"/>
                <w:szCs w:val="18"/>
              </w:rPr>
              <w:t>年</w:t>
            </w:r>
            <w:r>
              <w:rPr>
                <w:rFonts w:ascii="Times New Roman" w:hAnsi="Times New Roman" w:eastAsia="宋体"/>
                <w:b/>
                <w:bCs/>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top w:val="single" w:color="auto" w:sz="4" w:space="0"/>
              <w:left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银行及邮政兼业代理</w:t>
            </w:r>
          </w:p>
        </w:tc>
        <w:tc>
          <w:tcPr>
            <w:tcW w:w="2050" w:type="dxa"/>
            <w:tcBorders>
              <w:top w:val="single" w:color="auto" w:sz="4" w:space="0"/>
              <w:left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59,638.06 </w:t>
            </w:r>
          </w:p>
        </w:tc>
        <w:tc>
          <w:tcPr>
            <w:tcW w:w="2050" w:type="dxa"/>
            <w:tcBorders>
              <w:top w:val="single" w:color="auto" w:sz="4" w:space="0"/>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88,923.84</w:t>
            </w:r>
          </w:p>
        </w:tc>
        <w:tc>
          <w:tcPr>
            <w:tcW w:w="2049" w:type="dxa"/>
            <w:tcBorders>
              <w:top w:val="single" w:color="auto" w:sz="4" w:space="0"/>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115,735.16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left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个人代理</w:t>
            </w:r>
          </w:p>
        </w:tc>
        <w:tc>
          <w:tcPr>
            <w:tcW w:w="2050" w:type="dxa"/>
            <w:tcBorders>
              <w:left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32,144.45 </w:t>
            </w:r>
          </w:p>
        </w:tc>
        <w:tc>
          <w:tcPr>
            <w:tcW w:w="2050" w:type="dxa"/>
            <w:tcBorders>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39,265.57</w:t>
            </w:r>
          </w:p>
        </w:tc>
        <w:tc>
          <w:tcPr>
            <w:tcW w:w="2049" w:type="dxa"/>
            <w:tcBorders>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47,972.09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left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保险中介代理</w:t>
            </w:r>
          </w:p>
        </w:tc>
        <w:tc>
          <w:tcPr>
            <w:tcW w:w="2050" w:type="dxa"/>
            <w:tcBorders>
              <w:left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5,791.57 </w:t>
            </w:r>
          </w:p>
        </w:tc>
        <w:tc>
          <w:tcPr>
            <w:tcW w:w="2050" w:type="dxa"/>
            <w:tcBorders>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5,211.03</w:t>
            </w:r>
          </w:p>
        </w:tc>
        <w:tc>
          <w:tcPr>
            <w:tcW w:w="2049" w:type="dxa"/>
            <w:tcBorders>
              <w:left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9,606.64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kern w:val="0"/>
                <w:sz w:val="18"/>
                <w:szCs w:val="18"/>
              </w:rPr>
            </w:pPr>
            <w:r>
              <w:rPr>
                <w:rFonts w:ascii="Times New Roman" w:hAnsi="宋体" w:eastAsia="宋体"/>
                <w:kern w:val="0"/>
                <w:sz w:val="18"/>
                <w:szCs w:val="18"/>
              </w:rPr>
              <w:t>公司直销</w:t>
            </w:r>
          </w:p>
        </w:tc>
        <w:tc>
          <w:tcPr>
            <w:tcW w:w="2050" w:type="dxa"/>
            <w:tcBorders>
              <w:left w:val="single" w:color="auto" w:sz="4" w:space="0"/>
              <w:bottom w:val="single" w:color="auto" w:sz="4" w:space="0"/>
              <w:right w:val="single" w:color="auto" w:sz="4" w:space="0"/>
            </w:tcBorders>
            <w:vAlign w:val="center"/>
          </w:tcPr>
          <w:p>
            <w:pPr>
              <w:widowControl/>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 xml:space="preserve">2,915.46 </w:t>
            </w:r>
          </w:p>
        </w:tc>
        <w:tc>
          <w:tcPr>
            <w:tcW w:w="2050" w:type="dxa"/>
            <w:tcBorders>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4,384.32</w:t>
            </w:r>
          </w:p>
        </w:tc>
        <w:tc>
          <w:tcPr>
            <w:tcW w:w="2049" w:type="dxa"/>
            <w:tcBorders>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kern w:val="0"/>
                <w:sz w:val="18"/>
                <w:szCs w:val="18"/>
              </w:rPr>
            </w:pPr>
            <w:r>
              <w:rPr>
                <w:rFonts w:ascii="Times New Roman" w:hAnsi="Times New Roman" w:eastAsia="宋体"/>
                <w:kern w:val="0"/>
                <w:sz w:val="18"/>
                <w:szCs w:val="18"/>
              </w:rPr>
              <w:t>6,072.93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30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总计</w:t>
            </w:r>
          </w:p>
        </w:tc>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Times New Roman" w:hAnsi="Times New Roman" w:eastAsia="宋体"/>
                <w:b/>
                <w:kern w:val="0"/>
                <w:sz w:val="18"/>
                <w:szCs w:val="18"/>
              </w:rPr>
            </w:pPr>
            <w:r>
              <w:rPr>
                <w:rFonts w:ascii="Times New Roman" w:hAnsi="Times New Roman" w:eastAsia="宋体"/>
                <w:b/>
                <w:kern w:val="0"/>
                <w:sz w:val="18"/>
                <w:szCs w:val="18"/>
              </w:rPr>
              <w:t xml:space="preserve"> 100,489.54 </w:t>
            </w:r>
          </w:p>
        </w:tc>
        <w:tc>
          <w:tcPr>
            <w:tcW w:w="2050"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b/>
                <w:kern w:val="0"/>
                <w:sz w:val="18"/>
                <w:szCs w:val="18"/>
              </w:rPr>
            </w:pPr>
            <w:r>
              <w:rPr>
                <w:rFonts w:ascii="Times New Roman" w:hAnsi="Times New Roman" w:eastAsia="宋体"/>
                <w:b/>
                <w:kern w:val="0"/>
                <w:sz w:val="18"/>
                <w:szCs w:val="18"/>
              </w:rPr>
              <w:t>137,784.76</w:t>
            </w:r>
          </w:p>
        </w:tc>
        <w:tc>
          <w:tcPr>
            <w:tcW w:w="2049"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b/>
                <w:kern w:val="0"/>
                <w:sz w:val="18"/>
                <w:szCs w:val="18"/>
              </w:rPr>
            </w:pPr>
            <w:r>
              <w:rPr>
                <w:rFonts w:ascii="Times New Roman" w:hAnsi="Times New Roman" w:eastAsia="宋体"/>
                <w:b/>
                <w:kern w:val="0"/>
                <w:sz w:val="18"/>
                <w:szCs w:val="18"/>
              </w:rPr>
              <w:t>179,386.81</w:t>
            </w:r>
          </w:p>
        </w:tc>
      </w:tr>
    </w:tbl>
    <w:p>
      <w:pPr>
        <w:spacing w:line="360" w:lineRule="auto"/>
        <w:ind w:firstLine="584" w:firstLineChars="200"/>
        <w:rPr>
          <w:rFonts w:ascii="Times New Roman" w:hAnsi="Times New Roman"/>
          <w:sz w:val="28"/>
        </w:rPr>
      </w:pPr>
    </w:p>
    <w:p>
      <w:pPr>
        <w:spacing w:line="360" w:lineRule="auto"/>
        <w:ind w:firstLine="584" w:firstLineChars="200"/>
        <w:rPr>
          <w:rFonts w:ascii="Times New Roman" w:hAnsi="Times New Roman"/>
          <w:sz w:val="28"/>
          <w:szCs w:val="28"/>
        </w:rPr>
      </w:pPr>
      <w:r>
        <w:rPr>
          <w:rFonts w:ascii="Times New Roman" w:hAnsi="Times New Roman"/>
          <w:sz w:val="28"/>
          <w:szCs w:val="28"/>
        </w:rPr>
        <w:t>保险公司未来年度的毛保费收入来源于新业务期缴保费收入、新业务趸缴保费收入、续年期缴保费收入。续年期缴的保费收入根据基准日有效保单在未来产生的保费收入进行预测，新业务期缴/趸缴保费收入的预测则是通过对年化新业务保费（ANP）增长率的预测进行。年化新业务保费（ANP）是指首年期缴保费收入加上10%的趸缴保费收入。</w:t>
      </w:r>
    </w:p>
    <w:p>
      <w:pPr>
        <w:spacing w:line="360" w:lineRule="auto"/>
        <w:ind w:firstLine="584" w:firstLineChars="200"/>
        <w:rPr>
          <w:rFonts w:ascii="Times New Roman" w:hAnsi="Times New Roman"/>
          <w:sz w:val="28"/>
          <w:szCs w:val="28"/>
        </w:rPr>
      </w:pPr>
      <w:r>
        <w:rPr>
          <w:rFonts w:ascii="Times New Roman" w:hAnsi="Times New Roman"/>
          <w:sz w:val="28"/>
          <w:szCs w:val="28"/>
        </w:rPr>
        <w:t>中国人身保险业在20x0-20x3年保费收入年均增长率为20%，20x3年保险深度为1.9%。20x0-20x3年，xx保险公司实现毛保费收入年均增长率42%，年化新业务保费（ANP）年均增长率为26%。据此，xx保险公司结合各渠道销售能力制定未来年度商业计划，预测了20x4-20</w:t>
      </w:r>
      <w:r>
        <w:rPr>
          <w:rFonts w:hint="eastAsia" w:ascii="Times New Roman" w:hAnsi="Times New Roman"/>
          <w:sz w:val="28"/>
          <w:szCs w:val="28"/>
        </w:rPr>
        <w:t>y</w:t>
      </w:r>
      <w:r>
        <w:rPr>
          <w:rFonts w:ascii="Times New Roman" w:hAnsi="Times New Roman"/>
          <w:sz w:val="28"/>
          <w:szCs w:val="28"/>
        </w:rPr>
        <w:t>4年年化新业务保费。其中，20x4年的预测包含了到了20x4年1-3月份的实际经营状况。</w:t>
      </w:r>
    </w:p>
    <w:p>
      <w:pPr>
        <w:spacing w:line="360" w:lineRule="auto"/>
        <w:jc w:val="center"/>
        <w:rPr>
          <w:rFonts w:ascii="Times New Roman" w:hAnsi="Times New Roman" w:eastAsia="黑体"/>
          <w:sz w:val="24"/>
        </w:rPr>
      </w:pPr>
      <w:r>
        <w:rPr>
          <w:rFonts w:ascii="Times New Roman" w:hAnsi="Times New Roman" w:eastAsia="黑体"/>
          <w:sz w:val="24"/>
        </w:rPr>
        <w:t>未来年度ANP分渠道预测表</w:t>
      </w:r>
    </w:p>
    <w:tbl>
      <w:tblPr>
        <w:tblStyle w:val="27"/>
        <w:tblW w:w="89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32"/>
        <w:gridCol w:w="562"/>
        <w:gridCol w:w="562"/>
        <w:gridCol w:w="562"/>
        <w:gridCol w:w="562"/>
        <w:gridCol w:w="562"/>
        <w:gridCol w:w="562"/>
        <w:gridCol w:w="562"/>
        <w:gridCol w:w="562"/>
        <w:gridCol w:w="562"/>
        <w:gridCol w:w="562"/>
        <w:gridCol w:w="562"/>
        <w:gridCol w:w="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宋体" w:eastAsia="宋体"/>
                <w:b/>
                <w:bCs/>
                <w:kern w:val="24"/>
                <w:sz w:val="18"/>
                <w:szCs w:val="18"/>
              </w:rPr>
              <w:t>营销员渠道</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20x3</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20x4</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20x5</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20x6</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20x7</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20x8</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20x9</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w:t>
            </w:r>
            <w:r>
              <w:rPr>
                <w:rFonts w:hint="eastAsia" w:ascii="Times New Roman" w:hAnsi="Times New Roman" w:eastAsia="宋体"/>
                <w:b/>
                <w:bCs/>
                <w:kern w:val="24"/>
                <w:sz w:val="18"/>
                <w:szCs w:val="18"/>
              </w:rPr>
              <w:t>y</w:t>
            </w:r>
            <w:r>
              <w:rPr>
                <w:rFonts w:ascii="Times New Roman" w:hAnsi="Times New Roman" w:eastAsia="宋体"/>
                <w:b/>
                <w:bCs/>
                <w:kern w:val="24"/>
                <w:sz w:val="18"/>
                <w:szCs w:val="18"/>
              </w:rPr>
              <w:t>0</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w:t>
            </w:r>
            <w:r>
              <w:rPr>
                <w:rFonts w:hint="eastAsia" w:ascii="Times New Roman" w:hAnsi="Times New Roman" w:eastAsia="宋体"/>
                <w:b/>
                <w:bCs/>
                <w:kern w:val="24"/>
                <w:sz w:val="18"/>
                <w:szCs w:val="18"/>
              </w:rPr>
              <w:t>y</w:t>
            </w:r>
            <w:r>
              <w:rPr>
                <w:rFonts w:ascii="Times New Roman" w:hAnsi="Times New Roman" w:eastAsia="宋体"/>
                <w:b/>
                <w:bCs/>
                <w:kern w:val="24"/>
                <w:sz w:val="18"/>
                <w:szCs w:val="18"/>
              </w:rPr>
              <w:t>1</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w:t>
            </w:r>
            <w:r>
              <w:rPr>
                <w:rFonts w:hint="eastAsia" w:ascii="Times New Roman" w:hAnsi="Times New Roman" w:eastAsia="宋体"/>
                <w:b/>
                <w:bCs/>
                <w:kern w:val="24"/>
                <w:sz w:val="18"/>
                <w:szCs w:val="18"/>
              </w:rPr>
              <w:t>y</w:t>
            </w:r>
            <w:r>
              <w:rPr>
                <w:rFonts w:ascii="Times New Roman" w:hAnsi="Times New Roman" w:eastAsia="宋体"/>
                <w:b/>
                <w:bCs/>
                <w:kern w:val="24"/>
                <w:sz w:val="18"/>
                <w:szCs w:val="18"/>
              </w:rPr>
              <w:t>2</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w:t>
            </w:r>
            <w:r>
              <w:rPr>
                <w:rFonts w:hint="eastAsia" w:ascii="Times New Roman" w:hAnsi="Times New Roman" w:eastAsia="宋体"/>
                <w:b/>
                <w:bCs/>
                <w:kern w:val="24"/>
                <w:sz w:val="18"/>
                <w:szCs w:val="18"/>
              </w:rPr>
              <w:t>y</w:t>
            </w:r>
            <w:r>
              <w:rPr>
                <w:rFonts w:ascii="Times New Roman" w:hAnsi="Times New Roman" w:eastAsia="宋体"/>
                <w:b/>
                <w:bCs/>
                <w:kern w:val="24"/>
                <w:sz w:val="18"/>
                <w:szCs w:val="18"/>
              </w:rPr>
              <w:t>3</w:t>
            </w:r>
          </w:p>
        </w:tc>
        <w:tc>
          <w:tcPr>
            <w:tcW w:w="562" w:type="dxa"/>
            <w:tcMar>
              <w:top w:w="15" w:type="dxa"/>
              <w:left w:w="15" w:type="dxa"/>
              <w:bottom w:w="0" w:type="dxa"/>
              <w:right w:w="15" w:type="dxa"/>
            </w:tcMar>
            <w:vAlign w:val="center"/>
          </w:tcPr>
          <w:p>
            <w:pPr>
              <w:widowControl/>
              <w:spacing w:line="240" w:lineRule="auto"/>
              <w:jc w:val="center"/>
              <w:textAlignment w:val="center"/>
              <w:rPr>
                <w:rFonts w:ascii="Times New Roman" w:hAnsi="Times New Roman" w:eastAsia="宋体"/>
                <w:kern w:val="0"/>
                <w:sz w:val="18"/>
                <w:szCs w:val="18"/>
              </w:rPr>
            </w:pPr>
            <w:r>
              <w:rPr>
                <w:rFonts w:ascii="Times New Roman" w:hAnsi="Times New Roman" w:eastAsia="宋体"/>
                <w:b/>
                <w:bCs/>
                <w:kern w:val="24"/>
                <w:sz w:val="18"/>
                <w:szCs w:val="18"/>
              </w:rPr>
              <w:t>20</w:t>
            </w:r>
            <w:r>
              <w:rPr>
                <w:rFonts w:hint="eastAsia" w:ascii="Times New Roman" w:hAnsi="Times New Roman" w:eastAsia="宋体"/>
                <w:b/>
                <w:bCs/>
                <w:kern w:val="24"/>
                <w:sz w:val="18"/>
                <w:szCs w:val="18"/>
              </w:rPr>
              <w:t>y</w:t>
            </w:r>
            <w:r>
              <w:rPr>
                <w:rFonts w:ascii="Times New Roman" w:hAnsi="Times New Roman" w:eastAsia="宋体"/>
                <w:b/>
                <w:bCs/>
                <w:kern w:val="24"/>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人力总数</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2,588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2,710</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2,888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3,105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3,339</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3,590</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3,826</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4,078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4,308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4,551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4,765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4,989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人力增长率</w:t>
            </w:r>
          </w:p>
        </w:tc>
        <w:tc>
          <w:tcPr>
            <w:tcW w:w="562" w:type="dxa"/>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人员活动率</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30%</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32%</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33%</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34%</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36%</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39%</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活动人力月均产能（元）</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13,555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14,187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14,958</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15,379</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15,687</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15,873</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16,072</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16,139</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16,431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16,576</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16,720</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24"/>
                <w:sz w:val="18"/>
                <w:szCs w:val="18"/>
              </w:rPr>
            </w:pPr>
            <w:r>
              <w:rPr>
                <w:rFonts w:ascii="Times New Roman" w:hAnsi="宋体" w:eastAsia="宋体"/>
                <w:kern w:val="24"/>
                <w:sz w:val="18"/>
                <w:szCs w:val="18"/>
              </w:rPr>
              <w:t>活动人力月均</w:t>
            </w:r>
          </w:p>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产能增长率</w:t>
            </w:r>
          </w:p>
        </w:tc>
        <w:tc>
          <w:tcPr>
            <w:tcW w:w="562" w:type="dxa"/>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0%</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bottom w:val="single" w:color="auto" w:sz="4" w:space="0"/>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Times New Roman" w:eastAsia="宋体"/>
                <w:kern w:val="24"/>
                <w:sz w:val="18"/>
                <w:szCs w:val="18"/>
              </w:rPr>
              <w:t>ANP</w:t>
            </w:r>
            <w:r>
              <w:rPr>
                <w:rFonts w:ascii="Times New Roman" w:hAnsi="宋体" w:eastAsia="宋体"/>
                <w:kern w:val="24"/>
                <w:sz w:val="18"/>
                <w:szCs w:val="18"/>
              </w:rPr>
              <w:t>（百万元）</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126</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143</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166</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189</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214</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239</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266</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292</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319</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344</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368</w:t>
            </w:r>
          </w:p>
        </w:tc>
        <w:tc>
          <w:tcPr>
            <w:tcW w:w="562" w:type="dxa"/>
            <w:tcBorders>
              <w:bottom w:val="single" w:color="auto" w:sz="4" w:space="0"/>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Times New Roman" w:eastAsia="宋体"/>
                <w:kern w:val="24"/>
                <w:sz w:val="18"/>
                <w:szCs w:val="18"/>
              </w:rPr>
              <w:t>390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single" w:color="auto" w:sz="4" w:space="0"/>
              <w:bottom w:val="nil"/>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宋体" w:eastAsia="宋体"/>
                <w:b/>
                <w:bCs/>
                <w:kern w:val="24"/>
                <w:sz w:val="18"/>
                <w:szCs w:val="18"/>
              </w:rPr>
              <w:t>银保渠道</w:t>
            </w: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活动银行月均网点数量</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115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124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132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142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164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175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186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197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208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217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活动网点数增长率</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rPr>
                <w:rFonts w:ascii="Times New Roman" w:hAnsi="Times New Roman" w:eastAsia="宋体"/>
                <w:kern w:val="0"/>
                <w:sz w:val="18"/>
                <w:szCs w:val="18"/>
              </w:rPr>
            </w:pP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活动网点月均产能（千元）</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263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302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329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344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361</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376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392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404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417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427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436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网均产能增长率</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rPr>
                <w:rFonts w:ascii="Times New Roman" w:hAnsi="Times New Roman" w:eastAsia="宋体"/>
                <w:kern w:val="0"/>
                <w:sz w:val="18"/>
                <w:szCs w:val="18"/>
              </w:rPr>
            </w:pP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single" w:color="auto" w:sz="4" w:space="0"/>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Times New Roman" w:eastAsia="宋体"/>
                <w:kern w:val="24"/>
                <w:sz w:val="18"/>
                <w:szCs w:val="18"/>
              </w:rPr>
              <w:t>ANP</w:t>
            </w:r>
            <w:r>
              <w:rPr>
                <w:rFonts w:ascii="Times New Roman" w:hAnsi="宋体" w:eastAsia="宋体"/>
                <w:kern w:val="24"/>
                <w:sz w:val="18"/>
                <w:szCs w:val="18"/>
              </w:rPr>
              <w:t>（百万元）</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384</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449</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520</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585</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660</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740</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821</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903</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985</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1,063</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1,138</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1,206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2232" w:type="dxa"/>
            <w:tcBorders>
              <w:top w:val="single" w:color="auto" w:sz="4" w:space="0"/>
              <w:bottom w:val="nil"/>
            </w:tcBorders>
            <w:tcMar>
              <w:top w:w="15" w:type="dxa"/>
              <w:left w:w="15" w:type="dxa"/>
              <w:bottom w:w="0" w:type="dxa"/>
              <w:right w:w="15" w:type="dxa"/>
            </w:tcMar>
            <w:vAlign w:val="center"/>
          </w:tcPr>
          <w:p>
            <w:pPr>
              <w:widowControl/>
              <w:spacing w:line="240" w:lineRule="auto"/>
              <w:jc w:val="center"/>
              <w:textAlignment w:val="bottom"/>
              <w:rPr>
                <w:rFonts w:ascii="Times New Roman" w:hAnsi="Times New Roman" w:eastAsia="宋体"/>
                <w:kern w:val="0"/>
                <w:sz w:val="18"/>
                <w:szCs w:val="18"/>
              </w:rPr>
            </w:pPr>
            <w:r>
              <w:rPr>
                <w:rFonts w:ascii="Times New Roman" w:hAnsi="宋体" w:eastAsia="宋体"/>
                <w:b/>
                <w:bCs/>
                <w:kern w:val="24"/>
                <w:sz w:val="18"/>
                <w:szCs w:val="18"/>
              </w:rPr>
              <w:t>经代渠道</w:t>
            </w: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c>
          <w:tcPr>
            <w:tcW w:w="562" w:type="dxa"/>
            <w:tcBorders>
              <w:top w:val="single" w:color="auto" w:sz="4" w:space="0"/>
              <w:bottom w:val="nil"/>
            </w:tcBorders>
            <w:tcMar>
              <w:top w:w="15" w:type="dxa"/>
              <w:left w:w="15" w:type="dxa"/>
              <w:bottom w:w="0" w:type="dxa"/>
              <w:right w:w="15" w:type="dxa"/>
            </w:tcMar>
            <w:vAlign w:val="center"/>
          </w:tcPr>
          <w:p>
            <w:pPr>
              <w:widowControl/>
              <w:spacing w:line="240" w:lineRule="auto"/>
              <w:jc w:val="center"/>
              <w:rPr>
                <w:rFonts w:ascii="Times New Roman" w:hAnsi="Times New Roman" w:eastAsia="宋体"/>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活动经代公司数量</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24"/>
                <w:sz w:val="18"/>
                <w:szCs w:val="18"/>
              </w:rPr>
            </w:pPr>
            <w:r>
              <w:rPr>
                <w:rFonts w:ascii="Times New Roman" w:hAnsi="宋体" w:eastAsia="宋体"/>
                <w:kern w:val="24"/>
                <w:sz w:val="18"/>
                <w:szCs w:val="18"/>
              </w:rPr>
              <w:t>活动经代公司</w:t>
            </w:r>
          </w:p>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数增长率</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rPr>
                <w:rFonts w:ascii="Times New Roman" w:hAnsi="Times New Roman" w:eastAsia="宋体"/>
                <w:kern w:val="0"/>
                <w:sz w:val="18"/>
                <w:szCs w:val="18"/>
              </w:rPr>
            </w:pP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11%</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活动经月均产能（千元）</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113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117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134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139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144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148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宋体" w:eastAsia="宋体"/>
                <w:kern w:val="24"/>
                <w:sz w:val="18"/>
                <w:szCs w:val="18"/>
              </w:rPr>
              <w:t>活动经代公司产能增长率</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rPr>
                <w:rFonts w:ascii="Times New Roman" w:hAnsi="Times New Roman" w:eastAsia="宋体"/>
                <w:kern w:val="0"/>
                <w:sz w:val="18"/>
                <w:szCs w:val="18"/>
              </w:rPr>
            </w:pP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10%</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2%</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2232" w:type="dxa"/>
            <w:tcBorders>
              <w:top w:val="nil"/>
              <w:bottom w:val="nil"/>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Times New Roman" w:eastAsia="宋体"/>
                <w:kern w:val="24"/>
                <w:sz w:val="18"/>
                <w:szCs w:val="18"/>
              </w:rPr>
              <w:t>ANP</w:t>
            </w:r>
            <w:r>
              <w:rPr>
                <w:rFonts w:ascii="Times New Roman" w:hAnsi="宋体" w:eastAsia="宋体"/>
                <w:kern w:val="24"/>
                <w:sz w:val="18"/>
                <w:szCs w:val="18"/>
              </w:rPr>
              <w:t>（百万元）</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44</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59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68</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86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97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109</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121</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133</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145</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156</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167</w:t>
            </w:r>
          </w:p>
        </w:tc>
        <w:tc>
          <w:tcPr>
            <w:tcW w:w="562" w:type="dxa"/>
            <w:tcBorders>
              <w:top w:val="nil"/>
              <w:bottom w:val="nil"/>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kern w:val="24"/>
                <w:sz w:val="18"/>
                <w:szCs w:val="18"/>
              </w:rPr>
              <w:t>177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97" w:hRule="atLeast"/>
        </w:trPr>
        <w:tc>
          <w:tcPr>
            <w:tcW w:w="2232" w:type="dxa"/>
            <w:tcBorders>
              <w:top w:val="nil"/>
              <w:bottom w:val="single" w:color="auto" w:sz="4" w:space="0"/>
            </w:tcBorders>
            <w:tcMar>
              <w:top w:w="15" w:type="dxa"/>
              <w:left w:w="15" w:type="dxa"/>
              <w:bottom w:w="0" w:type="dxa"/>
              <w:right w:w="15" w:type="dxa"/>
            </w:tcMar>
            <w:vAlign w:val="center"/>
          </w:tcPr>
          <w:p>
            <w:pPr>
              <w:widowControl/>
              <w:spacing w:line="240" w:lineRule="auto"/>
              <w:jc w:val="left"/>
              <w:textAlignment w:val="bottom"/>
              <w:rPr>
                <w:rFonts w:ascii="Times New Roman" w:hAnsi="Times New Roman" w:eastAsia="宋体"/>
                <w:kern w:val="0"/>
                <w:sz w:val="18"/>
                <w:szCs w:val="18"/>
              </w:rPr>
            </w:pPr>
            <w:r>
              <w:rPr>
                <w:rFonts w:ascii="Times New Roman" w:hAnsi="Times New Roman" w:eastAsia="宋体"/>
                <w:b/>
                <w:bCs/>
                <w:kern w:val="24"/>
                <w:sz w:val="18"/>
                <w:szCs w:val="18"/>
              </w:rPr>
              <w:t>ANP</w:t>
            </w:r>
            <w:r>
              <w:rPr>
                <w:rFonts w:ascii="Times New Roman" w:hAnsi="宋体" w:eastAsia="宋体"/>
                <w:b/>
                <w:bCs/>
                <w:kern w:val="24"/>
                <w:sz w:val="18"/>
                <w:szCs w:val="18"/>
              </w:rPr>
              <w:t>合计</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554</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650</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754</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860</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971</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1,088</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1,208</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1,328</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1,448</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1,564</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1,673</w:t>
            </w:r>
          </w:p>
        </w:tc>
        <w:tc>
          <w:tcPr>
            <w:tcW w:w="562" w:type="dxa"/>
            <w:tcBorders>
              <w:top w:val="nil"/>
              <w:bottom w:val="single" w:color="auto" w:sz="4" w:space="0"/>
            </w:tcBorders>
            <w:tcMar>
              <w:top w:w="15" w:type="dxa"/>
              <w:left w:w="15" w:type="dxa"/>
              <w:bottom w:w="0" w:type="dxa"/>
              <w:right w:w="15" w:type="dxa"/>
            </w:tcMar>
            <w:vAlign w:val="center"/>
          </w:tcPr>
          <w:p>
            <w:pPr>
              <w:widowControl/>
              <w:spacing w:line="240" w:lineRule="auto"/>
              <w:jc w:val="right"/>
              <w:textAlignment w:val="bottom"/>
              <w:rPr>
                <w:rFonts w:ascii="Times New Roman" w:hAnsi="Times New Roman" w:eastAsia="宋体"/>
                <w:kern w:val="0"/>
                <w:sz w:val="18"/>
                <w:szCs w:val="18"/>
              </w:rPr>
            </w:pPr>
            <w:r>
              <w:rPr>
                <w:rFonts w:ascii="Times New Roman" w:hAnsi="Times New Roman" w:eastAsia="宋体"/>
                <w:b/>
                <w:bCs/>
                <w:kern w:val="24"/>
                <w:sz w:val="18"/>
                <w:szCs w:val="18"/>
              </w:rPr>
              <w:t>1,773</w:t>
            </w:r>
          </w:p>
        </w:tc>
      </w:tr>
    </w:tbl>
    <w:p>
      <w:pPr>
        <w:spacing w:line="360" w:lineRule="auto"/>
        <w:ind w:firstLine="584" w:firstLineChars="200"/>
        <w:rPr>
          <w:rFonts w:ascii="Times New Roman" w:hAnsi="Times New Roman"/>
          <w:sz w:val="28"/>
          <w:szCs w:val="28"/>
        </w:rPr>
      </w:pPr>
    </w:p>
    <w:p>
      <w:pPr>
        <w:spacing w:line="360" w:lineRule="auto"/>
        <w:ind w:firstLine="584" w:firstLineChars="200"/>
        <w:rPr>
          <w:rFonts w:ascii="Times New Roman" w:hAnsi="Times New Roman"/>
          <w:sz w:val="28"/>
        </w:rPr>
      </w:pPr>
      <w:r>
        <w:rPr>
          <w:rFonts w:ascii="Times New Roman" w:hAnsi="Times New Roman"/>
          <w:sz w:val="28"/>
          <w:szCs w:val="28"/>
        </w:rPr>
        <w:t>参考xx保险公司在过去10多年平均增长速度远高于行业平均水平的经验，精算师对其商业计划进行了复核，认为其预计增长率水平可行、有效。</w:t>
      </w:r>
      <w:r>
        <w:rPr>
          <w:rFonts w:ascii="Times New Roman" w:hAnsi="Times New Roman"/>
          <w:sz w:val="28"/>
        </w:rPr>
        <w:t>保险业务收入的预测详见保费收入预测表。</w:t>
      </w:r>
    </w:p>
    <w:p>
      <w:pPr>
        <w:spacing w:line="360" w:lineRule="auto"/>
        <w:jc w:val="center"/>
        <w:rPr>
          <w:rFonts w:ascii="Times New Roman" w:hAnsi="Times New Roman" w:eastAsia="黑体"/>
          <w:sz w:val="24"/>
        </w:rPr>
      </w:pPr>
      <w:r>
        <w:rPr>
          <w:rFonts w:ascii="Times New Roman" w:hAnsi="Times New Roman" w:eastAsia="黑体"/>
          <w:sz w:val="24"/>
        </w:rPr>
        <w:t>xx保险公司20x4-20</w:t>
      </w:r>
      <w:r>
        <w:rPr>
          <w:rFonts w:hint="eastAsia" w:ascii="Times New Roman" w:hAnsi="Times New Roman" w:eastAsia="黑体"/>
          <w:sz w:val="24"/>
        </w:rPr>
        <w:t>y</w:t>
      </w:r>
      <w:r>
        <w:rPr>
          <w:rFonts w:ascii="Times New Roman" w:hAnsi="Times New Roman" w:eastAsia="黑体"/>
          <w:sz w:val="24"/>
        </w:rPr>
        <w:t>4年年化新业务保费增长率</w:t>
      </w:r>
    </w:p>
    <w:tbl>
      <w:tblPr>
        <w:tblStyle w:val="27"/>
        <w:tblW w:w="9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708"/>
        <w:gridCol w:w="708"/>
        <w:gridCol w:w="708"/>
        <w:gridCol w:w="708"/>
        <w:gridCol w:w="708"/>
        <w:gridCol w:w="708"/>
        <w:gridCol w:w="707"/>
        <w:gridCol w:w="707"/>
        <w:gridCol w:w="707"/>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79"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年份</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4</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5</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6</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7</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8</w:t>
            </w:r>
          </w:p>
        </w:tc>
        <w:tc>
          <w:tcPr>
            <w:tcW w:w="708"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x</w:t>
            </w:r>
            <w:r>
              <w:rPr>
                <w:rFonts w:ascii="Times New Roman" w:hAnsi="Times New Roman"/>
                <w:b/>
                <w:kern w:val="0"/>
                <w:sz w:val="18"/>
                <w:szCs w:val="18"/>
              </w:rPr>
              <w:t>9</w:t>
            </w:r>
          </w:p>
        </w:tc>
        <w:tc>
          <w:tcPr>
            <w:tcW w:w="707"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y</w:t>
            </w:r>
            <w:r>
              <w:rPr>
                <w:rFonts w:ascii="Times New Roman" w:hAnsi="Times New Roman"/>
                <w:b/>
                <w:kern w:val="0"/>
                <w:sz w:val="18"/>
                <w:szCs w:val="18"/>
              </w:rPr>
              <w:t>0</w:t>
            </w:r>
          </w:p>
        </w:tc>
        <w:tc>
          <w:tcPr>
            <w:tcW w:w="707"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y</w:t>
            </w:r>
            <w:r>
              <w:rPr>
                <w:rFonts w:ascii="Times New Roman" w:hAnsi="Times New Roman"/>
                <w:b/>
                <w:kern w:val="0"/>
                <w:sz w:val="18"/>
                <w:szCs w:val="18"/>
              </w:rPr>
              <w:t>1</w:t>
            </w:r>
          </w:p>
        </w:tc>
        <w:tc>
          <w:tcPr>
            <w:tcW w:w="707"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y</w:t>
            </w:r>
            <w:r>
              <w:rPr>
                <w:rFonts w:ascii="Times New Roman" w:hAnsi="Times New Roman"/>
                <w:b/>
                <w:kern w:val="0"/>
                <w:sz w:val="18"/>
                <w:szCs w:val="18"/>
              </w:rPr>
              <w:t>2</w:t>
            </w:r>
          </w:p>
        </w:tc>
        <w:tc>
          <w:tcPr>
            <w:tcW w:w="707"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y</w:t>
            </w:r>
            <w:r>
              <w:rPr>
                <w:rFonts w:ascii="Times New Roman" w:hAnsi="Times New Roman"/>
                <w:b/>
                <w:kern w:val="0"/>
                <w:sz w:val="18"/>
                <w:szCs w:val="18"/>
              </w:rPr>
              <w:t>3</w:t>
            </w:r>
          </w:p>
        </w:tc>
        <w:tc>
          <w:tcPr>
            <w:tcW w:w="707" w:type="dxa"/>
            <w:vAlign w:val="center"/>
          </w:tcPr>
          <w:p>
            <w:pPr>
              <w:widowControl/>
              <w:spacing w:line="240" w:lineRule="auto"/>
              <w:jc w:val="center"/>
              <w:rPr>
                <w:rFonts w:ascii="Times New Roman" w:hAnsi="Times New Roman"/>
                <w:b/>
                <w:kern w:val="0"/>
                <w:sz w:val="18"/>
                <w:szCs w:val="18"/>
              </w:rPr>
            </w:pPr>
            <w:r>
              <w:rPr>
                <w:rFonts w:ascii="Times New Roman" w:hAnsi="Times New Roman"/>
                <w:b/>
                <w:kern w:val="0"/>
                <w:sz w:val="18"/>
                <w:szCs w:val="18"/>
              </w:rPr>
              <w:t>20</w:t>
            </w:r>
            <w:r>
              <w:rPr>
                <w:rFonts w:hint="eastAsia" w:ascii="Times New Roman" w:hAnsi="Times New Roman"/>
                <w:b/>
                <w:kern w:val="0"/>
                <w:sz w:val="18"/>
                <w:szCs w:val="18"/>
              </w:rPr>
              <w:t>y</w:t>
            </w:r>
            <w:r>
              <w:rPr>
                <w:rFonts w:ascii="Times New Roman" w:hAnsi="Times New Roman"/>
                <w:b/>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79"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ANP增长率</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17%</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16%</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14%</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13%</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12%</w:t>
            </w:r>
          </w:p>
        </w:tc>
        <w:tc>
          <w:tcPr>
            <w:tcW w:w="708"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11%</w:t>
            </w:r>
          </w:p>
        </w:tc>
        <w:tc>
          <w:tcPr>
            <w:tcW w:w="707"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10%</w:t>
            </w:r>
          </w:p>
        </w:tc>
        <w:tc>
          <w:tcPr>
            <w:tcW w:w="707"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9%</w:t>
            </w:r>
          </w:p>
        </w:tc>
        <w:tc>
          <w:tcPr>
            <w:tcW w:w="707"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8%</w:t>
            </w:r>
          </w:p>
        </w:tc>
        <w:tc>
          <w:tcPr>
            <w:tcW w:w="707"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7%</w:t>
            </w:r>
          </w:p>
        </w:tc>
        <w:tc>
          <w:tcPr>
            <w:tcW w:w="707" w:type="dxa"/>
            <w:vAlign w:val="center"/>
          </w:tcPr>
          <w:p>
            <w:pPr>
              <w:widowControl/>
              <w:spacing w:line="240" w:lineRule="auto"/>
              <w:jc w:val="center"/>
              <w:rPr>
                <w:rFonts w:ascii="Times New Roman" w:hAnsi="Times New Roman"/>
                <w:kern w:val="0"/>
                <w:sz w:val="18"/>
                <w:szCs w:val="18"/>
              </w:rPr>
            </w:pPr>
            <w:r>
              <w:rPr>
                <w:rFonts w:ascii="Times New Roman" w:hAnsi="Times New Roman"/>
                <w:kern w:val="0"/>
                <w:sz w:val="18"/>
                <w:szCs w:val="18"/>
              </w:rPr>
              <w:t>6%</w:t>
            </w:r>
          </w:p>
        </w:tc>
      </w:tr>
    </w:tbl>
    <w:p>
      <w:pPr>
        <w:spacing w:line="360" w:lineRule="auto"/>
        <w:ind w:firstLine="584" w:firstLineChars="200"/>
        <w:rPr>
          <w:rFonts w:ascii="Times New Roman" w:hAnsi="Times New Roman"/>
          <w:sz w:val="28"/>
          <w:szCs w:val="28"/>
          <w:lang w:val="zh-CN"/>
        </w:rPr>
      </w:pPr>
    </w:p>
    <w:p>
      <w:pPr>
        <w:spacing w:line="360" w:lineRule="auto"/>
        <w:ind w:firstLine="584" w:firstLineChars="200"/>
        <w:rPr>
          <w:rFonts w:ascii="Times New Roman" w:hAnsi="Times New Roman"/>
          <w:sz w:val="28"/>
        </w:rPr>
      </w:pPr>
      <w:r>
        <w:rPr>
          <w:rFonts w:ascii="Times New Roman" w:hAnsi="Times New Roman"/>
          <w:sz w:val="28"/>
          <w:szCs w:val="28"/>
          <w:lang w:val="zh-CN"/>
        </w:rPr>
        <w:t>本次评估以</w:t>
      </w:r>
      <w:r>
        <w:rPr>
          <w:rFonts w:ascii="Times New Roman" w:hAnsi="Times New Roman"/>
          <w:sz w:val="28"/>
        </w:rPr>
        <w:t>目前所经营的业务类别为基础，参照</w:t>
      </w:r>
      <w:r>
        <w:rPr>
          <w:rFonts w:ascii="Times New Roman" w:hAnsi="Times New Roman"/>
          <w:sz w:val="28"/>
          <w:szCs w:val="28"/>
        </w:rPr>
        <w:t>xx保险公司</w:t>
      </w:r>
      <w:r>
        <w:rPr>
          <w:rFonts w:ascii="Times New Roman" w:hAnsi="Times New Roman"/>
          <w:sz w:val="28"/>
        </w:rPr>
        <w:t>未来年度商业计划，在20x3年的基础上，考虑国民经济的整体发展和保险深度的加强，对不同产品的保险业务收入进行预测。</w:t>
      </w:r>
    </w:p>
    <w:p>
      <w:pPr>
        <w:spacing w:line="360" w:lineRule="auto"/>
        <w:ind w:firstLine="584" w:firstLineChars="200"/>
        <w:rPr>
          <w:rFonts w:ascii="Times New Roman" w:hAnsi="Times New Roman"/>
          <w:sz w:val="28"/>
        </w:rPr>
      </w:pPr>
      <w:r>
        <w:rPr>
          <w:rFonts w:hint="eastAsia" w:ascii="Times New Roman" w:hAnsi="Times New Roman"/>
          <w:sz w:val="28"/>
        </w:rPr>
        <w:t>2、</w:t>
      </w:r>
      <w:r>
        <w:rPr>
          <w:rFonts w:ascii="Times New Roman" w:hAnsi="Times New Roman"/>
          <w:sz w:val="28"/>
        </w:rPr>
        <w:t>分出保费与未到期责任准备金</w:t>
      </w:r>
    </w:p>
    <w:p>
      <w:pPr>
        <w:spacing w:line="360" w:lineRule="auto"/>
        <w:ind w:firstLine="584" w:firstLineChars="200"/>
        <w:rPr>
          <w:rFonts w:ascii="Times New Roman" w:hAnsi="Times New Roman"/>
          <w:sz w:val="28"/>
        </w:rPr>
      </w:pPr>
      <w:r>
        <w:rPr>
          <w:rFonts w:ascii="Times New Roman" w:hAnsi="Times New Roman"/>
          <w:sz w:val="28"/>
        </w:rPr>
        <w:t>分出保费是保险公司为了控制风险、提高偿付能力充足率，将部分风险向再保险公司分出（也叫再保险），由此产生了分出保费。</w:t>
      </w:r>
      <w:r>
        <w:rPr>
          <w:rFonts w:ascii="Times New Roman" w:hAnsi="Times New Roman"/>
          <w:sz w:val="28"/>
          <w:szCs w:val="28"/>
        </w:rPr>
        <w:t>xx保险公司</w:t>
      </w:r>
      <w:r>
        <w:rPr>
          <w:rFonts w:ascii="Times New Roman" w:hAnsi="Times New Roman"/>
          <w:sz w:val="28"/>
        </w:rPr>
        <w:t>存在8个有效财务再保险合同。</w:t>
      </w:r>
      <w:r>
        <w:rPr>
          <w:rFonts w:ascii="Times New Roman" w:hAnsi="Times New Roman"/>
          <w:sz w:val="28"/>
          <w:szCs w:val="28"/>
        </w:rPr>
        <w:t>xx保险公司</w:t>
      </w:r>
      <w:r>
        <w:rPr>
          <w:rFonts w:ascii="Times New Roman" w:hAnsi="Times New Roman"/>
          <w:sz w:val="28"/>
        </w:rPr>
        <w:t>目前的主要保费分出方为xx再保险公司、xx再保险公司及xx再保险公司。20x2年分出保费较20x1年减少或5.78%，主要原因为：20x1年为收取再保佣金，减少亏损，提高偿付能力，导致分出保费规模较大。20x2年业务规模增长很大，分出保费规模下降。20x3年</w:t>
      </w:r>
      <w:r>
        <w:rPr>
          <w:rFonts w:hint="eastAsia" w:ascii="Times New Roman" w:hAnsi="Times New Roman"/>
          <w:sz w:val="28"/>
        </w:rPr>
        <w:t>xx</w:t>
      </w:r>
      <w:r>
        <w:rPr>
          <w:rFonts w:ascii="Times New Roman" w:hAnsi="Times New Roman"/>
          <w:sz w:val="28"/>
        </w:rPr>
        <w:t>保险</w:t>
      </w:r>
      <w:r>
        <w:rPr>
          <w:rFonts w:hint="eastAsia" w:ascii="Times New Roman" w:hAnsi="Times New Roman"/>
          <w:sz w:val="28"/>
        </w:rPr>
        <w:t>公司</w:t>
      </w:r>
      <w:r>
        <w:rPr>
          <w:rFonts w:ascii="Times New Roman" w:hAnsi="Times New Roman"/>
          <w:sz w:val="28"/>
        </w:rPr>
        <w:t>分出保费的金额为93,214.63万元，较20x2年增长8%。本次评估在</w:t>
      </w:r>
      <w:r>
        <w:rPr>
          <w:rFonts w:ascii="Times New Roman" w:hAnsi="Times New Roman"/>
          <w:sz w:val="28"/>
          <w:szCs w:val="28"/>
        </w:rPr>
        <w:t>xx保险公司</w:t>
      </w:r>
      <w:r>
        <w:rPr>
          <w:rFonts w:ascii="Times New Roman" w:hAnsi="Times New Roman"/>
          <w:sz w:val="28"/>
        </w:rPr>
        <w:t>商业计划的基础上对未来年度分出保费进行预测，</w:t>
      </w:r>
      <w:r>
        <w:rPr>
          <w:rFonts w:hint="eastAsia" w:ascii="Times New Roman" w:hAnsi="Times New Roman"/>
          <w:sz w:val="28"/>
        </w:rPr>
        <w:t>xx保险公司</w:t>
      </w:r>
      <w:r>
        <w:rPr>
          <w:rFonts w:ascii="Times New Roman" w:hAnsi="Times New Roman"/>
          <w:sz w:val="28"/>
        </w:rPr>
        <w:t>在估计再保险影响时，仅考虑目前已生效的再保险合同，未来不增加再保险合同。分出保费的预测详见保费收入预测表。</w:t>
      </w:r>
    </w:p>
    <w:p>
      <w:pPr>
        <w:spacing w:line="360" w:lineRule="auto"/>
        <w:ind w:firstLine="584" w:firstLineChars="200"/>
        <w:rPr>
          <w:rFonts w:ascii="Times New Roman" w:hAnsi="Times New Roman"/>
          <w:sz w:val="28"/>
        </w:rPr>
      </w:pPr>
      <w:r>
        <w:rPr>
          <w:rFonts w:ascii="Times New Roman" w:hAnsi="Times New Roman"/>
          <w:sz w:val="28"/>
        </w:rPr>
        <w:t>未到期责任准备金指公司一年以内的财产险、意外伤害险、健康险业务按规定从本期保险责任尚未到期，应属于下一年度的部分保险费中提取出来形成的准备金。20x2年提取未到期责任准备金为34万，较20x1年下降85.87%。主要原因是：未到期责任准备金针对的是短期险，20x1年短期保险有较大增长，20x2年该类业务量变动不大，引起准备金变动较小。按照我国保险精算规定：会计年度末未到期责任准备金按照本会计年度自留毛保费的50%提取。本次评估对未到期责任准备金的预测按照保险精算规定进行提取。未到期责任准备金的预测详见保费收入预测表。</w:t>
      </w:r>
    </w:p>
    <w:p>
      <w:pPr>
        <w:spacing w:line="360" w:lineRule="auto"/>
        <w:ind w:firstLine="584" w:firstLineChars="200"/>
        <w:rPr>
          <w:rFonts w:ascii="Times New Roman" w:hAnsi="Times New Roman"/>
          <w:sz w:val="28"/>
        </w:rPr>
      </w:pPr>
      <w:r>
        <w:rPr>
          <w:rFonts w:hint="eastAsia" w:ascii="Times New Roman" w:hAnsi="Times New Roman"/>
          <w:sz w:val="28"/>
        </w:rPr>
        <w:t>3、</w:t>
      </w:r>
      <w:r>
        <w:rPr>
          <w:rFonts w:ascii="Times New Roman" w:hAnsi="Times New Roman"/>
          <w:sz w:val="28"/>
        </w:rPr>
        <w:t>已赚保费</w:t>
      </w:r>
    </w:p>
    <w:p>
      <w:pPr>
        <w:spacing w:line="360" w:lineRule="auto"/>
        <w:ind w:firstLine="584" w:firstLineChars="200"/>
        <w:rPr>
          <w:rFonts w:ascii="Times New Roman" w:hAnsi="Times New Roman"/>
          <w:sz w:val="28"/>
        </w:rPr>
      </w:pPr>
      <w:r>
        <w:rPr>
          <w:rFonts w:ascii="Times New Roman" w:hAnsi="Times New Roman"/>
          <w:sz w:val="28"/>
        </w:rPr>
        <w:t>当年的保费收入扣除分出保费和提取未到期责任准备金之后，得到公司当年的已赚保费。详见下表：</w:t>
      </w:r>
    </w:p>
    <w:p>
      <w:pPr>
        <w:spacing w:line="360" w:lineRule="auto"/>
        <w:ind w:firstLine="504" w:firstLineChars="200"/>
        <w:jc w:val="center"/>
        <w:rPr>
          <w:rFonts w:ascii="Times New Roman" w:hAnsi="Times New Roman" w:eastAsia="黑体"/>
          <w:sz w:val="24"/>
        </w:rPr>
      </w:pPr>
      <w:r>
        <w:rPr>
          <w:rFonts w:ascii="Times New Roman" w:hAnsi="Times New Roman" w:eastAsia="黑体"/>
          <w:sz w:val="24"/>
        </w:rPr>
        <w:t>20x4年-20</w:t>
      </w:r>
      <w:r>
        <w:rPr>
          <w:rFonts w:hint="eastAsia" w:ascii="Times New Roman" w:hAnsi="Times New Roman" w:eastAsia="黑体"/>
          <w:sz w:val="24"/>
        </w:rPr>
        <w:t>y4</w:t>
      </w:r>
      <w:r>
        <w:rPr>
          <w:rFonts w:ascii="Times New Roman" w:hAnsi="Times New Roman" w:eastAsia="黑体"/>
          <w:sz w:val="24"/>
        </w:rPr>
        <w:t>年保费收入及已赚保费预测表</w:t>
      </w:r>
    </w:p>
    <w:p>
      <w:pPr>
        <w:spacing w:line="360" w:lineRule="auto"/>
        <w:ind w:firstLine="444" w:firstLineChars="200"/>
        <w:jc w:val="right"/>
        <w:rPr>
          <w:rFonts w:hint="eastAsia" w:ascii="仿宋_GB2312" w:hAnsi="Times New Roman"/>
          <w:sz w:val="21"/>
          <w:szCs w:val="21"/>
        </w:rPr>
      </w:pPr>
      <w:r>
        <w:rPr>
          <w:rFonts w:hint="eastAsia" w:ascii="仿宋_GB2312" w:hAnsi="Times New Roman"/>
          <w:sz w:val="21"/>
          <w:szCs w:val="21"/>
        </w:rPr>
        <w:t>金额单位：人民币亿元</w:t>
      </w:r>
    </w:p>
    <w:tbl>
      <w:tblPr>
        <w:tblStyle w:val="27"/>
        <w:tblW w:w="916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60"/>
        <w:gridCol w:w="657"/>
        <w:gridCol w:w="657"/>
        <w:gridCol w:w="655"/>
        <w:gridCol w:w="655"/>
        <w:gridCol w:w="654"/>
        <w:gridCol w:w="654"/>
        <w:gridCol w:w="654"/>
        <w:gridCol w:w="654"/>
        <w:gridCol w:w="654"/>
        <w:gridCol w:w="654"/>
        <w:gridCol w:w="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60" w:type="dxa"/>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年份</w:t>
            </w:r>
          </w:p>
        </w:tc>
        <w:tc>
          <w:tcPr>
            <w:tcW w:w="65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20x4</w:t>
            </w:r>
          </w:p>
        </w:tc>
        <w:tc>
          <w:tcPr>
            <w:tcW w:w="65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20x5</w:t>
            </w:r>
          </w:p>
        </w:tc>
        <w:tc>
          <w:tcPr>
            <w:tcW w:w="655"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20x6</w:t>
            </w:r>
          </w:p>
        </w:tc>
        <w:tc>
          <w:tcPr>
            <w:tcW w:w="655"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20x7</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20x8</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20x9</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w:t>
            </w:r>
            <w:r>
              <w:rPr>
                <w:rFonts w:hint="eastAsia" w:ascii="Times New Roman" w:hAnsi="Times New Roman" w:eastAsia="宋体"/>
                <w:b/>
                <w:kern w:val="0"/>
                <w:sz w:val="18"/>
                <w:szCs w:val="18"/>
              </w:rPr>
              <w:t>y</w:t>
            </w:r>
            <w:r>
              <w:rPr>
                <w:rFonts w:ascii="Times New Roman" w:hAnsi="Times New Roman" w:eastAsia="宋体"/>
                <w:b/>
                <w:kern w:val="0"/>
                <w:sz w:val="18"/>
                <w:szCs w:val="18"/>
              </w:rPr>
              <w:t>0</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w:t>
            </w:r>
            <w:r>
              <w:rPr>
                <w:rFonts w:hint="eastAsia" w:ascii="Times New Roman" w:hAnsi="Times New Roman" w:eastAsia="宋体"/>
                <w:b/>
                <w:kern w:val="0"/>
                <w:sz w:val="18"/>
                <w:szCs w:val="18"/>
              </w:rPr>
              <w:t>y</w:t>
            </w:r>
            <w:r>
              <w:rPr>
                <w:rFonts w:ascii="Times New Roman" w:hAnsi="Times New Roman" w:eastAsia="宋体"/>
                <w:b/>
                <w:kern w:val="0"/>
                <w:sz w:val="18"/>
                <w:szCs w:val="18"/>
              </w:rPr>
              <w:t>1</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w:t>
            </w:r>
            <w:r>
              <w:rPr>
                <w:rFonts w:hint="eastAsia" w:ascii="Times New Roman" w:hAnsi="Times New Roman" w:eastAsia="宋体"/>
                <w:b/>
                <w:kern w:val="0"/>
                <w:sz w:val="18"/>
                <w:szCs w:val="18"/>
              </w:rPr>
              <w:t>y</w:t>
            </w:r>
            <w:r>
              <w:rPr>
                <w:rFonts w:ascii="Times New Roman" w:hAnsi="Times New Roman" w:eastAsia="宋体"/>
                <w:b/>
                <w:kern w:val="0"/>
                <w:sz w:val="18"/>
                <w:szCs w:val="18"/>
              </w:rPr>
              <w:t>2</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w:t>
            </w:r>
            <w:r>
              <w:rPr>
                <w:rFonts w:hint="eastAsia" w:ascii="Times New Roman" w:hAnsi="Times New Roman" w:eastAsia="宋体"/>
                <w:b/>
                <w:kern w:val="0"/>
                <w:sz w:val="18"/>
                <w:szCs w:val="18"/>
              </w:rPr>
              <w:t>y</w:t>
            </w:r>
            <w:r>
              <w:rPr>
                <w:rFonts w:ascii="Times New Roman" w:hAnsi="Times New Roman" w:eastAsia="宋体"/>
                <w:b/>
                <w:kern w:val="0"/>
                <w:sz w:val="18"/>
                <w:szCs w:val="18"/>
              </w:rPr>
              <w:t>3</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w:t>
            </w:r>
            <w:r>
              <w:rPr>
                <w:rFonts w:hint="eastAsia" w:ascii="Times New Roman" w:hAnsi="Times New Roman" w:eastAsia="宋体"/>
                <w:b/>
                <w:kern w:val="0"/>
                <w:sz w:val="18"/>
                <w:szCs w:val="18"/>
              </w:rPr>
              <w:t>y</w:t>
            </w:r>
            <w:r>
              <w:rPr>
                <w:rFonts w:ascii="Times New Roman" w:hAnsi="Times New Roman" w:eastAsia="宋体"/>
                <w:b/>
                <w:kern w:val="0"/>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60" w:type="dxa"/>
            <w:vAlign w:val="center"/>
          </w:tcPr>
          <w:p>
            <w:pPr>
              <w:widowControl/>
              <w:spacing w:line="240" w:lineRule="auto"/>
              <w:jc w:val="left"/>
              <w:rPr>
                <w:rFonts w:ascii="Times New Roman" w:hAnsi="Times New Roman" w:eastAsia="宋体"/>
                <w:b/>
                <w:kern w:val="0"/>
                <w:sz w:val="18"/>
                <w:szCs w:val="18"/>
              </w:rPr>
            </w:pPr>
            <w:r>
              <w:rPr>
                <w:rFonts w:ascii="Times New Roman" w:hAnsi="宋体" w:eastAsia="宋体"/>
                <w:b/>
                <w:kern w:val="0"/>
                <w:sz w:val="18"/>
                <w:szCs w:val="18"/>
              </w:rPr>
              <w:t>保险业务收入</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21.61</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24.67</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29.20</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34.26</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39.78</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45.21</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50.67</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56.32</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61.68</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67.48</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73.29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60" w:type="dxa"/>
            <w:vAlign w:val="center"/>
          </w:tcPr>
          <w:p>
            <w:pPr>
              <w:widowControl/>
              <w:spacing w:line="240" w:lineRule="auto"/>
              <w:jc w:val="left"/>
              <w:rPr>
                <w:rFonts w:ascii="Times New Roman" w:hAnsi="Times New Roman" w:eastAsia="宋体"/>
                <w:b/>
                <w:kern w:val="0"/>
                <w:sz w:val="18"/>
                <w:szCs w:val="18"/>
              </w:rPr>
            </w:pPr>
            <w:r>
              <w:rPr>
                <w:rFonts w:ascii="Times New Roman" w:hAnsi="宋体" w:eastAsia="宋体"/>
                <w:b/>
                <w:kern w:val="0"/>
                <w:sz w:val="18"/>
                <w:szCs w:val="18"/>
              </w:rPr>
              <w:t>分出保费</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11.23</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9.00</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7.27</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6.39</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5.65</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5.18</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4.83</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3.95</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1.74</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1.09</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60" w:type="dxa"/>
            <w:vAlign w:val="center"/>
          </w:tcPr>
          <w:p>
            <w:pPr>
              <w:widowControl/>
              <w:spacing w:line="240" w:lineRule="auto"/>
              <w:jc w:val="left"/>
              <w:rPr>
                <w:rFonts w:ascii="Times New Roman" w:hAnsi="Times New Roman" w:eastAsia="宋体"/>
                <w:b/>
                <w:kern w:val="0"/>
                <w:sz w:val="18"/>
                <w:szCs w:val="18"/>
              </w:rPr>
            </w:pPr>
            <w:r>
              <w:rPr>
                <w:rFonts w:ascii="Times New Roman" w:hAnsi="宋体" w:eastAsia="宋体"/>
                <w:b/>
                <w:kern w:val="0"/>
                <w:sz w:val="18"/>
                <w:szCs w:val="18"/>
              </w:rPr>
              <w:t>提取未到期</w:t>
            </w:r>
          </w:p>
          <w:p>
            <w:pPr>
              <w:widowControl/>
              <w:spacing w:line="240" w:lineRule="auto"/>
              <w:jc w:val="left"/>
              <w:rPr>
                <w:rFonts w:ascii="Times New Roman" w:hAnsi="Times New Roman" w:eastAsia="宋体"/>
                <w:b/>
                <w:kern w:val="0"/>
                <w:sz w:val="18"/>
                <w:szCs w:val="18"/>
              </w:rPr>
            </w:pPr>
            <w:r>
              <w:rPr>
                <w:rFonts w:ascii="Times New Roman" w:hAnsi="宋体" w:eastAsia="宋体"/>
                <w:b/>
                <w:kern w:val="0"/>
                <w:sz w:val="18"/>
                <w:szCs w:val="18"/>
              </w:rPr>
              <w:t>责任准备金</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0.03</w:t>
            </w:r>
          </w:p>
        </w:tc>
        <w:tc>
          <w:tcPr>
            <w:tcW w:w="657"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0.04</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0.04</w:t>
            </w:r>
          </w:p>
        </w:tc>
        <w:tc>
          <w:tcPr>
            <w:tcW w:w="655"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0.04</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0.05</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0.05</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0.06</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0.07</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0.07</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0.08</w:t>
            </w:r>
          </w:p>
        </w:tc>
        <w:tc>
          <w:tcPr>
            <w:tcW w:w="654" w:type="dxa"/>
            <w:vAlign w:val="center"/>
          </w:tcPr>
          <w:p>
            <w:pPr>
              <w:widowControl/>
              <w:spacing w:line="240" w:lineRule="auto"/>
              <w:jc w:val="center"/>
              <w:rPr>
                <w:rFonts w:ascii="Times New Roman" w:hAnsi="Times New Roman" w:eastAsia="宋体"/>
                <w:kern w:val="0"/>
                <w:sz w:val="18"/>
                <w:szCs w:val="18"/>
              </w:rPr>
            </w:pPr>
            <w:r>
              <w:rPr>
                <w:rFonts w:ascii="Times New Roman" w:hAnsi="Times New Roman" w:eastAsia="宋体"/>
                <w:kern w:val="0"/>
                <w:sz w:val="18"/>
                <w:szCs w:val="18"/>
              </w:rPr>
              <w:t>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60" w:type="dxa"/>
            <w:vAlign w:val="center"/>
          </w:tcPr>
          <w:p>
            <w:pPr>
              <w:widowControl/>
              <w:spacing w:line="240" w:lineRule="auto"/>
              <w:jc w:val="left"/>
              <w:rPr>
                <w:rFonts w:ascii="Times New Roman" w:hAnsi="Times New Roman" w:eastAsia="宋体"/>
                <w:b/>
                <w:kern w:val="0"/>
                <w:sz w:val="18"/>
                <w:szCs w:val="18"/>
              </w:rPr>
            </w:pPr>
            <w:r>
              <w:rPr>
                <w:rFonts w:ascii="Times New Roman" w:hAnsi="宋体" w:eastAsia="宋体"/>
                <w:b/>
                <w:kern w:val="0"/>
                <w:sz w:val="18"/>
                <w:szCs w:val="18"/>
              </w:rPr>
              <w:t>已赚保费</w:t>
            </w:r>
          </w:p>
        </w:tc>
        <w:tc>
          <w:tcPr>
            <w:tcW w:w="65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10.35</w:t>
            </w:r>
          </w:p>
        </w:tc>
        <w:tc>
          <w:tcPr>
            <w:tcW w:w="657"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15.64</w:t>
            </w:r>
          </w:p>
        </w:tc>
        <w:tc>
          <w:tcPr>
            <w:tcW w:w="655"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21.89</w:t>
            </w:r>
          </w:p>
        </w:tc>
        <w:tc>
          <w:tcPr>
            <w:tcW w:w="655"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27.83</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34.08</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39.98</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45.78</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52.30</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59.87</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66.31</w:t>
            </w:r>
          </w:p>
        </w:tc>
        <w:tc>
          <w:tcPr>
            <w:tcW w:w="654" w:type="dxa"/>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72.62</w:t>
            </w:r>
          </w:p>
        </w:tc>
      </w:tr>
    </w:tbl>
    <w:p>
      <w:pPr>
        <w:spacing w:line="360" w:lineRule="auto"/>
        <w:rPr>
          <w:rFonts w:ascii="Times New Roman" w:hAnsi="Times New Roman"/>
          <w:sz w:val="32"/>
          <w:szCs w:val="32"/>
        </w:rPr>
      </w:pPr>
    </w:p>
    <w:p>
      <w:pPr>
        <w:widowControl/>
        <w:spacing w:line="240" w:lineRule="auto"/>
        <w:jc w:val="left"/>
        <w:rPr>
          <w:rFonts w:ascii="Times New Roman" w:hAnsi="Times New Roman"/>
          <w:sz w:val="28"/>
          <w:szCs w:val="28"/>
        </w:rPr>
      </w:pPr>
      <w:r>
        <w:rPr>
          <w:rFonts w:ascii="Times New Roman" w:hAnsi="Times New Roman"/>
          <w:sz w:val="28"/>
          <w:szCs w:val="28"/>
        </w:rPr>
        <w:br w:type="page"/>
      </w: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案例</w:t>
      </w:r>
      <w:r>
        <w:rPr>
          <w:rFonts w:hint="eastAsia" w:ascii="Times New Roman" w:hAnsi="Times New Roman"/>
          <w:b/>
          <w:spacing w:val="-1"/>
          <w:sz w:val="32"/>
          <w:szCs w:val="32"/>
          <w:lang w:val="zh-TW"/>
        </w:rPr>
        <w:t>六</w:t>
      </w:r>
      <w:r>
        <w:rPr>
          <w:rFonts w:ascii="Times New Roman" w:hAnsi="Times New Roman"/>
          <w:b/>
          <w:spacing w:val="-1"/>
          <w:sz w:val="32"/>
          <w:szCs w:val="32"/>
          <w:lang w:val="zh-TW"/>
        </w:rPr>
        <w:t>：</w:t>
      </w:r>
      <w:r>
        <w:rPr>
          <w:rFonts w:ascii="Times New Roman" w:hAnsi="Times New Roman"/>
          <w:b/>
          <w:spacing w:val="-1"/>
          <w:sz w:val="32"/>
          <w:szCs w:val="32"/>
          <w:lang w:val="zh-TW" w:eastAsia="zh-TW"/>
        </w:rPr>
        <w:t>信托公司信托业务手续费及佣金收入的预测</w:t>
      </w:r>
    </w:p>
    <w:p>
      <w:pPr>
        <w:spacing w:line="360" w:lineRule="auto"/>
        <w:ind w:firstLine="584" w:firstLineChars="200"/>
        <w:rPr>
          <w:rFonts w:ascii="Times New Roman" w:hAnsi="Times New Roman"/>
          <w:sz w:val="28"/>
        </w:rPr>
      </w:pPr>
      <w:r>
        <w:rPr>
          <w:rFonts w:ascii="Times New Roman" w:hAnsi="Times New Roman"/>
          <w:sz w:val="28"/>
          <w:szCs w:val="28"/>
        </w:rPr>
        <w:t>信托业务手续费及佣金收入=信托资产规模</w:t>
      </w:r>
      <w:r>
        <w:rPr>
          <w:rFonts w:ascii="Times New Roman" w:hAnsi="Times New Roman"/>
          <w:sz w:val="28"/>
        </w:rPr>
        <w:t>×手续费率</w:t>
      </w:r>
    </w:p>
    <w:p>
      <w:pPr>
        <w:spacing w:line="360" w:lineRule="auto"/>
        <w:ind w:firstLine="584" w:firstLineChars="200"/>
        <w:rPr>
          <w:rFonts w:ascii="Times New Roman" w:hAnsi="Times New Roman"/>
          <w:sz w:val="28"/>
          <w:szCs w:val="28"/>
        </w:rPr>
      </w:pPr>
      <w:r>
        <w:rPr>
          <w:rFonts w:ascii="Times New Roman" w:hAnsi="Times New Roman"/>
          <w:sz w:val="28"/>
          <w:szCs w:val="28"/>
        </w:rPr>
        <w:t>xx信托公司信托资产包括集合类信托、单一类信托、财产信托三种。根据对xx公司基准日前一期的三类信托资产的规模和手续费收入分析，评估基准日集合类信托、单一类信托、财产信托手续费率分别为1.6386%、0.1358%、0.3117%，各类信托业务手续费费率差距较大。因此，</w:t>
      </w:r>
      <w:r>
        <w:rPr>
          <w:rFonts w:hint="eastAsia" w:ascii="Times New Roman" w:hAnsi="Times New Roman"/>
          <w:sz w:val="28"/>
          <w:szCs w:val="28"/>
        </w:rPr>
        <w:t>资产</w:t>
      </w:r>
      <w:r>
        <w:rPr>
          <w:rFonts w:ascii="Times New Roman" w:hAnsi="Times New Roman"/>
          <w:sz w:val="28"/>
          <w:szCs w:val="28"/>
        </w:rPr>
        <w:t>评估师对三类信托业务资产规模分别进行预测。</w:t>
      </w:r>
    </w:p>
    <w:p>
      <w:pPr>
        <w:spacing w:line="360" w:lineRule="auto"/>
        <w:ind w:firstLine="584" w:firstLineChars="200"/>
        <w:rPr>
          <w:rFonts w:ascii="Times New Roman" w:hAnsi="Times New Roman"/>
          <w:sz w:val="28"/>
          <w:szCs w:val="28"/>
        </w:rPr>
      </w:pPr>
      <w:r>
        <w:rPr>
          <w:rFonts w:ascii="Times New Roman" w:hAnsi="Times New Roman"/>
          <w:sz w:val="28"/>
          <w:szCs w:val="28"/>
        </w:rPr>
        <w:t>1、信托资产规模预测</w:t>
      </w:r>
    </w:p>
    <w:p>
      <w:pPr>
        <w:spacing w:line="360" w:lineRule="auto"/>
        <w:ind w:firstLine="584" w:firstLineChars="200"/>
        <w:rPr>
          <w:rFonts w:ascii="Times New Roman" w:hAnsi="Times New Roman"/>
          <w:sz w:val="28"/>
          <w:szCs w:val="28"/>
        </w:rPr>
      </w:pPr>
      <w:r>
        <w:rPr>
          <w:rFonts w:ascii="Times New Roman" w:hAnsi="Times New Roman"/>
          <w:sz w:val="28"/>
          <w:szCs w:val="28"/>
        </w:rPr>
        <w:t>对xx信托公司信托资产规模预测基于整个信托行业信托资产规模及xx信托公司的信托业务市场份额。</w:t>
      </w:r>
    </w:p>
    <w:p>
      <w:pPr>
        <w:spacing w:line="360" w:lineRule="auto"/>
        <w:ind w:firstLine="584" w:firstLineChars="200"/>
        <w:rPr>
          <w:rFonts w:ascii="Times New Roman" w:hAnsi="Times New Roman"/>
          <w:sz w:val="28"/>
          <w:szCs w:val="28"/>
        </w:rPr>
      </w:pPr>
      <w:r>
        <w:rPr>
          <w:rFonts w:ascii="Times New Roman" w:hAnsi="Times New Roman"/>
          <w:sz w:val="28"/>
          <w:szCs w:val="28"/>
        </w:rPr>
        <w:t>（1）信托行业信托资产规模预测</w:t>
      </w:r>
    </w:p>
    <w:p>
      <w:pPr>
        <w:spacing w:line="360" w:lineRule="auto"/>
        <w:ind w:firstLine="561" w:firstLineChars="192"/>
        <w:rPr>
          <w:rFonts w:ascii="Times New Roman" w:hAnsi="Times New Roman"/>
          <w:sz w:val="28"/>
        </w:rPr>
      </w:pPr>
      <w:r>
        <w:rPr>
          <w:rFonts w:ascii="Times New Roman" w:hAnsi="Times New Roman"/>
          <w:sz w:val="28"/>
        </w:rPr>
        <w:t>我们查阅了相关经济学研究文献，结合经济学相关原理，综合分析了对信托规模产生影响的相关因素，包括城乡居民储蓄余额、固定资产投资总额、社会融资总额、新增人民币贷款、货币供应量和利率七个变量，我们选取了从200x年-201x年的七个变量的年度数据，除信托规模数据取自《信托业发展报告20xx》外，其余数据均取自wind数据，根据数据计量分析结果，新增人民币贷款、货币供应量和利率三个变量，并没有表现出与信托规模的良好的长期均衡关系，故我们将其剔除。最后通过计量我们建立了信托规模、城乡居民储蓄余额、固定资产投资总额和社会融资总额四个时间序列的协整方程模型。方程如下：</w:t>
      </w:r>
    </w:p>
    <w:p>
      <w:pPr>
        <w:spacing w:line="360" w:lineRule="auto"/>
        <w:ind w:firstLine="561" w:firstLineChars="192"/>
        <w:rPr>
          <w:rFonts w:ascii="Times New Roman" w:hAnsi="Times New Roman"/>
          <w:sz w:val="28"/>
        </w:rPr>
      </w:pPr>
      <w:r>
        <w:rPr>
          <w:rFonts w:ascii="Times New Roman" w:hAnsi="Times New Roman"/>
          <w:sz w:val="28"/>
        </w:rPr>
        <w:t>LNTS=3.126LNFI -3.193LNRS +1.017LNSCx</w:t>
      </w:r>
    </w:p>
    <w:p>
      <w:pPr>
        <w:spacing w:line="360" w:lineRule="auto"/>
        <w:ind w:firstLine="561" w:firstLineChars="192"/>
        <w:rPr>
          <w:rFonts w:ascii="Times New Roman" w:hAnsi="Times New Roman"/>
          <w:sz w:val="28"/>
        </w:rPr>
      </w:pPr>
      <w:r>
        <w:rPr>
          <w:rFonts w:ascii="Times New Roman" w:hAnsi="Times New Roman"/>
          <w:sz w:val="28"/>
        </w:rPr>
        <w:t>其中，LNTS为信托规模，LNFI为固定资产投资总额，LNRS为城乡居民储蓄余额，LNSCx为社会融资总额，这里的社会融资总额是剔除了社会融资总额统计中的信托贷款额度的修正数据。</w:t>
      </w:r>
    </w:p>
    <w:p>
      <w:pPr>
        <w:spacing w:line="360" w:lineRule="auto"/>
        <w:ind w:firstLine="561" w:firstLineChars="192"/>
        <w:rPr>
          <w:rFonts w:ascii="Times New Roman" w:hAnsi="Times New Roman"/>
          <w:sz w:val="28"/>
        </w:rPr>
      </w:pPr>
      <w:r>
        <w:rPr>
          <w:rFonts w:ascii="Times New Roman" w:hAnsi="Times New Roman"/>
          <w:sz w:val="28"/>
        </w:rPr>
        <w:t>从方程中我们可以看到，固定资产投资总额、社会融资总额与信托规模表现出正相关关系。信托融资中很大一部分都投向了固定资产投资，从统计数据来看，信托资产投向基础产业和房地产业的总和达到了信托总规模30%以上，固定资产投资对信托规模产生较大影响，和计量分析结果一致。而剔除了信托贷款统计的社会融资总额与信托规模也表现出了正相关关系，虽然信托和其他方式的社会融资存在一定程度的替代效应，但社会融资总额的增长表现出了社会对融资总体的需求，当这种需求远大于融资方式的替代效应时，就表现出了社会融资总额与信托规模的同步增长态势，但这种影响却远没有固定资产投资的大，从计量结果来看，只有固定资产投资影响的三分之一。</w:t>
      </w:r>
    </w:p>
    <w:p>
      <w:pPr>
        <w:spacing w:line="360" w:lineRule="auto"/>
        <w:ind w:firstLine="561" w:firstLineChars="192"/>
        <w:rPr>
          <w:rFonts w:ascii="Times New Roman" w:hAnsi="Times New Roman"/>
          <w:sz w:val="28"/>
        </w:rPr>
      </w:pPr>
      <w:r>
        <w:rPr>
          <w:rFonts w:ascii="Times New Roman" w:hAnsi="Times New Roman"/>
          <w:sz w:val="28"/>
        </w:rPr>
        <w:t>从计量结果来看，城乡居民储蓄余额与信托规模表现出了负相关关系，因为对信托产品的购买直接促使了存款的下降。</w:t>
      </w:r>
    </w:p>
    <w:p>
      <w:pPr>
        <w:spacing w:line="360" w:lineRule="auto"/>
        <w:ind w:firstLine="561" w:firstLineChars="192"/>
        <w:rPr>
          <w:rFonts w:ascii="Times New Roman" w:hAnsi="Times New Roman"/>
          <w:sz w:val="28"/>
        </w:rPr>
      </w:pPr>
      <w:r>
        <w:rPr>
          <w:rFonts w:ascii="Times New Roman" w:hAnsi="Times New Roman"/>
          <w:sz w:val="28"/>
        </w:rPr>
        <w:t>从中国宏观形势来看，过去那种过度依靠投资拉动、信贷拉动的粗放式经济增长模式会逐步转变，过去货币供应量的大幅增长也将会放缓，李克强总理也强调了“控制增量、用好存量”的指导方针。过去城乡居民储蓄余额表现出了平稳增长，过去10年的平均增速在16.28%，即使未来货币供应量增速放缓的情况下，考虑到国家对提高居民收入的政策导向，城乡居民储蓄余额预计也将保持这一增速。固定资产投资总额过去10年一直保持快速增长，平均增速达到27%，但在地方政府债务高企、增长模式急需转变的情况下，这一增速很难维持，预计未来增速将会维持在20%左右的水平上。信托业近年来发展较为迅速，目前整体规模已经超越保险业，成为金融行业中即银行业之后规模最大的行业，但在整体规模达到一定量级后其增速也会逐步放缓。纵观信托业的发展历程来看，信托行业的发展也并非一帆风顺，中国信托业共经历了5次大的政策调整，从历史数据来看，大的调整周期一般在两年左右，在调整期内信托资产整体规模会有10%-20%的下降。考虑到国家对影子银行管控的加强，以及对地方政府融资平台的控制，预计信托业在经历了过去10年的高速发展后，将很快迎来一次大的调整。</w:t>
      </w:r>
    </w:p>
    <w:p>
      <w:pPr>
        <w:spacing w:line="360" w:lineRule="auto"/>
        <w:ind w:firstLine="561" w:firstLineChars="192"/>
        <w:rPr>
          <w:rFonts w:ascii="Times New Roman" w:hAnsi="Times New Roman"/>
          <w:sz w:val="28"/>
        </w:rPr>
      </w:pPr>
      <w:r>
        <w:rPr>
          <w:rFonts w:ascii="Times New Roman" w:hAnsi="Times New Roman"/>
          <w:sz w:val="28"/>
        </w:rPr>
        <w:t>结合经济发展规律，根据计量模型分析，我们预计未来信托业信托规模未来5年增速如下表所示。</w:t>
      </w:r>
    </w:p>
    <w:p>
      <w:pPr>
        <w:spacing w:line="360" w:lineRule="auto"/>
        <w:jc w:val="center"/>
        <w:rPr>
          <w:rFonts w:ascii="Times New Roman" w:hAnsi="Times New Roman" w:eastAsia="黑体"/>
          <w:sz w:val="24"/>
        </w:rPr>
      </w:pPr>
      <w:r>
        <w:rPr>
          <w:rFonts w:ascii="Times New Roman" w:hAnsi="Times New Roman" w:eastAsia="黑体"/>
          <w:sz w:val="24"/>
        </w:rPr>
        <w:t>未来信托业信托规模增速</w:t>
      </w:r>
    </w:p>
    <w:tbl>
      <w:tblPr>
        <w:tblStyle w:val="27"/>
        <w:tblW w:w="9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391"/>
        <w:gridCol w:w="1504"/>
        <w:gridCol w:w="1391"/>
        <w:gridCol w:w="1391"/>
        <w:gridCol w:w="122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spacing w:line="240" w:lineRule="auto"/>
              <w:jc w:val="center"/>
              <w:rPr>
                <w:rFonts w:ascii="Times New Roman" w:hAnsi="Times New Roman" w:eastAsia="宋体"/>
                <w:b/>
                <w:sz w:val="18"/>
                <w:szCs w:val="18"/>
              </w:rPr>
            </w:pPr>
            <w:r>
              <w:rPr>
                <w:rFonts w:ascii="Times New Roman" w:hAnsi="宋体" w:eastAsia="宋体"/>
                <w:b/>
                <w:sz w:val="18"/>
                <w:szCs w:val="18"/>
              </w:rPr>
              <w:t>年份</w:t>
            </w:r>
          </w:p>
        </w:tc>
        <w:tc>
          <w:tcPr>
            <w:tcW w:w="1391"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20x3</w:t>
            </w:r>
          </w:p>
        </w:tc>
        <w:tc>
          <w:tcPr>
            <w:tcW w:w="1504"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20x4</w:t>
            </w:r>
          </w:p>
        </w:tc>
        <w:tc>
          <w:tcPr>
            <w:tcW w:w="1391"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20x5</w:t>
            </w:r>
          </w:p>
        </w:tc>
        <w:tc>
          <w:tcPr>
            <w:tcW w:w="1391"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20x6</w:t>
            </w:r>
          </w:p>
        </w:tc>
        <w:tc>
          <w:tcPr>
            <w:tcW w:w="1224"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20x7</w:t>
            </w:r>
          </w:p>
        </w:tc>
        <w:tc>
          <w:tcPr>
            <w:tcW w:w="1224" w:type="dxa"/>
            <w:vAlign w:val="center"/>
          </w:tcPr>
          <w:p>
            <w:pPr>
              <w:spacing w:line="240" w:lineRule="auto"/>
              <w:jc w:val="center"/>
              <w:rPr>
                <w:rFonts w:ascii="Times New Roman" w:hAnsi="Times New Roman" w:eastAsia="宋体"/>
                <w:b/>
                <w:sz w:val="18"/>
                <w:szCs w:val="18"/>
              </w:rPr>
            </w:pPr>
            <w:r>
              <w:rPr>
                <w:rFonts w:ascii="Times New Roman" w:hAnsi="Times New Roman" w:eastAsia="宋体"/>
                <w:b/>
                <w:sz w:val="18"/>
                <w:szCs w:val="18"/>
              </w:rPr>
              <w:t>20x8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vAlign w:val="center"/>
          </w:tcPr>
          <w:p>
            <w:pPr>
              <w:spacing w:line="240" w:lineRule="auto"/>
              <w:jc w:val="center"/>
              <w:rPr>
                <w:rFonts w:ascii="Times New Roman" w:hAnsi="Times New Roman" w:eastAsia="宋体"/>
                <w:b/>
                <w:sz w:val="18"/>
                <w:szCs w:val="18"/>
              </w:rPr>
            </w:pPr>
            <w:r>
              <w:rPr>
                <w:rFonts w:ascii="Times New Roman" w:hAnsi="宋体" w:eastAsia="宋体"/>
                <w:b/>
                <w:sz w:val="18"/>
                <w:szCs w:val="18"/>
              </w:rPr>
              <w:t>增速</w:t>
            </w:r>
          </w:p>
        </w:tc>
        <w:tc>
          <w:tcPr>
            <w:tcW w:w="1391"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27.41%</w:t>
            </w:r>
          </w:p>
        </w:tc>
        <w:tc>
          <w:tcPr>
            <w:tcW w:w="1504"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-13.95%</w:t>
            </w:r>
          </w:p>
        </w:tc>
        <w:tc>
          <w:tcPr>
            <w:tcW w:w="1391"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21.47%</w:t>
            </w:r>
          </w:p>
        </w:tc>
        <w:tc>
          <w:tcPr>
            <w:tcW w:w="1391"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14.16%</w:t>
            </w:r>
          </w:p>
        </w:tc>
        <w:tc>
          <w:tcPr>
            <w:tcW w:w="1224"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3.97%</w:t>
            </w:r>
          </w:p>
        </w:tc>
        <w:tc>
          <w:tcPr>
            <w:tcW w:w="1224"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1.98%</w:t>
            </w:r>
          </w:p>
        </w:tc>
      </w:tr>
    </w:tbl>
    <w:p>
      <w:pPr>
        <w:spacing w:line="360" w:lineRule="auto"/>
        <w:ind w:firstLine="584" w:firstLineChars="200"/>
        <w:rPr>
          <w:rFonts w:ascii="Times New Roman" w:hAnsi="Times New Roman"/>
          <w:sz w:val="28"/>
          <w:szCs w:val="28"/>
        </w:rPr>
      </w:pPr>
    </w:p>
    <w:p>
      <w:pPr>
        <w:spacing w:line="360" w:lineRule="auto"/>
        <w:ind w:firstLine="584" w:firstLineChars="200"/>
        <w:rPr>
          <w:rFonts w:ascii="Times New Roman" w:hAnsi="Times New Roman"/>
          <w:sz w:val="28"/>
          <w:szCs w:val="28"/>
        </w:rPr>
      </w:pPr>
      <w:r>
        <w:rPr>
          <w:rFonts w:ascii="Times New Roman" w:hAnsi="Times New Roman"/>
          <w:sz w:val="28"/>
          <w:szCs w:val="28"/>
        </w:rPr>
        <w:t>（2）xx信托公司信托资产规模预测</w:t>
      </w:r>
    </w:p>
    <w:p>
      <w:pPr>
        <w:spacing w:line="360" w:lineRule="auto"/>
        <w:ind w:firstLine="584" w:firstLineChars="200"/>
        <w:rPr>
          <w:rFonts w:ascii="Times New Roman" w:hAnsi="Times New Roman"/>
          <w:sz w:val="28"/>
        </w:rPr>
      </w:pPr>
      <w:r>
        <w:rPr>
          <w:rFonts w:ascii="Times New Roman" w:hAnsi="Times New Roman"/>
          <w:sz w:val="28"/>
        </w:rPr>
        <w:t>我们对xx信托公司业务规划访谈了解到，xx信托公司信托资产在预测期将保持目前类型结构比例不变，且市场份额规划目标为保持评估基准日的水平。对xx信托未来年度信托规模预测数据如下表所示。</w:t>
      </w:r>
    </w:p>
    <w:tbl>
      <w:tblPr>
        <w:tblStyle w:val="27"/>
        <w:tblW w:w="9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7"/>
        <w:gridCol w:w="1653"/>
        <w:gridCol w:w="1653"/>
        <w:gridCol w:w="1653"/>
        <w:gridCol w:w="1653"/>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blHeader/>
        </w:trPr>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年份</w:t>
            </w:r>
          </w:p>
        </w:tc>
        <w:tc>
          <w:tcPr>
            <w:tcW w:w="165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20x4</w:t>
            </w:r>
            <w:r>
              <w:rPr>
                <w:rFonts w:ascii="Times New Roman" w:hAnsi="宋体" w:eastAsia="宋体"/>
                <w:b/>
                <w:kern w:val="0"/>
                <w:sz w:val="18"/>
                <w:szCs w:val="18"/>
              </w:rPr>
              <w:t>年</w:t>
            </w:r>
          </w:p>
        </w:tc>
        <w:tc>
          <w:tcPr>
            <w:tcW w:w="165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20x5</w:t>
            </w:r>
            <w:r>
              <w:rPr>
                <w:rFonts w:ascii="Times New Roman" w:hAnsi="宋体" w:eastAsia="宋体"/>
                <w:b/>
                <w:kern w:val="0"/>
                <w:sz w:val="18"/>
                <w:szCs w:val="18"/>
              </w:rPr>
              <w:t>年</w:t>
            </w:r>
          </w:p>
        </w:tc>
        <w:tc>
          <w:tcPr>
            <w:tcW w:w="165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20x6</w:t>
            </w:r>
            <w:r>
              <w:rPr>
                <w:rFonts w:ascii="Times New Roman" w:hAnsi="宋体" w:eastAsia="宋体"/>
                <w:b/>
                <w:kern w:val="0"/>
                <w:sz w:val="18"/>
                <w:szCs w:val="18"/>
              </w:rPr>
              <w:t>年</w:t>
            </w:r>
          </w:p>
        </w:tc>
        <w:tc>
          <w:tcPr>
            <w:tcW w:w="165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20x7</w:t>
            </w:r>
            <w:r>
              <w:rPr>
                <w:rFonts w:ascii="Times New Roman" w:hAnsi="宋体" w:eastAsia="宋体"/>
                <w:b/>
                <w:kern w:val="0"/>
                <w:sz w:val="18"/>
                <w:szCs w:val="18"/>
              </w:rPr>
              <w:t>年</w:t>
            </w:r>
          </w:p>
        </w:tc>
        <w:tc>
          <w:tcPr>
            <w:tcW w:w="165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Times New Roman" w:eastAsia="宋体"/>
                <w:b/>
                <w:kern w:val="0"/>
                <w:sz w:val="18"/>
                <w:szCs w:val="18"/>
              </w:rPr>
              <w:t>20x8</w:t>
            </w:r>
            <w:r>
              <w:rPr>
                <w:rFonts w:ascii="Times New Roman" w:hAnsi="宋体" w:eastAsia="宋体"/>
                <w:b/>
                <w:kern w:val="0"/>
                <w:sz w:val="18"/>
                <w:szCs w:val="18"/>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集合类</w:t>
            </w:r>
          </w:p>
        </w:tc>
        <w:tc>
          <w:tcPr>
            <w:tcW w:w="1653"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942,506.75</w:t>
            </w:r>
          </w:p>
        </w:tc>
        <w:tc>
          <w:tcPr>
            <w:tcW w:w="1653"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1,144,862.95</w:t>
            </w:r>
          </w:p>
        </w:tc>
        <w:tc>
          <w:tcPr>
            <w:tcW w:w="1653"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1,306,975.54</w:t>
            </w:r>
          </w:p>
        </w:tc>
        <w:tc>
          <w:tcPr>
            <w:tcW w:w="1653"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1,358,862.46</w:t>
            </w:r>
          </w:p>
        </w:tc>
        <w:tc>
          <w:tcPr>
            <w:tcW w:w="1653"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1,385,767.93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89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单一类</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15,551,878.34</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18,890,866.62</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21,565,813.33</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22,421,976.11</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22,865,931.24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89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财产类</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1,235,567.60</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1,500,843.96</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1,713,363.46</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1,781,383.99</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1,816,655.39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897"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kern w:val="0"/>
                <w:sz w:val="18"/>
                <w:szCs w:val="18"/>
              </w:rPr>
            </w:pPr>
            <w:r>
              <w:rPr>
                <w:rFonts w:ascii="Times New Roman" w:hAnsi="宋体" w:eastAsia="宋体"/>
                <w:b/>
                <w:kern w:val="0"/>
                <w:sz w:val="18"/>
                <w:szCs w:val="18"/>
              </w:rPr>
              <w:t>合计</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17,729,952.69</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21,536,573.53</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24,586,152.33</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25,562,222.56</w:t>
            </w:r>
          </w:p>
        </w:tc>
        <w:tc>
          <w:tcPr>
            <w:tcW w:w="1653"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26,068,354.56</w:t>
            </w:r>
          </w:p>
        </w:tc>
      </w:tr>
    </w:tbl>
    <w:p>
      <w:pPr>
        <w:spacing w:line="360" w:lineRule="auto"/>
        <w:ind w:firstLine="584" w:firstLineChars="200"/>
        <w:rPr>
          <w:rFonts w:ascii="Times New Roman" w:hAnsi="Times New Roman"/>
          <w:sz w:val="28"/>
          <w:szCs w:val="28"/>
        </w:rPr>
      </w:pPr>
    </w:p>
    <w:p>
      <w:pPr>
        <w:spacing w:line="360" w:lineRule="auto"/>
        <w:ind w:firstLine="584" w:firstLineChars="200"/>
        <w:rPr>
          <w:rFonts w:ascii="Times New Roman" w:hAnsi="Times New Roman"/>
          <w:sz w:val="28"/>
          <w:szCs w:val="28"/>
        </w:rPr>
      </w:pPr>
      <w:r>
        <w:rPr>
          <w:rFonts w:ascii="Times New Roman" w:hAnsi="Times New Roman"/>
          <w:sz w:val="28"/>
          <w:szCs w:val="28"/>
        </w:rPr>
        <w:t>2、信托手续费收入预测</w:t>
      </w:r>
    </w:p>
    <w:p>
      <w:pPr>
        <w:spacing w:line="360" w:lineRule="auto"/>
        <w:ind w:firstLine="561" w:firstLineChars="192"/>
        <w:rPr>
          <w:rFonts w:ascii="Times New Roman" w:hAnsi="Times New Roman"/>
          <w:sz w:val="28"/>
        </w:rPr>
      </w:pPr>
      <w:r>
        <w:rPr>
          <w:rFonts w:ascii="Times New Roman" w:hAnsi="Times New Roman"/>
          <w:sz w:val="28"/>
        </w:rPr>
        <w:t>由xx信托公司评估基准日的财务数据，其单一类、集合类、财产类信托的报酬率分别为1.64%、0.14%、0.31%。假设未来年度各类信托业务报酬率不变，据此预测xx信托未来年度信托手续费及佣金收入数据下表所示。</w:t>
      </w:r>
    </w:p>
    <w:tbl>
      <w:tblPr>
        <w:tblStyle w:val="27"/>
        <w:tblW w:w="916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4"/>
        <w:gridCol w:w="1552"/>
        <w:gridCol w:w="1552"/>
        <w:gridCol w:w="1552"/>
        <w:gridCol w:w="1552"/>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blHeader/>
          <w:jc w:val="righ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年份</w:t>
            </w:r>
          </w:p>
        </w:tc>
        <w:tc>
          <w:tcPr>
            <w:tcW w:w="155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20x4年</w:t>
            </w:r>
          </w:p>
        </w:tc>
        <w:tc>
          <w:tcPr>
            <w:tcW w:w="155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20x5年</w:t>
            </w:r>
          </w:p>
        </w:tc>
        <w:tc>
          <w:tcPr>
            <w:tcW w:w="155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20x6年</w:t>
            </w:r>
          </w:p>
        </w:tc>
        <w:tc>
          <w:tcPr>
            <w:tcW w:w="155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20x7年</w:t>
            </w:r>
          </w:p>
        </w:tc>
        <w:tc>
          <w:tcPr>
            <w:tcW w:w="17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20x8年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righ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集合类</w:t>
            </w: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15,443.92 </w:t>
            </w: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18,759.72 </w:t>
            </w: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21,416.10 </w:t>
            </w: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22,266.32 </w:t>
            </w:r>
          </w:p>
        </w:tc>
        <w:tc>
          <w:tcPr>
            <w:tcW w:w="1710" w:type="dxa"/>
            <w:tcBorders>
              <w:top w:val="single" w:color="auto" w:sz="4" w:space="0"/>
              <w:left w:val="single" w:color="auto" w:sz="4" w:space="0"/>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22,707.19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right"/>
        </w:trPr>
        <w:tc>
          <w:tcPr>
            <w:tcW w:w="12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单一类</w:t>
            </w:r>
          </w:p>
        </w:tc>
        <w:tc>
          <w:tcPr>
            <w:tcW w:w="1552"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21,119.45 </w:t>
            </w:r>
          </w:p>
        </w:tc>
        <w:tc>
          <w:tcPr>
            <w:tcW w:w="1552"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25,653.80 </w:t>
            </w:r>
          </w:p>
        </w:tc>
        <w:tc>
          <w:tcPr>
            <w:tcW w:w="1552"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29,286.37 </w:t>
            </w:r>
          </w:p>
        </w:tc>
        <w:tc>
          <w:tcPr>
            <w:tcW w:w="1552"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30,449.04 </w:t>
            </w:r>
          </w:p>
        </w:tc>
        <w:tc>
          <w:tcPr>
            <w:tcW w:w="1710" w:type="dxa"/>
            <w:tcBorders>
              <w:top w:val="single" w:color="auto" w:sz="4" w:space="0"/>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 31,051.93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right"/>
        </w:trPr>
        <w:tc>
          <w:tcPr>
            <w:tcW w:w="124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财产类</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3,851.26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4,678.13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5,340.55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5,552.57 </w:t>
            </w:r>
          </w:p>
        </w:tc>
        <w:tc>
          <w:tcPr>
            <w:tcW w:w="1710"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5,662.51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right"/>
        </w:trPr>
        <w:tc>
          <w:tcPr>
            <w:tcW w:w="1244"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b/>
                <w:bCs/>
                <w:kern w:val="0"/>
                <w:sz w:val="18"/>
                <w:szCs w:val="18"/>
              </w:rPr>
            </w:pPr>
            <w:r>
              <w:rPr>
                <w:rFonts w:ascii="Times New Roman" w:hAnsi="Times New Roman" w:eastAsia="宋体"/>
                <w:b/>
                <w:bCs/>
                <w:kern w:val="0"/>
                <w:sz w:val="18"/>
                <w:szCs w:val="18"/>
              </w:rPr>
              <w:t>合计</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40,414.63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49,091.65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56,043.02 </w:t>
            </w:r>
          </w:p>
        </w:tc>
        <w:tc>
          <w:tcPr>
            <w:tcW w:w="1552"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58,267.93 </w:t>
            </w:r>
          </w:p>
        </w:tc>
        <w:tc>
          <w:tcPr>
            <w:tcW w:w="1710" w:type="dxa"/>
            <w:tcBorders>
              <w:top w:val="nil"/>
              <w:left w:val="nil"/>
              <w:bottom w:val="single" w:color="auto" w:sz="4" w:space="0"/>
              <w:right w:val="single" w:color="auto" w:sz="4" w:space="0"/>
            </w:tcBorders>
            <w:vAlign w:val="center"/>
          </w:tcPr>
          <w:p>
            <w:pPr>
              <w:spacing w:line="240" w:lineRule="auto"/>
              <w:jc w:val="right"/>
              <w:rPr>
                <w:rFonts w:ascii="Times New Roman" w:hAnsi="Times New Roman" w:eastAsia="宋体"/>
                <w:sz w:val="18"/>
                <w:szCs w:val="18"/>
              </w:rPr>
            </w:pPr>
            <w:r>
              <w:rPr>
                <w:rFonts w:ascii="Times New Roman" w:hAnsi="Times New Roman" w:eastAsia="宋体"/>
                <w:sz w:val="18"/>
                <w:szCs w:val="18"/>
              </w:rPr>
              <w:t xml:space="preserve">59,421.63 </w:t>
            </w:r>
          </w:p>
        </w:tc>
      </w:tr>
    </w:tbl>
    <w:p>
      <w:pPr>
        <w:spacing w:line="360" w:lineRule="auto"/>
        <w:ind w:firstLine="584" w:firstLineChars="200"/>
        <w:rPr>
          <w:rFonts w:ascii="Times New Roman" w:hAnsi="Times New Roman"/>
          <w:sz w:val="28"/>
          <w:szCs w:val="28"/>
        </w:rPr>
      </w:pPr>
    </w:p>
    <w:p>
      <w:pPr>
        <w:widowControl/>
        <w:spacing w:line="240" w:lineRule="auto"/>
        <w:jc w:val="left"/>
        <w:rPr>
          <w:rFonts w:ascii="Times New Roman" w:hAnsi="Times New Roman"/>
          <w:sz w:val="28"/>
          <w:szCs w:val="28"/>
        </w:rPr>
      </w:pPr>
    </w:p>
    <w:p>
      <w:pPr>
        <w:spacing w:line="360" w:lineRule="auto"/>
        <w:ind w:firstLine="638" w:firstLineChars="200"/>
        <w:outlineLvl w:val="0"/>
        <w:rPr>
          <w:rFonts w:ascii="Times New Roman" w:hAnsi="Times New Roman"/>
          <w:b/>
          <w:spacing w:val="-1"/>
          <w:sz w:val="32"/>
          <w:szCs w:val="32"/>
          <w:lang w:val="zh-TW" w:eastAsia="zh-TW"/>
        </w:rPr>
      </w:pPr>
      <w:r>
        <w:rPr>
          <w:rFonts w:ascii="Times New Roman" w:hAnsi="Times New Roman"/>
          <w:b/>
          <w:spacing w:val="-1"/>
          <w:sz w:val="32"/>
          <w:szCs w:val="32"/>
          <w:lang w:val="zh-TW" w:eastAsia="zh-TW"/>
        </w:rPr>
        <w:t>案例</w:t>
      </w:r>
      <w:r>
        <w:rPr>
          <w:rFonts w:hint="eastAsia" w:ascii="Times New Roman" w:hAnsi="Times New Roman"/>
          <w:b/>
          <w:spacing w:val="-1"/>
          <w:sz w:val="32"/>
          <w:szCs w:val="32"/>
          <w:lang w:val="zh-TW"/>
        </w:rPr>
        <w:t>七</w:t>
      </w:r>
      <w:r>
        <w:rPr>
          <w:rFonts w:ascii="Times New Roman" w:hAnsi="Times New Roman"/>
          <w:b/>
          <w:spacing w:val="-1"/>
          <w:sz w:val="32"/>
          <w:szCs w:val="32"/>
          <w:lang w:val="zh-TW"/>
        </w:rPr>
        <w:t>：</w:t>
      </w:r>
      <w:r>
        <w:rPr>
          <w:rFonts w:hint="eastAsia" w:ascii="Times New Roman" w:hAnsi="Times New Roman"/>
          <w:b/>
          <w:spacing w:val="-1"/>
          <w:sz w:val="32"/>
          <w:szCs w:val="32"/>
          <w:lang w:val="zh-TW"/>
        </w:rPr>
        <w:t>业务及管理费</w:t>
      </w:r>
      <w:r>
        <w:rPr>
          <w:rFonts w:ascii="Times New Roman" w:hAnsi="Times New Roman"/>
          <w:b/>
          <w:spacing w:val="-1"/>
          <w:sz w:val="32"/>
          <w:szCs w:val="32"/>
          <w:lang w:val="zh-TW" w:eastAsia="zh-TW"/>
        </w:rPr>
        <w:t>预测的合理性分析</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xx证券公司业务及管理费包括人员工资薪金、场地及设备租赁费用、日常运营费用、固定资产折旧费、无形资产摊销、业务费用等</w:t>
      </w:r>
      <w:r>
        <w:rPr>
          <w:rFonts w:hint="eastAsia" w:ascii="Times New Roman" w:hAnsi="Times New Roman"/>
          <w:sz w:val="28"/>
          <w:szCs w:val="28"/>
          <w:lang w:val="zh-CN"/>
        </w:rPr>
        <w:t>。其中，人员工资薪金是可变成本，和绩效挂钩。其他费用支出较为刚性。</w:t>
      </w:r>
      <w:r>
        <w:rPr>
          <w:rFonts w:ascii="Times New Roman" w:hAnsi="Times New Roman"/>
          <w:sz w:val="28"/>
          <w:szCs w:val="28"/>
          <w:lang w:val="zh-CN"/>
        </w:rPr>
        <w:t>xx证券设立了资产负债配置决策小组，加强资金平衡分析研究，将成本收入比纳入分支机构和各业务单位绩效考核，提高了投入产出意识，深入组织开展“对标挖潜、增收节支”活动，强力推进营业部“降转退”等措施，全方位控制成本，提高产出。</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参考xx证券公司历史年度管理费率水平，并结合企业控制成本的措施，预测未来年度业务及管理费。其中，员工成本与员工的招聘计划及平均工资相关；租金支出按全国房租增长率的平均水平确定增长率；业务拓展支出与业务扩张和主营收入存在一定程度的正相关，但会出于税收政策及费用节约的需求占营业收入的比重逐年有所下降直至行业平均水平，行政办公支出与人员增速存在一定程度的正相关，其他各项支出基本保持不变。</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预测期业务及管理费占营业收入的比重如下表所示。</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993"/>
        <w:gridCol w:w="992"/>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561"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预测期</w:t>
            </w:r>
          </w:p>
        </w:tc>
        <w:tc>
          <w:tcPr>
            <w:tcW w:w="993"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20x4</w:t>
            </w:r>
          </w:p>
        </w:tc>
        <w:tc>
          <w:tcPr>
            <w:tcW w:w="992"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20x5</w:t>
            </w:r>
          </w:p>
        </w:tc>
        <w:tc>
          <w:tcPr>
            <w:tcW w:w="992"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20x6</w:t>
            </w:r>
          </w:p>
        </w:tc>
        <w:tc>
          <w:tcPr>
            <w:tcW w:w="992"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20x7</w:t>
            </w:r>
          </w:p>
        </w:tc>
        <w:tc>
          <w:tcPr>
            <w:tcW w:w="992"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561" w:type="dxa"/>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业务及管理费</w:t>
            </w:r>
            <w:r>
              <w:rPr>
                <w:rFonts w:ascii="Times New Roman" w:hAnsi="Times New Roman" w:eastAsia="宋体"/>
                <w:spacing w:val="0"/>
                <w:kern w:val="0"/>
                <w:sz w:val="18"/>
                <w:szCs w:val="18"/>
              </w:rPr>
              <w:t>/</w:t>
            </w:r>
            <w:r>
              <w:rPr>
                <w:rFonts w:ascii="Times New Roman" w:hAnsi="宋体" w:eastAsia="宋体"/>
                <w:spacing w:val="0"/>
                <w:kern w:val="0"/>
                <w:sz w:val="18"/>
                <w:szCs w:val="18"/>
              </w:rPr>
              <w:t>营业收入</w:t>
            </w:r>
          </w:p>
        </w:tc>
        <w:tc>
          <w:tcPr>
            <w:tcW w:w="993"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61%</w:t>
            </w:r>
          </w:p>
        </w:tc>
        <w:tc>
          <w:tcPr>
            <w:tcW w:w="992"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57%</w:t>
            </w:r>
          </w:p>
        </w:tc>
        <w:tc>
          <w:tcPr>
            <w:tcW w:w="992"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54%</w:t>
            </w:r>
          </w:p>
        </w:tc>
        <w:tc>
          <w:tcPr>
            <w:tcW w:w="992"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51%</w:t>
            </w:r>
          </w:p>
        </w:tc>
        <w:tc>
          <w:tcPr>
            <w:tcW w:w="992" w:type="dxa"/>
            <w:vAlign w:val="center"/>
          </w:tcPr>
          <w:p>
            <w:pPr>
              <w:spacing w:line="240" w:lineRule="auto"/>
              <w:jc w:val="center"/>
              <w:rPr>
                <w:rFonts w:ascii="Times New Roman" w:hAnsi="Times New Roman" w:eastAsia="宋体"/>
                <w:sz w:val="18"/>
                <w:szCs w:val="18"/>
              </w:rPr>
            </w:pPr>
            <w:r>
              <w:rPr>
                <w:rFonts w:ascii="Times New Roman" w:hAnsi="Times New Roman" w:eastAsia="宋体"/>
                <w:sz w:val="18"/>
                <w:szCs w:val="18"/>
              </w:rPr>
              <w:t>49%</w:t>
            </w:r>
          </w:p>
        </w:tc>
      </w:tr>
    </w:tbl>
    <w:p>
      <w:pPr>
        <w:spacing w:line="360" w:lineRule="auto"/>
        <w:ind w:firstLine="584" w:firstLineChars="200"/>
        <w:rPr>
          <w:rFonts w:ascii="Times New Roman" w:hAnsi="Times New Roman"/>
          <w:sz w:val="28"/>
          <w:szCs w:val="28"/>
          <w:lang w:val="zh-CN"/>
        </w:rPr>
      </w:pP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在预测期内，由于业务规模的扩张，营业收入增长较快，而费用节约效应明显，费用占收入的比重在预测期会平稳下降，在预测期末达到较稳定的水平。</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一般认为，上市公司是同行业内相对处于成熟期的企业，其财务指标一定程度代表行业水平。选取</w:t>
      </w:r>
      <w:r>
        <w:rPr>
          <w:rFonts w:hint="eastAsia" w:ascii="Times New Roman" w:hAnsi="Times New Roman"/>
          <w:sz w:val="28"/>
          <w:szCs w:val="28"/>
          <w:lang w:val="zh-CN"/>
        </w:rPr>
        <w:t>20y8-20x3年证券行业</w:t>
      </w:r>
      <w:r>
        <w:rPr>
          <w:rFonts w:ascii="Times New Roman" w:hAnsi="Times New Roman"/>
          <w:sz w:val="28"/>
          <w:szCs w:val="28"/>
          <w:lang w:val="zh-CN"/>
        </w:rPr>
        <w:t>上市公司</w:t>
      </w:r>
      <w:r>
        <w:rPr>
          <w:rFonts w:hint="eastAsia" w:ascii="Times New Roman" w:hAnsi="Times New Roman"/>
          <w:sz w:val="28"/>
          <w:szCs w:val="28"/>
          <w:lang w:val="zh-CN"/>
        </w:rPr>
        <w:t>管理</w:t>
      </w:r>
      <w:r>
        <w:rPr>
          <w:rFonts w:ascii="Times New Roman" w:hAnsi="Times New Roman"/>
          <w:sz w:val="28"/>
          <w:szCs w:val="28"/>
          <w:lang w:val="zh-CN"/>
        </w:rPr>
        <w:t>费用/营业收入指标对营业费用预测的合理性进行验证。</w:t>
      </w:r>
    </w:p>
    <w:p>
      <w:pPr>
        <w:spacing w:line="360" w:lineRule="auto"/>
        <w:ind w:firstLine="584" w:firstLineChars="200"/>
        <w:rPr>
          <w:rFonts w:ascii="Times New Roman" w:hAnsi="Times New Roman"/>
          <w:sz w:val="28"/>
          <w:szCs w:val="28"/>
          <w:lang w:val="zh-CN"/>
        </w:rPr>
      </w:pPr>
    </w:p>
    <w:p>
      <w:pPr>
        <w:spacing w:line="360" w:lineRule="auto"/>
        <w:jc w:val="center"/>
        <w:rPr>
          <w:rFonts w:ascii="黑体" w:hAnsi="黑体" w:eastAsia="黑体"/>
          <w:sz w:val="24"/>
          <w:lang w:val="zh-CN"/>
        </w:rPr>
      </w:pPr>
      <w:r>
        <w:rPr>
          <w:rFonts w:hint="eastAsia" w:ascii="黑体" w:hAnsi="黑体" w:eastAsia="黑体"/>
          <w:sz w:val="24"/>
          <w:lang w:val="zh-CN"/>
        </w:rPr>
        <w:t>20y8-20x3年证券行业上市公司管理费用占营业收入比重</w:t>
      </w:r>
    </w:p>
    <w:tbl>
      <w:tblPr>
        <w:tblStyle w:val="27"/>
        <w:tblW w:w="8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96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blHeader/>
        </w:trPr>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证券代码</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证券简称</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y</w:t>
            </w:r>
            <w:r>
              <w:rPr>
                <w:rFonts w:ascii="Times New Roman" w:hAnsi="Times New Roman" w:eastAsia="宋体"/>
                <w:spacing w:val="0"/>
                <w:kern w:val="0"/>
                <w:sz w:val="18"/>
                <w:szCs w:val="18"/>
              </w:rPr>
              <w:t>8</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y</w:t>
            </w:r>
            <w:r>
              <w:rPr>
                <w:rFonts w:ascii="Times New Roman" w:hAnsi="Times New Roman" w:eastAsia="宋体"/>
                <w:spacing w:val="0"/>
                <w:kern w:val="0"/>
                <w:sz w:val="18"/>
                <w:szCs w:val="18"/>
              </w:rPr>
              <w:t>9</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x</w:t>
            </w:r>
            <w:r>
              <w:rPr>
                <w:rFonts w:ascii="Times New Roman" w:hAnsi="Times New Roman" w:eastAsia="宋体"/>
                <w:spacing w:val="0"/>
                <w:kern w:val="0"/>
                <w:sz w:val="18"/>
                <w:szCs w:val="18"/>
              </w:rPr>
              <w:t>0</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x</w:t>
            </w:r>
            <w:r>
              <w:rPr>
                <w:rFonts w:ascii="Times New Roman" w:hAnsi="Times New Roman" w:eastAsia="宋体"/>
                <w:spacing w:val="0"/>
                <w:kern w:val="0"/>
                <w:sz w:val="18"/>
                <w:szCs w:val="18"/>
              </w:rPr>
              <w:t>1</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x</w:t>
            </w:r>
            <w:r>
              <w:rPr>
                <w:rFonts w:ascii="Times New Roman" w:hAnsi="Times New Roman" w:eastAsia="宋体"/>
                <w:spacing w:val="0"/>
                <w:kern w:val="0"/>
                <w:sz w:val="18"/>
                <w:szCs w:val="18"/>
              </w:rPr>
              <w:t>2</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20</w:t>
            </w:r>
            <w:r>
              <w:rPr>
                <w:rFonts w:hint="eastAsia" w:ascii="Times New Roman" w:hAnsi="Times New Roman" w:eastAsia="宋体"/>
                <w:spacing w:val="0"/>
                <w:kern w:val="0"/>
                <w:sz w:val="18"/>
                <w:szCs w:val="18"/>
              </w:rPr>
              <w:t>x</w:t>
            </w:r>
            <w:r>
              <w:rPr>
                <w:rFonts w:ascii="Times New Roman" w:hAnsi="Times New Roman" w:eastAsia="宋体"/>
                <w:spacing w:val="0"/>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000166.SZ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申万宏源</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37.23%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28.29%</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36.44%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44.82%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50.26%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000686.SZ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东北证券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47.71%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33.80%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52.58%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119.37%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83.49%</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000728.SZ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国元证券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43.28%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33.71%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40.25%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51.73%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63.70%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000750.SZ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国海证券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120.65%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41.07%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64.76%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83.91%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81.32%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000776.SZ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广发证券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13.90%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29.32%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35.72%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52.00%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52.32%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000783.SZ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长江证券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39.65%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38.79%</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41.43%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67.22%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56.42%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002500.SZ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山西证券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44.57%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36.44%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45.55%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63.07%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69.17%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002673.SZ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西部证券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40.86%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34.14%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48.21%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63.85%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70.65%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002736.SZ</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国信证券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42.47%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32.14%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42.35%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54.46%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57.16%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600030.SH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中信证券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23.25%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24.73%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22.92%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27.46%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45.37%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600109.SH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国金证券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30.20%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46.50%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68.15%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70.54%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600369.SH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西南证券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76.92%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33.95%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40.31%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81.50%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61.81%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600837.SH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海通证券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35.12%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41.66%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39.08%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37.47%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600999.SH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招商证券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41.26%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34.30%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34.08%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44.62%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51.23%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601099.SH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太平洋</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63.73%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75.38%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601198.SH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东兴证券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53.36%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44.79%</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50.05%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49.43%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58.10%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601377.SH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兴业证券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60.76%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41.61%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52.45%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65.86%</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66.80%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601555.SH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东吴证券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54.67%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43.50%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51.08%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68.53%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69.90%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601688.SH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华泰证券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38.94%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34.94%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38.63%</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47.35%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56.41%</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601788.SH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光大证券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39.14%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28.62%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36.28%</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40.75%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56.60%</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63.42%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106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Times New Roman" w:eastAsia="宋体"/>
                <w:spacing w:val="0"/>
                <w:kern w:val="0"/>
                <w:sz w:val="18"/>
                <w:szCs w:val="18"/>
              </w:rPr>
              <w:t>601901.SH</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Times New Roman" w:hAnsi="Times New Roman" w:eastAsia="宋体"/>
                <w:spacing w:val="0"/>
                <w:kern w:val="0"/>
                <w:sz w:val="18"/>
                <w:szCs w:val="18"/>
              </w:rPr>
            </w:pPr>
            <w:r>
              <w:rPr>
                <w:rFonts w:ascii="Times New Roman" w:hAnsi="宋体" w:eastAsia="宋体"/>
                <w:spacing w:val="0"/>
                <w:kern w:val="0"/>
                <w:sz w:val="18"/>
                <w:szCs w:val="18"/>
              </w:rPr>
              <w:t>方正证券</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48.82%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36.04%</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35.85%</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79.47%</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59.52%</w:t>
            </w:r>
          </w:p>
        </w:tc>
        <w:tc>
          <w:tcPr>
            <w:tcW w:w="1080" w:type="dxa"/>
            <w:tcBorders>
              <w:top w:val="nil"/>
              <w:left w:val="nil"/>
              <w:bottom w:val="single" w:color="auto" w:sz="4" w:space="0"/>
              <w:right w:val="single" w:color="auto" w:sz="4" w:space="0"/>
            </w:tcBorders>
            <w:vAlign w:val="center"/>
          </w:tcPr>
          <w:p>
            <w:pPr>
              <w:widowControl/>
              <w:spacing w:line="240" w:lineRule="auto"/>
              <w:jc w:val="right"/>
              <w:rPr>
                <w:rFonts w:ascii="Times New Roman" w:hAnsi="Times New Roman" w:eastAsia="宋体"/>
                <w:spacing w:val="0"/>
                <w:kern w:val="0"/>
                <w:sz w:val="18"/>
                <w:szCs w:val="18"/>
              </w:rPr>
            </w:pPr>
            <w:r>
              <w:rPr>
                <w:rFonts w:ascii="Times New Roman" w:hAnsi="Times New Roman" w:eastAsia="宋体"/>
                <w:spacing w:val="0"/>
                <w:kern w:val="0"/>
                <w:sz w:val="18"/>
                <w:szCs w:val="18"/>
              </w:rPr>
              <w:t>41.30%</w:t>
            </w:r>
          </w:p>
        </w:tc>
      </w:tr>
    </w:tbl>
    <w:p>
      <w:pPr>
        <w:spacing w:line="360" w:lineRule="auto"/>
        <w:ind w:firstLine="584" w:firstLineChars="200"/>
        <w:rPr>
          <w:rFonts w:ascii="Times New Roman" w:hAnsi="Times New Roman"/>
          <w:sz w:val="28"/>
          <w:szCs w:val="28"/>
          <w:lang w:val="zh-CN"/>
        </w:rPr>
      </w:pPr>
    </w:p>
    <w:p>
      <w:pPr>
        <w:spacing w:line="360" w:lineRule="auto"/>
        <w:ind w:firstLine="584" w:firstLineChars="200"/>
        <w:rPr>
          <w:rFonts w:ascii="Times New Roman" w:hAnsi="Times New Roman"/>
          <w:sz w:val="28"/>
          <w:szCs w:val="28"/>
          <w:lang w:val="zh-CN"/>
        </w:rPr>
      </w:pPr>
      <w:r>
        <w:rPr>
          <w:rFonts w:hint="eastAsia" w:ascii="Times New Roman" w:hAnsi="Times New Roman"/>
          <w:sz w:val="28"/>
          <w:szCs w:val="28"/>
          <w:lang w:val="zh-CN"/>
        </w:rPr>
        <w:t>将各年度各上市公司管理费用/营业收入比值绘制成散点图，可见这一比重大部分落在40%-60%区间内，平均值在50%左右。可以认定业务及管理费预测较为合理。</w:t>
      </w:r>
    </w:p>
    <w:p>
      <w:pPr>
        <w:spacing w:line="360" w:lineRule="auto"/>
        <w:ind w:firstLine="560" w:firstLineChars="200"/>
        <w:rPr>
          <w:rFonts w:ascii="Times New Roman" w:hAnsi="Times New Roman"/>
          <w:sz w:val="28"/>
          <w:szCs w:val="28"/>
          <w:lang w:val="zh-CN"/>
        </w:rPr>
      </w:pPr>
      <w:r>
        <w:rPr>
          <w:rFonts w:ascii="Times New Roman" w:hAnsi="Times New Roman" w:eastAsia="仿宋_GB2312" w:cs="Times New Roman"/>
          <w:spacing w:val="6"/>
          <w:kern w:val="2"/>
          <w:sz w:val="28"/>
          <w:szCs w:val="28"/>
          <w:lang w:val="en-US" w:eastAsia="zh-CN" w:bidi="ar-SA"/>
        </w:rPr>
        <w:pict>
          <v:shape id="图表 1" o:spid="_x0000_s1027" type="#_x0000_t75" style="height:216pt;width:360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360" w:lineRule="auto"/>
        <w:ind w:firstLine="584" w:firstLineChars="200"/>
        <w:rPr>
          <w:rFonts w:ascii="Times New Roman" w:hAnsi="Times New Roman"/>
          <w:sz w:val="28"/>
          <w:szCs w:val="28"/>
          <w:lang w:val="zh-CN"/>
        </w:rPr>
      </w:pPr>
    </w:p>
    <w:p>
      <w:pPr>
        <w:spacing w:line="360" w:lineRule="auto"/>
        <w:ind w:firstLine="584" w:firstLineChars="200"/>
        <w:rPr>
          <w:rFonts w:ascii="Times New Roman" w:hAnsi="Times New Roman"/>
          <w:sz w:val="28"/>
          <w:szCs w:val="28"/>
          <w:lang w:val="zh-CN"/>
        </w:rPr>
      </w:pPr>
      <w:r>
        <w:rPr>
          <w:rFonts w:hint="eastAsia" w:ascii="Times New Roman" w:hAnsi="Times New Roman"/>
          <w:sz w:val="28"/>
          <w:szCs w:val="28"/>
          <w:lang w:val="zh-CN"/>
        </w:rPr>
        <w:t>更进一步，将20y8-20x3年证券行业上市公司业务及管理费和营业收入进行线性回归分析，得到如下线性方程：</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y = 0.3017x + 400000000</w:t>
      </w:r>
    </w:p>
    <w:p>
      <w:pPr>
        <w:spacing w:line="360" w:lineRule="auto"/>
        <w:ind w:firstLine="584" w:firstLineChars="200"/>
        <w:rPr>
          <w:rFonts w:ascii="Times New Roman" w:hAnsi="Times New Roman"/>
          <w:sz w:val="28"/>
          <w:szCs w:val="28"/>
          <w:lang w:val="zh-CN"/>
        </w:rPr>
      </w:pPr>
      <w:r>
        <w:rPr>
          <w:rFonts w:ascii="Times New Roman" w:hAnsi="Times New Roman"/>
          <w:sz w:val="28"/>
          <w:szCs w:val="28"/>
          <w:lang w:val="zh-CN"/>
        </w:rPr>
        <w:t>R² = 0.8378</w:t>
      </w:r>
    </w:p>
    <w:p>
      <w:pPr>
        <w:spacing w:line="360" w:lineRule="auto"/>
        <w:ind w:firstLine="584" w:firstLineChars="200"/>
        <w:rPr>
          <w:rFonts w:ascii="Times New Roman" w:hAnsi="Times New Roman"/>
          <w:sz w:val="28"/>
          <w:szCs w:val="28"/>
          <w:lang w:val="zh-CN"/>
        </w:rPr>
      </w:pPr>
      <w:r>
        <w:rPr>
          <w:rFonts w:hint="eastAsia" w:ascii="Times New Roman" w:hAnsi="Times New Roman"/>
          <w:sz w:val="28"/>
          <w:szCs w:val="28"/>
          <w:lang w:val="zh-CN"/>
        </w:rPr>
        <w:t>其中：y=管理费用</w:t>
      </w:r>
    </w:p>
    <w:p>
      <w:pPr>
        <w:spacing w:line="360" w:lineRule="auto"/>
        <w:ind w:firstLine="584" w:firstLineChars="200"/>
        <w:rPr>
          <w:rFonts w:ascii="Times New Roman" w:hAnsi="Times New Roman"/>
          <w:sz w:val="28"/>
          <w:szCs w:val="28"/>
          <w:lang w:val="zh-CN"/>
        </w:rPr>
      </w:pPr>
      <w:r>
        <w:rPr>
          <w:rFonts w:hint="eastAsia" w:ascii="Times New Roman" w:hAnsi="Times New Roman"/>
          <w:sz w:val="28"/>
          <w:szCs w:val="28"/>
          <w:lang w:val="zh-CN"/>
        </w:rPr>
        <w:t xml:space="preserve">      x=营业收入</w:t>
      </w:r>
    </w:p>
    <w:p>
      <w:pPr>
        <w:spacing w:line="360" w:lineRule="auto"/>
        <w:ind w:firstLine="584" w:firstLineChars="200"/>
        <w:rPr>
          <w:rFonts w:ascii="Times New Roman" w:hAnsi="Times New Roman"/>
          <w:sz w:val="28"/>
          <w:szCs w:val="28"/>
          <w:lang w:val="zh-CN"/>
        </w:rPr>
      </w:pPr>
      <w:r>
        <w:rPr>
          <w:rFonts w:hint="eastAsia" w:ascii="Times New Roman" w:hAnsi="Times New Roman"/>
          <w:sz w:val="28"/>
          <w:szCs w:val="28"/>
          <w:lang w:val="zh-CN"/>
        </w:rPr>
        <w:t>可见管理费用和营业收入间存在良好的线性关系。</w:t>
      </w:r>
    </w:p>
    <w:p>
      <w:pPr>
        <w:spacing w:line="360" w:lineRule="auto"/>
        <w:jc w:val="center"/>
        <w:rPr>
          <w:rFonts w:ascii="Times New Roman" w:hAnsi="Times New Roman"/>
          <w:sz w:val="28"/>
          <w:szCs w:val="28"/>
          <w:lang w:val="zh-CN"/>
        </w:rPr>
      </w:pPr>
      <w:r>
        <w:rPr>
          <w:rFonts w:ascii="Times New Roman" w:hAnsi="Times New Roman" w:eastAsia="仿宋_GB2312" w:cs="Times New Roman"/>
          <w:spacing w:val="6"/>
          <w:kern w:val="2"/>
          <w:sz w:val="28"/>
          <w:szCs w:val="28"/>
          <w:lang w:val="en-US" w:eastAsia="zh-CN" w:bidi="ar-SA"/>
        </w:rPr>
        <w:pict>
          <v:shape id="Picture 3" o:spid="_x0000_s1028" type="#_x0000_t75" style="height:198.75pt;width:336.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360" w:lineRule="auto"/>
        <w:ind w:firstLine="584" w:firstLineChars="200"/>
        <w:rPr>
          <w:rFonts w:ascii="Times New Roman" w:hAnsi="Times New Roman"/>
          <w:sz w:val="28"/>
          <w:szCs w:val="28"/>
          <w:lang w:val="zh-CN"/>
        </w:rPr>
      </w:pPr>
    </w:p>
    <w:sectPr>
      <w:footerReference r:id="rId4" w:type="default"/>
      <w:footerReference r:id="rId5"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2055" w:wrap="around" w:vAnchor="text" w:hAnchor="page" w:x="8440" w:y="-355"/>
      <w:spacing w:line="0" w:lineRule="atLeast"/>
      <w:ind w:right="345"/>
      <w:jc w:val="right"/>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r>
      <w:rPr>
        <w:rStyle w:val="23"/>
        <w:rFonts w:hint="eastAsia"/>
      </w:rPr>
      <w:t xml:space="preserve"> </w:t>
    </w:r>
    <w:r>
      <w:rPr>
        <w:rStyle w:val="23"/>
        <w:rFonts w:hint="eastAsia" w:ascii="仿宋_GB2312"/>
      </w:rPr>
      <w:t>—</w:t>
    </w:r>
  </w:p>
  <w:p>
    <w:pPr>
      <w:pStyle w:val="16"/>
      <w:tabs>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1596" w:wrap="around" w:vAnchor="text" w:hAnchor="page" w:x="1885" w:y="-415"/>
      <w:jc w:val="both"/>
      <w:rPr>
        <w:rStyle w:val="23"/>
      </w:rPr>
    </w:pPr>
    <w:r>
      <w:rPr>
        <w:rStyle w:val="23"/>
        <w:rFonts w:hint="eastAsia" w:ascii="仿宋_GB2312"/>
      </w:rPr>
      <w:t xml:space="preserve">— </w:t>
    </w:r>
    <w:r>
      <w:rPr>
        <w:rStyle w:val="23"/>
      </w:rPr>
      <w:fldChar w:fldCharType="begin"/>
    </w:r>
    <w:r>
      <w:rPr>
        <w:rStyle w:val="23"/>
      </w:rPr>
      <w:instrText xml:space="preserve">PAGE  </w:instrText>
    </w:r>
    <w:r>
      <w:rPr>
        <w:rStyle w:val="23"/>
      </w:rPr>
      <w:fldChar w:fldCharType="separate"/>
    </w:r>
    <w:r>
      <w:rPr>
        <w:rStyle w:val="23"/>
      </w:rPr>
      <w:t>8</w:t>
    </w:r>
    <w:r>
      <w:rPr>
        <w:rStyle w:val="23"/>
      </w:rPr>
      <w:fldChar w:fldCharType="end"/>
    </w:r>
    <w:r>
      <w:rPr>
        <w:rStyle w:val="23"/>
        <w:rFonts w:hint="eastAsia"/>
      </w:rPr>
      <w:t xml:space="preserve"> </w:t>
    </w:r>
    <w:r>
      <w:rPr>
        <w:rStyle w:val="23"/>
        <w:rFonts w:hint="eastAsia" w:ascii="仿宋_GB2312"/>
      </w:rPr>
      <w:t>—</w:t>
    </w:r>
  </w:p>
  <w:p>
    <w:pPr>
      <w:pStyle w:val="1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C55E4"/>
    <w:rsid w:val="0002508C"/>
    <w:rsid w:val="0014446E"/>
    <w:rsid w:val="001642F7"/>
    <w:rsid w:val="001700BD"/>
    <w:rsid w:val="001A03B1"/>
    <w:rsid w:val="001B3582"/>
    <w:rsid w:val="001E50A4"/>
    <w:rsid w:val="00220D32"/>
    <w:rsid w:val="002A42AF"/>
    <w:rsid w:val="002F3865"/>
    <w:rsid w:val="00385ACC"/>
    <w:rsid w:val="003A0D47"/>
    <w:rsid w:val="003E3244"/>
    <w:rsid w:val="003E5467"/>
    <w:rsid w:val="00406142"/>
    <w:rsid w:val="00445A86"/>
    <w:rsid w:val="00471B53"/>
    <w:rsid w:val="00496A2C"/>
    <w:rsid w:val="004A38BA"/>
    <w:rsid w:val="004D4E14"/>
    <w:rsid w:val="004F3359"/>
    <w:rsid w:val="00572ECF"/>
    <w:rsid w:val="005E05AC"/>
    <w:rsid w:val="006530CE"/>
    <w:rsid w:val="007063FC"/>
    <w:rsid w:val="007A5AE7"/>
    <w:rsid w:val="00830694"/>
    <w:rsid w:val="008362B3"/>
    <w:rsid w:val="0086259B"/>
    <w:rsid w:val="0087220A"/>
    <w:rsid w:val="008D4B66"/>
    <w:rsid w:val="00935A80"/>
    <w:rsid w:val="009A2333"/>
    <w:rsid w:val="009A7C1B"/>
    <w:rsid w:val="009D3252"/>
    <w:rsid w:val="009E3591"/>
    <w:rsid w:val="00A832B5"/>
    <w:rsid w:val="00A94823"/>
    <w:rsid w:val="00C43EB3"/>
    <w:rsid w:val="00C85755"/>
    <w:rsid w:val="00CD7581"/>
    <w:rsid w:val="00D34196"/>
    <w:rsid w:val="00D44304"/>
    <w:rsid w:val="00D661A0"/>
    <w:rsid w:val="00DD1B36"/>
    <w:rsid w:val="00E26DA2"/>
    <w:rsid w:val="00E44498"/>
    <w:rsid w:val="00EA7872"/>
    <w:rsid w:val="00ED2CAE"/>
    <w:rsid w:val="00F4346B"/>
    <w:rsid w:val="00F6419B"/>
    <w:rsid w:val="00FC55E4"/>
    <w:rsid w:val="026F45B5"/>
    <w:rsid w:val="13A57B0E"/>
    <w:rsid w:val="1D946DA7"/>
    <w:rsid w:val="25575CD2"/>
    <w:rsid w:val="2F424F98"/>
    <w:rsid w:val="30D41EAC"/>
    <w:rsid w:val="32DD16FE"/>
    <w:rsid w:val="332E4ECB"/>
    <w:rsid w:val="33D972CE"/>
    <w:rsid w:val="365819C7"/>
    <w:rsid w:val="38896926"/>
    <w:rsid w:val="3BAD4371"/>
    <w:rsid w:val="3F9625DF"/>
    <w:rsid w:val="47210E42"/>
    <w:rsid w:val="59D241BE"/>
    <w:rsid w:val="637F0FCD"/>
    <w:rsid w:val="65F56152"/>
    <w:rsid w:val="670761F8"/>
    <w:rsid w:val="67E642CC"/>
    <w:rsid w:val="6808013C"/>
    <w:rsid w:val="6B29761E"/>
    <w:rsid w:val="71634A0C"/>
    <w:rsid w:val="77D00E5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semiHidden="0" w:name="footnote text"/>
    <w:lsdException w:uiPriority="0" w:semiHidden="0" w:name="annotation text"/>
    <w:lsdException w:uiPriority="99" w:semiHidden="0" w:name="header"/>
    <w:lsdException w:uiPriority="99"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semiHidden="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3"/>
    <w:qFormat/>
    <w:uiPriority w:val="9"/>
    <w:pPr>
      <w:keepNext/>
      <w:widowControl/>
      <w:adjustRightInd/>
      <w:snapToGrid/>
      <w:spacing w:before="240" w:after="60" w:line="240" w:lineRule="auto"/>
      <w:jc w:val="left"/>
      <w:outlineLvl w:val="0"/>
    </w:pPr>
    <w:rPr>
      <w:rFonts w:ascii="Cambria" w:hAnsi="Cambria" w:eastAsia="宋体"/>
      <w:b/>
      <w:bCs/>
      <w:spacing w:val="0"/>
      <w:kern w:val="32"/>
      <w:sz w:val="32"/>
      <w:szCs w:val="32"/>
    </w:rPr>
  </w:style>
  <w:style w:type="paragraph" w:styleId="3">
    <w:name w:val="heading 2"/>
    <w:basedOn w:val="1"/>
    <w:next w:val="1"/>
    <w:link w:val="34"/>
    <w:unhideWhenUsed/>
    <w:qFormat/>
    <w:uiPriority w:val="9"/>
    <w:pPr>
      <w:keepNext/>
      <w:widowControl/>
      <w:adjustRightInd/>
      <w:snapToGrid/>
      <w:spacing w:before="240" w:after="60" w:line="240" w:lineRule="auto"/>
      <w:jc w:val="left"/>
      <w:outlineLvl w:val="1"/>
    </w:pPr>
    <w:rPr>
      <w:rFonts w:ascii="Cambria" w:hAnsi="Cambria" w:eastAsia="宋体"/>
      <w:b/>
      <w:bCs/>
      <w:i/>
      <w:iCs/>
      <w:spacing w:val="0"/>
      <w:kern w:val="0"/>
      <w:sz w:val="28"/>
      <w:szCs w:val="28"/>
    </w:rPr>
  </w:style>
  <w:style w:type="paragraph" w:styleId="4">
    <w:name w:val="heading 3"/>
    <w:basedOn w:val="1"/>
    <w:next w:val="1"/>
    <w:link w:val="35"/>
    <w:unhideWhenUsed/>
    <w:qFormat/>
    <w:uiPriority w:val="9"/>
    <w:pPr>
      <w:keepNext/>
      <w:widowControl/>
      <w:adjustRightInd/>
      <w:snapToGrid/>
      <w:spacing w:before="240" w:after="60" w:line="240" w:lineRule="auto"/>
      <w:jc w:val="left"/>
      <w:outlineLvl w:val="2"/>
    </w:pPr>
    <w:rPr>
      <w:rFonts w:ascii="Cambria" w:hAnsi="Cambria" w:eastAsia="宋体"/>
      <w:b/>
      <w:bCs/>
      <w:spacing w:val="0"/>
      <w:kern w:val="0"/>
      <w:sz w:val="26"/>
      <w:szCs w:val="26"/>
    </w:rPr>
  </w:style>
  <w:style w:type="paragraph" w:styleId="5">
    <w:name w:val="heading 4"/>
    <w:basedOn w:val="1"/>
    <w:next w:val="1"/>
    <w:link w:val="36"/>
    <w:unhideWhenUsed/>
    <w:qFormat/>
    <w:uiPriority w:val="9"/>
    <w:pPr>
      <w:keepNext/>
      <w:widowControl/>
      <w:adjustRightInd/>
      <w:snapToGrid/>
      <w:spacing w:before="240" w:after="60" w:line="240" w:lineRule="auto"/>
      <w:jc w:val="left"/>
      <w:outlineLvl w:val="3"/>
    </w:pPr>
    <w:rPr>
      <w:rFonts w:ascii="Times New Roman" w:hAnsi="Times New Roman" w:eastAsia="宋体"/>
      <w:b/>
      <w:bCs/>
      <w:spacing w:val="0"/>
      <w:kern w:val="0"/>
      <w:sz w:val="28"/>
      <w:szCs w:val="28"/>
    </w:rPr>
  </w:style>
  <w:style w:type="paragraph" w:styleId="6">
    <w:name w:val="heading 5"/>
    <w:basedOn w:val="1"/>
    <w:next w:val="1"/>
    <w:link w:val="37"/>
    <w:unhideWhenUsed/>
    <w:qFormat/>
    <w:uiPriority w:val="9"/>
    <w:pPr>
      <w:widowControl/>
      <w:adjustRightInd/>
      <w:snapToGrid/>
      <w:spacing w:before="240" w:after="60" w:line="240" w:lineRule="auto"/>
      <w:jc w:val="left"/>
      <w:outlineLvl w:val="4"/>
    </w:pPr>
    <w:rPr>
      <w:rFonts w:ascii="Times New Roman" w:hAnsi="Times New Roman" w:eastAsia="宋体"/>
      <w:b/>
      <w:bCs/>
      <w:i/>
      <w:iCs/>
      <w:spacing w:val="0"/>
      <w:kern w:val="0"/>
      <w:sz w:val="26"/>
      <w:szCs w:val="26"/>
    </w:rPr>
  </w:style>
  <w:style w:type="paragraph" w:styleId="7">
    <w:name w:val="heading 6"/>
    <w:basedOn w:val="1"/>
    <w:next w:val="1"/>
    <w:link w:val="38"/>
    <w:unhideWhenUsed/>
    <w:qFormat/>
    <w:uiPriority w:val="9"/>
    <w:pPr>
      <w:widowControl/>
      <w:adjustRightInd/>
      <w:snapToGrid/>
      <w:spacing w:before="240" w:after="60" w:line="240" w:lineRule="auto"/>
      <w:jc w:val="left"/>
      <w:outlineLvl w:val="5"/>
    </w:pPr>
    <w:rPr>
      <w:rFonts w:ascii="Times New Roman" w:hAnsi="Times New Roman" w:eastAsia="宋体"/>
      <w:b/>
      <w:bCs/>
      <w:spacing w:val="0"/>
      <w:kern w:val="0"/>
      <w:sz w:val="20"/>
      <w:szCs w:val="20"/>
    </w:rPr>
  </w:style>
  <w:style w:type="paragraph" w:styleId="8">
    <w:name w:val="heading 7"/>
    <w:basedOn w:val="1"/>
    <w:next w:val="1"/>
    <w:link w:val="39"/>
    <w:unhideWhenUsed/>
    <w:qFormat/>
    <w:uiPriority w:val="9"/>
    <w:pPr>
      <w:widowControl/>
      <w:adjustRightInd/>
      <w:snapToGrid/>
      <w:spacing w:before="240" w:after="60" w:line="240" w:lineRule="auto"/>
      <w:jc w:val="left"/>
      <w:outlineLvl w:val="6"/>
    </w:pPr>
    <w:rPr>
      <w:rFonts w:ascii="Times New Roman" w:hAnsi="Times New Roman" w:eastAsia="宋体"/>
      <w:spacing w:val="0"/>
      <w:kern w:val="0"/>
      <w:sz w:val="24"/>
    </w:rPr>
  </w:style>
  <w:style w:type="paragraph" w:styleId="9">
    <w:name w:val="heading 8"/>
    <w:basedOn w:val="1"/>
    <w:next w:val="1"/>
    <w:link w:val="40"/>
    <w:unhideWhenUsed/>
    <w:qFormat/>
    <w:uiPriority w:val="9"/>
    <w:pPr>
      <w:widowControl/>
      <w:adjustRightInd/>
      <w:snapToGrid/>
      <w:spacing w:before="240" w:after="60" w:line="240" w:lineRule="auto"/>
      <w:jc w:val="left"/>
      <w:outlineLvl w:val="7"/>
    </w:pPr>
    <w:rPr>
      <w:rFonts w:ascii="Times New Roman" w:hAnsi="Times New Roman" w:eastAsia="宋体"/>
      <w:i/>
      <w:iCs/>
      <w:spacing w:val="0"/>
      <w:kern w:val="0"/>
      <w:sz w:val="24"/>
    </w:rPr>
  </w:style>
  <w:style w:type="paragraph" w:styleId="10">
    <w:name w:val="heading 9"/>
    <w:basedOn w:val="1"/>
    <w:next w:val="1"/>
    <w:link w:val="41"/>
    <w:unhideWhenUsed/>
    <w:qFormat/>
    <w:uiPriority w:val="9"/>
    <w:pPr>
      <w:widowControl/>
      <w:adjustRightInd/>
      <w:snapToGrid/>
      <w:spacing w:before="240" w:after="60" w:line="240" w:lineRule="auto"/>
      <w:jc w:val="left"/>
      <w:outlineLvl w:val="8"/>
    </w:pPr>
    <w:rPr>
      <w:rFonts w:ascii="Cambria" w:hAnsi="Cambria" w:eastAsia="宋体"/>
      <w:spacing w:val="0"/>
      <w:kern w:val="0"/>
      <w:sz w:val="20"/>
      <w:szCs w:val="20"/>
    </w:rPr>
  </w:style>
  <w:style w:type="character" w:default="1" w:styleId="21">
    <w:name w:val="Default Paragraph Font"/>
    <w:unhideWhenUsed/>
    <w:uiPriority w:val="1"/>
  </w:style>
  <w:style w:type="table" w:default="1" w:styleId="27">
    <w:name w:val="Normal Table"/>
    <w:unhideWhenUsed/>
    <w:qFormat/>
    <w:uiPriority w:val="99"/>
    <w:tblPr>
      <w:tblStyle w:val="27"/>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57"/>
    <w:unhideWhenUsed/>
    <w:uiPriority w:val="0"/>
    <w:rPr>
      <w:b/>
      <w:bCs/>
    </w:rPr>
  </w:style>
  <w:style w:type="paragraph" w:styleId="12">
    <w:name w:val="annotation text"/>
    <w:basedOn w:val="1"/>
    <w:link w:val="56"/>
    <w:unhideWhenUsed/>
    <w:uiPriority w:val="0"/>
    <w:pPr>
      <w:jc w:val="left"/>
    </w:pPr>
  </w:style>
  <w:style w:type="paragraph" w:styleId="13">
    <w:name w:val="Document Map"/>
    <w:basedOn w:val="1"/>
    <w:link w:val="55"/>
    <w:unhideWhenUsed/>
    <w:uiPriority w:val="0"/>
    <w:rPr>
      <w:rFonts w:eastAsia="宋体"/>
      <w:sz w:val="18"/>
      <w:szCs w:val="18"/>
    </w:rPr>
  </w:style>
  <w:style w:type="paragraph" w:styleId="14">
    <w:name w:val="Body Text"/>
    <w:basedOn w:val="1"/>
    <w:link w:val="53"/>
    <w:uiPriority w:val="0"/>
  </w:style>
  <w:style w:type="paragraph" w:styleId="15">
    <w:name w:val="Balloon Text"/>
    <w:basedOn w:val="1"/>
    <w:link w:val="54"/>
    <w:unhideWhenUsed/>
    <w:uiPriority w:val="0"/>
    <w:pPr>
      <w:spacing w:line="240" w:lineRule="auto"/>
    </w:pPr>
    <w:rPr>
      <w:sz w:val="18"/>
      <w:szCs w:val="18"/>
    </w:rPr>
  </w:style>
  <w:style w:type="paragraph" w:styleId="16">
    <w:name w:val="footer"/>
    <w:basedOn w:val="1"/>
    <w:link w:val="52"/>
    <w:unhideWhenUsed/>
    <w:uiPriority w:val="99"/>
    <w:pPr>
      <w:widowControl/>
      <w:tabs>
        <w:tab w:val="center" w:pos="4153"/>
        <w:tab w:val="right" w:pos="8306"/>
      </w:tabs>
      <w:adjustRightInd/>
      <w:spacing w:line="240" w:lineRule="auto"/>
      <w:jc w:val="left"/>
    </w:pPr>
    <w:rPr>
      <w:rFonts w:ascii="Times New Roman" w:hAnsi="Times New Roman" w:eastAsia="宋体"/>
      <w:spacing w:val="0"/>
      <w:kern w:val="0"/>
      <w:sz w:val="18"/>
      <w:szCs w:val="18"/>
    </w:rPr>
  </w:style>
  <w:style w:type="paragraph" w:styleId="17">
    <w:name w:val="header"/>
    <w:basedOn w:val="1"/>
    <w:link w:val="51"/>
    <w:unhideWhenUsed/>
    <w:uiPriority w:val="99"/>
    <w:pPr>
      <w:widowControl/>
      <w:pBdr>
        <w:bottom w:val="single" w:color="auto" w:sz="6" w:space="1"/>
      </w:pBdr>
      <w:tabs>
        <w:tab w:val="center" w:pos="4153"/>
        <w:tab w:val="right" w:pos="8306"/>
      </w:tabs>
      <w:adjustRightInd/>
      <w:spacing w:line="240" w:lineRule="auto"/>
      <w:jc w:val="center"/>
    </w:pPr>
    <w:rPr>
      <w:rFonts w:ascii="Times New Roman" w:hAnsi="Times New Roman" w:eastAsia="宋体"/>
      <w:spacing w:val="0"/>
      <w:kern w:val="0"/>
      <w:sz w:val="18"/>
      <w:szCs w:val="18"/>
    </w:rPr>
  </w:style>
  <w:style w:type="paragraph" w:styleId="18">
    <w:name w:val="Subtitle"/>
    <w:basedOn w:val="1"/>
    <w:next w:val="1"/>
    <w:link w:val="43"/>
    <w:qFormat/>
    <w:uiPriority w:val="11"/>
    <w:pPr>
      <w:widowControl/>
      <w:adjustRightInd/>
      <w:snapToGrid/>
      <w:spacing w:after="60" w:line="240" w:lineRule="auto"/>
      <w:jc w:val="center"/>
      <w:outlineLvl w:val="1"/>
    </w:pPr>
    <w:rPr>
      <w:rFonts w:ascii="Cambria" w:hAnsi="Cambria" w:eastAsia="宋体"/>
      <w:spacing w:val="0"/>
      <w:kern w:val="0"/>
      <w:sz w:val="24"/>
    </w:rPr>
  </w:style>
  <w:style w:type="paragraph" w:styleId="19">
    <w:name w:val="footnote text"/>
    <w:basedOn w:val="1"/>
    <w:unhideWhenUsed/>
    <w:uiPriority w:val="0"/>
    <w:pPr>
      <w:jc w:val="left"/>
    </w:pPr>
    <w:rPr>
      <w:sz w:val="18"/>
      <w:szCs w:val="18"/>
    </w:rPr>
  </w:style>
  <w:style w:type="paragraph" w:styleId="20">
    <w:name w:val="Title"/>
    <w:basedOn w:val="1"/>
    <w:next w:val="1"/>
    <w:link w:val="42"/>
    <w:qFormat/>
    <w:uiPriority w:val="10"/>
    <w:pPr>
      <w:widowControl/>
      <w:adjustRightInd/>
      <w:snapToGrid/>
      <w:spacing w:before="240" w:after="60" w:line="240" w:lineRule="auto"/>
      <w:jc w:val="center"/>
      <w:outlineLvl w:val="0"/>
    </w:pPr>
    <w:rPr>
      <w:rFonts w:ascii="Cambria" w:hAnsi="Cambria" w:eastAsia="宋体"/>
      <w:b/>
      <w:bCs/>
      <w:spacing w:val="0"/>
      <w:kern w:val="28"/>
      <w:sz w:val="32"/>
      <w:szCs w:val="32"/>
    </w:rPr>
  </w:style>
  <w:style w:type="character" w:styleId="22">
    <w:name w:val="Strong"/>
    <w:qFormat/>
    <w:uiPriority w:val="22"/>
    <w:rPr>
      <w:b/>
      <w:bCs/>
    </w:rPr>
  </w:style>
  <w:style w:type="character" w:styleId="23">
    <w:name w:val="page number"/>
    <w:basedOn w:val="21"/>
    <w:uiPriority w:val="0"/>
    <w:rPr/>
  </w:style>
  <w:style w:type="character" w:styleId="24">
    <w:name w:val="Emphasis"/>
    <w:qFormat/>
    <w:uiPriority w:val="20"/>
    <w:rPr>
      <w:rFonts w:ascii="Calibri" w:hAnsi="Calibri"/>
      <w:b/>
      <w:i/>
      <w:iCs/>
    </w:rPr>
  </w:style>
  <w:style w:type="character" w:styleId="25">
    <w:name w:val="annotation reference"/>
    <w:unhideWhenUsed/>
    <w:uiPriority w:val="0"/>
    <w:rPr>
      <w:sz w:val="21"/>
      <w:szCs w:val="21"/>
    </w:rPr>
  </w:style>
  <w:style w:type="character" w:styleId="26">
    <w:name w:val="footnote reference"/>
    <w:unhideWhenUsed/>
    <w:uiPriority w:val="0"/>
    <w:rPr>
      <w:vertAlign w:val="superscript"/>
    </w:rPr>
  </w:style>
  <w:style w:type="paragraph" w:customStyle="1" w:styleId="28">
    <w:name w:val="列出段落1"/>
    <w:basedOn w:val="1"/>
    <w:qFormat/>
    <w:uiPriority w:val="34"/>
    <w:pPr>
      <w:widowControl/>
      <w:adjustRightInd/>
      <w:snapToGrid/>
      <w:spacing w:line="240" w:lineRule="auto"/>
      <w:ind w:left="720"/>
      <w:contextualSpacing/>
      <w:jc w:val="left"/>
    </w:pPr>
    <w:rPr>
      <w:rFonts w:ascii="Calibri" w:hAnsi="Calibri" w:eastAsia="宋体"/>
      <w:spacing w:val="0"/>
      <w:kern w:val="0"/>
      <w:sz w:val="24"/>
    </w:rPr>
  </w:style>
  <w:style w:type="paragraph" w:customStyle="1" w:styleId="29">
    <w:name w:val="无间隔1"/>
    <w:basedOn w:val="1"/>
    <w:qFormat/>
    <w:uiPriority w:val="1"/>
    <w:pPr>
      <w:widowControl/>
      <w:adjustRightInd/>
      <w:snapToGrid/>
      <w:spacing w:line="240" w:lineRule="auto"/>
      <w:jc w:val="left"/>
    </w:pPr>
    <w:rPr>
      <w:rFonts w:ascii="Calibri" w:hAnsi="Calibri" w:eastAsia="宋体"/>
      <w:spacing w:val="0"/>
      <w:kern w:val="0"/>
      <w:sz w:val="24"/>
      <w:szCs w:val="32"/>
    </w:rPr>
  </w:style>
  <w:style w:type="paragraph" w:customStyle="1" w:styleId="30">
    <w:name w:val="引用1"/>
    <w:basedOn w:val="1"/>
    <w:next w:val="1"/>
    <w:link w:val="44"/>
    <w:qFormat/>
    <w:uiPriority w:val="29"/>
    <w:pPr>
      <w:widowControl/>
      <w:adjustRightInd/>
      <w:snapToGrid/>
      <w:spacing w:line="240" w:lineRule="auto"/>
      <w:jc w:val="left"/>
    </w:pPr>
    <w:rPr>
      <w:rFonts w:ascii="Times New Roman" w:hAnsi="Times New Roman" w:eastAsia="宋体"/>
      <w:i/>
      <w:spacing w:val="0"/>
      <w:kern w:val="0"/>
      <w:sz w:val="24"/>
    </w:rPr>
  </w:style>
  <w:style w:type="paragraph" w:customStyle="1" w:styleId="31">
    <w:name w:val="明显引用1"/>
    <w:basedOn w:val="1"/>
    <w:next w:val="1"/>
    <w:link w:val="45"/>
    <w:qFormat/>
    <w:uiPriority w:val="30"/>
    <w:pPr>
      <w:widowControl/>
      <w:adjustRightInd/>
      <w:snapToGrid/>
      <w:spacing w:line="240" w:lineRule="auto"/>
      <w:ind w:left="720" w:right="720"/>
      <w:jc w:val="left"/>
    </w:pPr>
    <w:rPr>
      <w:rFonts w:ascii="Times New Roman" w:hAnsi="Times New Roman" w:eastAsia="宋体"/>
      <w:b/>
      <w:i/>
      <w:spacing w:val="0"/>
      <w:kern w:val="0"/>
      <w:sz w:val="24"/>
      <w:szCs w:val="20"/>
    </w:rPr>
  </w:style>
  <w:style w:type="paragraph" w:customStyle="1" w:styleId="32">
    <w:name w:val="TOC 标题1"/>
    <w:basedOn w:val="2"/>
    <w:next w:val="1"/>
    <w:unhideWhenUsed/>
    <w:qFormat/>
    <w:uiPriority w:val="39"/>
    <w:pPr>
      <w:outlineLvl w:val="9"/>
    </w:pPr>
  </w:style>
  <w:style w:type="character" w:customStyle="1" w:styleId="33">
    <w:name w:val="标题 1 Char"/>
    <w:link w:val="2"/>
    <w:uiPriority w:val="9"/>
    <w:rPr>
      <w:rFonts w:ascii="Cambria" w:hAnsi="Cambria" w:eastAsia="宋体" w:cs="黑体"/>
      <w:b/>
      <w:bCs/>
      <w:kern w:val="32"/>
      <w:sz w:val="32"/>
      <w:szCs w:val="32"/>
    </w:rPr>
  </w:style>
  <w:style w:type="character" w:customStyle="1" w:styleId="34">
    <w:name w:val="标题 2 Char"/>
    <w:link w:val="3"/>
    <w:semiHidden/>
    <w:uiPriority w:val="9"/>
    <w:rPr>
      <w:rFonts w:ascii="Cambria" w:hAnsi="Cambria" w:eastAsia="宋体" w:cs="黑体"/>
      <w:b/>
      <w:bCs/>
      <w:i/>
      <w:iCs/>
      <w:sz w:val="28"/>
      <w:szCs w:val="28"/>
    </w:rPr>
  </w:style>
  <w:style w:type="character" w:customStyle="1" w:styleId="35">
    <w:name w:val="标题 3 Char"/>
    <w:link w:val="4"/>
    <w:semiHidden/>
    <w:uiPriority w:val="9"/>
    <w:rPr>
      <w:rFonts w:ascii="Cambria" w:hAnsi="Cambria" w:eastAsia="宋体" w:cs="黑体"/>
      <w:b/>
      <w:bCs/>
      <w:sz w:val="26"/>
      <w:szCs w:val="26"/>
    </w:rPr>
  </w:style>
  <w:style w:type="character" w:customStyle="1" w:styleId="36">
    <w:name w:val="标题 4 Char"/>
    <w:link w:val="5"/>
    <w:semiHidden/>
    <w:uiPriority w:val="9"/>
    <w:rPr>
      <w:rFonts w:cs="黑体"/>
      <w:b/>
      <w:bCs/>
      <w:sz w:val="28"/>
      <w:szCs w:val="28"/>
    </w:rPr>
  </w:style>
  <w:style w:type="character" w:customStyle="1" w:styleId="37">
    <w:name w:val="标题 5 Char"/>
    <w:link w:val="6"/>
    <w:semiHidden/>
    <w:uiPriority w:val="9"/>
    <w:rPr>
      <w:rFonts w:cs="黑体"/>
      <w:b/>
      <w:bCs/>
      <w:i/>
      <w:iCs/>
      <w:sz w:val="26"/>
      <w:szCs w:val="26"/>
    </w:rPr>
  </w:style>
  <w:style w:type="character" w:customStyle="1" w:styleId="38">
    <w:name w:val="标题 6 Char"/>
    <w:link w:val="7"/>
    <w:semiHidden/>
    <w:uiPriority w:val="9"/>
    <w:rPr>
      <w:rFonts w:cs="黑体"/>
      <w:b/>
      <w:bCs/>
    </w:rPr>
  </w:style>
  <w:style w:type="character" w:customStyle="1" w:styleId="39">
    <w:name w:val="标题 7 Char"/>
    <w:link w:val="8"/>
    <w:semiHidden/>
    <w:uiPriority w:val="9"/>
    <w:rPr>
      <w:rFonts w:cs="黑体"/>
      <w:sz w:val="24"/>
      <w:szCs w:val="24"/>
    </w:rPr>
  </w:style>
  <w:style w:type="character" w:customStyle="1" w:styleId="40">
    <w:name w:val="标题 8 Char"/>
    <w:link w:val="9"/>
    <w:semiHidden/>
    <w:uiPriority w:val="9"/>
    <w:rPr>
      <w:rFonts w:cs="黑体"/>
      <w:i/>
      <w:iCs/>
      <w:sz w:val="24"/>
      <w:szCs w:val="24"/>
    </w:rPr>
  </w:style>
  <w:style w:type="character" w:customStyle="1" w:styleId="41">
    <w:name w:val="标题 9 Char"/>
    <w:link w:val="10"/>
    <w:semiHidden/>
    <w:uiPriority w:val="9"/>
    <w:rPr>
      <w:rFonts w:ascii="Cambria" w:hAnsi="Cambria" w:eastAsia="宋体" w:cs="黑体"/>
    </w:rPr>
  </w:style>
  <w:style w:type="character" w:customStyle="1" w:styleId="42">
    <w:name w:val="标题 Char"/>
    <w:link w:val="20"/>
    <w:uiPriority w:val="10"/>
    <w:rPr>
      <w:rFonts w:ascii="Cambria" w:hAnsi="Cambria" w:eastAsia="宋体" w:cs="黑体"/>
      <w:b/>
      <w:bCs/>
      <w:kern w:val="28"/>
      <w:sz w:val="32"/>
      <w:szCs w:val="32"/>
    </w:rPr>
  </w:style>
  <w:style w:type="character" w:customStyle="1" w:styleId="43">
    <w:name w:val="副标题 Char"/>
    <w:link w:val="18"/>
    <w:uiPriority w:val="11"/>
    <w:rPr>
      <w:rFonts w:ascii="Cambria" w:hAnsi="Cambria" w:eastAsia="宋体" w:cs="黑体"/>
      <w:sz w:val="24"/>
      <w:szCs w:val="24"/>
    </w:rPr>
  </w:style>
  <w:style w:type="character" w:customStyle="1" w:styleId="44">
    <w:name w:val="引用 Char"/>
    <w:link w:val="30"/>
    <w:uiPriority w:val="29"/>
    <w:rPr>
      <w:i/>
      <w:sz w:val="24"/>
      <w:szCs w:val="24"/>
    </w:rPr>
  </w:style>
  <w:style w:type="character" w:customStyle="1" w:styleId="45">
    <w:name w:val="明显引用 Char"/>
    <w:link w:val="31"/>
    <w:uiPriority w:val="30"/>
    <w:rPr>
      <w:b/>
      <w:i/>
      <w:sz w:val="24"/>
    </w:rPr>
  </w:style>
  <w:style w:type="character" w:customStyle="1" w:styleId="46">
    <w:name w:val="不明显强调1"/>
    <w:qFormat/>
    <w:uiPriority w:val="19"/>
    <w:rPr>
      <w:i/>
      <w:color w:val="595959"/>
    </w:rPr>
  </w:style>
  <w:style w:type="character" w:customStyle="1" w:styleId="47">
    <w:name w:val="明显强调1"/>
    <w:qFormat/>
    <w:uiPriority w:val="21"/>
    <w:rPr>
      <w:b/>
      <w:i/>
      <w:sz w:val="24"/>
      <w:szCs w:val="24"/>
      <w:u w:val="single"/>
    </w:rPr>
  </w:style>
  <w:style w:type="character" w:customStyle="1" w:styleId="48">
    <w:name w:val="不明显参考1"/>
    <w:qFormat/>
    <w:uiPriority w:val="31"/>
    <w:rPr>
      <w:sz w:val="24"/>
      <w:szCs w:val="24"/>
      <w:u w:val="single"/>
    </w:rPr>
  </w:style>
  <w:style w:type="character" w:customStyle="1" w:styleId="49">
    <w:name w:val="明显参考1"/>
    <w:qFormat/>
    <w:uiPriority w:val="32"/>
    <w:rPr>
      <w:b/>
      <w:sz w:val="24"/>
      <w:u w:val="single"/>
    </w:rPr>
  </w:style>
  <w:style w:type="character" w:customStyle="1" w:styleId="50">
    <w:name w:val="书籍标题1"/>
    <w:qFormat/>
    <w:uiPriority w:val="33"/>
    <w:rPr>
      <w:rFonts w:ascii="Cambria" w:hAnsi="Cambria" w:eastAsia="宋体"/>
      <w:b/>
      <w:i/>
      <w:sz w:val="24"/>
      <w:szCs w:val="24"/>
    </w:rPr>
  </w:style>
  <w:style w:type="character" w:customStyle="1" w:styleId="51">
    <w:name w:val="页眉 Char"/>
    <w:link w:val="17"/>
    <w:uiPriority w:val="99"/>
    <w:rPr>
      <w:sz w:val="18"/>
      <w:szCs w:val="18"/>
    </w:rPr>
  </w:style>
  <w:style w:type="character" w:customStyle="1" w:styleId="52">
    <w:name w:val="页脚 Char"/>
    <w:link w:val="16"/>
    <w:uiPriority w:val="99"/>
    <w:rPr>
      <w:sz w:val="18"/>
      <w:szCs w:val="18"/>
    </w:rPr>
  </w:style>
  <w:style w:type="character" w:customStyle="1" w:styleId="53">
    <w:name w:val="正文文本 Char"/>
    <w:link w:val="14"/>
    <w:uiPriority w:val="0"/>
    <w:rPr>
      <w:rFonts w:ascii="宋体" w:hAnsi="宋体" w:eastAsia="仿宋_GB2312"/>
      <w:spacing w:val="6"/>
      <w:kern w:val="2"/>
      <w:sz w:val="30"/>
      <w:szCs w:val="24"/>
    </w:rPr>
  </w:style>
  <w:style w:type="character" w:customStyle="1" w:styleId="54">
    <w:name w:val="批注框文本 Char"/>
    <w:link w:val="15"/>
    <w:semiHidden/>
    <w:uiPriority w:val="0"/>
    <w:rPr>
      <w:rFonts w:ascii="宋体" w:hAnsi="宋体" w:eastAsia="仿宋_GB2312"/>
      <w:spacing w:val="6"/>
      <w:kern w:val="2"/>
      <w:sz w:val="18"/>
      <w:szCs w:val="18"/>
    </w:rPr>
  </w:style>
  <w:style w:type="character" w:customStyle="1" w:styleId="55">
    <w:name w:val="文档结构图 Char"/>
    <w:link w:val="13"/>
    <w:semiHidden/>
    <w:uiPriority w:val="0"/>
    <w:rPr>
      <w:rFonts w:ascii="宋体" w:hAnsi="宋体"/>
      <w:spacing w:val="6"/>
      <w:kern w:val="2"/>
      <w:sz w:val="18"/>
      <w:szCs w:val="18"/>
    </w:rPr>
  </w:style>
  <w:style w:type="character" w:customStyle="1" w:styleId="56">
    <w:name w:val="批注文字 Char"/>
    <w:basedOn w:val="21"/>
    <w:link w:val="12"/>
    <w:uiPriority w:val="0"/>
    <w:rPr>
      <w:rFonts w:ascii="宋体" w:hAnsi="宋体" w:eastAsia="仿宋_GB2312"/>
      <w:spacing w:val="6"/>
      <w:kern w:val="2"/>
      <w:sz w:val="30"/>
      <w:szCs w:val="24"/>
    </w:rPr>
  </w:style>
  <w:style w:type="character" w:customStyle="1" w:styleId="57">
    <w:name w:val="批注主题 Char"/>
    <w:basedOn w:val="56"/>
    <w:link w:val="11"/>
    <w:semiHidden/>
    <w:uiPriority w:val="0"/>
    <w:rPr>
      <w:rFonts w:ascii="宋体" w:hAnsi="宋体" w:eastAsia="仿宋_GB2312"/>
      <w:b/>
      <w:bCs/>
      <w:spacing w:val="6"/>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35</Pages>
  <Words>3714</Words>
  <Characters>21174</Characters>
  <Lines>176</Lines>
  <Paragraphs>49</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2015-08-21T08:23:00Z</dcterms:created>
  <dc:creator>杜斯达</dc:creator>
  <cp:lastModifiedBy>刘胜飞</cp:lastModifiedBy>
  <cp:lastPrinted>2015-07-15T08:19:00Z</cp:lastPrinted>
  <dcterms:modified xsi:type="dcterms:W3CDTF">2015-08-28T08:02:44Z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