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00" w:rsidRPr="0075492F" w:rsidRDefault="00443700" w:rsidP="004838EC">
      <w:pPr>
        <w:overflowPunct w:val="0"/>
        <w:adjustRightInd w:val="0"/>
        <w:snapToGrid w:val="0"/>
        <w:spacing w:line="596" w:lineRule="exact"/>
        <w:ind w:firstLineChars="0" w:firstLine="0"/>
        <w:rPr>
          <w:rFonts w:eastAsia="黑体"/>
        </w:rPr>
      </w:pPr>
      <w:r w:rsidRPr="0075492F">
        <w:rPr>
          <w:rFonts w:eastAsia="黑体" w:hint="eastAsia"/>
        </w:rPr>
        <w:t>附件</w:t>
      </w:r>
      <w:r w:rsidRPr="0075492F">
        <w:rPr>
          <w:rFonts w:eastAsia="黑体"/>
        </w:rPr>
        <w:t>1</w:t>
      </w:r>
    </w:p>
    <w:p w:rsidR="00443700" w:rsidRPr="0075492F" w:rsidRDefault="00443700" w:rsidP="000D65E8">
      <w:pPr>
        <w:pStyle w:val="Heading1"/>
        <w:keepNext w:val="0"/>
        <w:keepLines w:val="0"/>
        <w:overflowPunct w:val="0"/>
        <w:adjustRightInd w:val="0"/>
        <w:snapToGrid w:val="0"/>
        <w:spacing w:beforeLines="100" w:afterLines="100" w:line="596" w:lineRule="exact"/>
        <w:ind w:firstLineChars="0" w:firstLine="0"/>
        <w:jc w:val="center"/>
        <w:rPr>
          <w:rFonts w:eastAsia="方正小标宋简体"/>
          <w:b w:val="0"/>
          <w:bCs/>
          <w:szCs w:val="44"/>
        </w:rPr>
      </w:pPr>
      <w:r w:rsidRPr="0075492F">
        <w:rPr>
          <w:rFonts w:eastAsia="方正小标宋简体" w:hAnsi="方正小标宋简体" w:hint="eastAsia"/>
          <w:b w:val="0"/>
          <w:bCs/>
          <w:szCs w:val="44"/>
        </w:rPr>
        <w:t>廊坊市信用评价信息构成表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tblPr>
      <w:tblGrid>
        <w:gridCol w:w="574"/>
        <w:gridCol w:w="846"/>
        <w:gridCol w:w="847"/>
        <w:gridCol w:w="4283"/>
        <w:gridCol w:w="2350"/>
      </w:tblGrid>
      <w:tr w:rsidR="00443700" w:rsidRPr="0075492F" w:rsidTr="00F03007">
        <w:trPr>
          <w:trHeight w:val="811"/>
          <w:jc w:val="center"/>
        </w:trPr>
        <w:tc>
          <w:tcPr>
            <w:tcW w:w="322" w:type="pct"/>
            <w:vAlign w:val="center"/>
          </w:tcPr>
          <w:p w:rsidR="00443700" w:rsidRPr="0075492F" w:rsidRDefault="00443700" w:rsidP="00223B7C">
            <w:pPr>
              <w:pStyle w:val="TableParagraph"/>
              <w:spacing w:line="240" w:lineRule="auto"/>
              <w:ind w:firstLineChars="0" w:firstLine="0"/>
              <w:jc w:val="center"/>
              <w:rPr>
                <w:rFonts w:ascii="Times New Roman" w:eastAsia="黑体" w:hAnsi="Times New Roman" w:cs="Times New Roman"/>
                <w:bCs/>
                <w:sz w:val="24"/>
              </w:rPr>
            </w:pPr>
            <w:r w:rsidRPr="0075492F">
              <w:rPr>
                <w:rFonts w:ascii="Times New Roman" w:eastAsia="黑体" w:hAnsi="黑体" w:cs="Times New Roman" w:hint="eastAsia"/>
                <w:bCs/>
                <w:sz w:val="24"/>
              </w:rPr>
              <w:t>序号</w:t>
            </w:r>
          </w:p>
        </w:tc>
        <w:tc>
          <w:tcPr>
            <w:tcW w:w="951" w:type="pct"/>
            <w:gridSpan w:val="2"/>
            <w:vAlign w:val="center"/>
          </w:tcPr>
          <w:p w:rsidR="00443700" w:rsidRPr="0075492F" w:rsidRDefault="00443700" w:rsidP="00436BBC">
            <w:pPr>
              <w:pStyle w:val="TableParagraph"/>
              <w:tabs>
                <w:tab w:val="left" w:pos="967"/>
              </w:tabs>
              <w:spacing w:line="240" w:lineRule="auto"/>
              <w:ind w:firstLineChars="0" w:firstLine="0"/>
              <w:jc w:val="center"/>
              <w:rPr>
                <w:rFonts w:ascii="Times New Roman" w:eastAsia="黑体" w:hAnsi="Times New Roman" w:cs="Times New Roman"/>
                <w:bCs/>
                <w:sz w:val="24"/>
              </w:rPr>
            </w:pPr>
            <w:r w:rsidRPr="0075492F">
              <w:rPr>
                <w:rFonts w:ascii="Times New Roman" w:eastAsia="黑体" w:hAnsi="黑体" w:cs="Times New Roman" w:hint="eastAsia"/>
                <w:bCs/>
                <w:sz w:val="24"/>
              </w:rPr>
              <w:t>类别</w:t>
            </w:r>
          </w:p>
        </w:tc>
        <w:tc>
          <w:tcPr>
            <w:tcW w:w="2406" w:type="pct"/>
            <w:vAlign w:val="center"/>
          </w:tcPr>
          <w:p w:rsidR="00443700" w:rsidRPr="0075492F" w:rsidRDefault="00443700" w:rsidP="00436BBC">
            <w:pPr>
              <w:pStyle w:val="TableParagraph"/>
              <w:spacing w:line="240" w:lineRule="auto"/>
              <w:ind w:firstLineChars="0" w:firstLine="0"/>
              <w:jc w:val="center"/>
              <w:rPr>
                <w:rFonts w:ascii="Times New Roman" w:eastAsia="黑体" w:hAnsi="Times New Roman" w:cs="Times New Roman"/>
                <w:bCs/>
                <w:sz w:val="24"/>
              </w:rPr>
            </w:pPr>
            <w:r w:rsidRPr="0075492F">
              <w:rPr>
                <w:rFonts w:ascii="Times New Roman" w:eastAsia="黑体" w:hAnsi="黑体" w:cs="Times New Roman" w:hint="eastAsia"/>
                <w:bCs/>
                <w:sz w:val="24"/>
              </w:rPr>
              <w:t>信息名称</w:t>
            </w:r>
          </w:p>
        </w:tc>
        <w:tc>
          <w:tcPr>
            <w:tcW w:w="1320" w:type="pct"/>
            <w:vAlign w:val="center"/>
          </w:tcPr>
          <w:p w:rsidR="00443700" w:rsidRPr="0075492F" w:rsidRDefault="00443700" w:rsidP="00436BBC">
            <w:pPr>
              <w:pStyle w:val="TableParagraph"/>
              <w:spacing w:line="240" w:lineRule="auto"/>
              <w:ind w:firstLineChars="0" w:firstLine="0"/>
              <w:jc w:val="center"/>
              <w:rPr>
                <w:rFonts w:ascii="Times New Roman" w:eastAsia="黑体" w:hAnsi="Times New Roman" w:cs="Times New Roman"/>
                <w:bCs/>
                <w:sz w:val="24"/>
              </w:rPr>
            </w:pPr>
            <w:r w:rsidRPr="0075492F">
              <w:rPr>
                <w:rFonts w:ascii="Times New Roman" w:eastAsia="黑体" w:hAnsi="黑体" w:cs="Times New Roman" w:hint="eastAsia"/>
                <w:bCs/>
                <w:sz w:val="24"/>
              </w:rPr>
              <w:t>信息来源</w:t>
            </w:r>
          </w:p>
        </w:tc>
      </w:tr>
      <w:tr w:rsidR="00443700" w:rsidRPr="0075492F" w:rsidTr="00F03007">
        <w:trPr>
          <w:trHeight w:hRule="exact" w:val="737"/>
          <w:jc w:val="center"/>
        </w:trPr>
        <w:tc>
          <w:tcPr>
            <w:tcW w:w="322" w:type="pct"/>
            <w:vMerge w:val="restart"/>
            <w:vAlign w:val="center"/>
          </w:tcPr>
          <w:p w:rsidR="00443700" w:rsidRPr="0075492F" w:rsidRDefault="00443700" w:rsidP="00223B7C">
            <w:pPr>
              <w:spacing w:line="240" w:lineRule="auto"/>
              <w:ind w:firstLineChars="0" w:firstLine="0"/>
              <w:jc w:val="center"/>
              <w:rPr>
                <w:sz w:val="24"/>
              </w:rPr>
            </w:pPr>
            <w:r w:rsidRPr="0075492F">
              <w:rPr>
                <w:sz w:val="24"/>
              </w:rPr>
              <w:t>1</w:t>
            </w:r>
          </w:p>
        </w:tc>
        <w:tc>
          <w:tcPr>
            <w:tcW w:w="951" w:type="pct"/>
            <w:gridSpan w:val="2"/>
            <w:vMerge w:val="restar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企业基础信息</w:t>
            </w: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企业登记注册信息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市行政审批局</w:t>
            </w:r>
            <w:r>
              <w:rPr>
                <w:rFonts w:hAnsi="仿宋_GB2312" w:hint="eastAsia"/>
                <w:sz w:val="24"/>
              </w:rPr>
              <w:t>、</w:t>
            </w:r>
            <w:r w:rsidRPr="0075492F">
              <w:rPr>
                <w:rFonts w:hAnsi="仿宋_GB2312" w:hint="eastAsia"/>
                <w:sz w:val="24"/>
              </w:rPr>
              <w:t>市市场监督管理局</w:t>
            </w:r>
          </w:p>
        </w:tc>
      </w:tr>
      <w:tr w:rsidR="00443700" w:rsidRPr="0075492F" w:rsidTr="00F03007">
        <w:trPr>
          <w:trHeight w:hRule="exact" w:val="737"/>
          <w:jc w:val="center"/>
        </w:trPr>
        <w:tc>
          <w:tcPr>
            <w:tcW w:w="322" w:type="pct"/>
            <w:vMerge/>
          </w:tcPr>
          <w:p w:rsidR="00443700" w:rsidRPr="0075492F" w:rsidRDefault="00443700" w:rsidP="00223B7C">
            <w:pPr>
              <w:spacing w:line="240" w:lineRule="auto"/>
              <w:ind w:firstLineChars="0" w:firstLine="0"/>
              <w:jc w:val="center"/>
              <w:rPr>
                <w:sz w:val="24"/>
              </w:rPr>
            </w:pPr>
          </w:p>
        </w:tc>
        <w:tc>
          <w:tcPr>
            <w:tcW w:w="951" w:type="pct"/>
            <w:gridSpan w:val="2"/>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企业变更信息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市行政审批局</w:t>
            </w:r>
            <w:r>
              <w:rPr>
                <w:rFonts w:hAnsi="仿宋_GB2312" w:hint="eastAsia"/>
                <w:sz w:val="24"/>
              </w:rPr>
              <w:t>、</w:t>
            </w:r>
            <w:r w:rsidRPr="0075492F">
              <w:rPr>
                <w:rFonts w:hAnsi="仿宋_GB2312" w:hint="eastAsia"/>
                <w:sz w:val="24"/>
              </w:rPr>
              <w:t>市市场监督管理局</w:t>
            </w:r>
          </w:p>
        </w:tc>
      </w:tr>
      <w:tr w:rsidR="00443700" w:rsidRPr="0075492F" w:rsidTr="00F03007">
        <w:trPr>
          <w:trHeight w:hRule="exact" w:val="567"/>
          <w:jc w:val="center"/>
        </w:trPr>
        <w:tc>
          <w:tcPr>
            <w:tcW w:w="322" w:type="pct"/>
            <w:vMerge w:val="restart"/>
            <w:vAlign w:val="center"/>
          </w:tcPr>
          <w:p w:rsidR="00443700" w:rsidRPr="0075492F" w:rsidRDefault="00443700" w:rsidP="00223B7C">
            <w:pPr>
              <w:spacing w:line="240" w:lineRule="auto"/>
              <w:ind w:firstLineChars="0" w:firstLine="0"/>
              <w:jc w:val="center"/>
              <w:rPr>
                <w:sz w:val="24"/>
              </w:rPr>
            </w:pPr>
            <w:r w:rsidRPr="0075492F">
              <w:rPr>
                <w:sz w:val="24"/>
              </w:rPr>
              <w:t>2</w:t>
            </w:r>
          </w:p>
        </w:tc>
        <w:tc>
          <w:tcPr>
            <w:tcW w:w="475" w:type="pct"/>
            <w:vMerge w:val="restar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企业失信行为信息</w:t>
            </w:r>
          </w:p>
        </w:tc>
        <w:tc>
          <w:tcPr>
            <w:tcW w:w="476" w:type="pct"/>
            <w:vMerge w:val="restar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一般失信行为信息</w:t>
            </w: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司法判决及执行信息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市中级人民法院</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经营异常名录信息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市市场监督管理局</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行政处罚（严重失信行为除外）信息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行政强制执行信息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未履行信用承诺信息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合同违约信息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欠缴税款</w:t>
            </w:r>
          </w:p>
        </w:tc>
        <w:tc>
          <w:tcPr>
            <w:tcW w:w="1320" w:type="pct"/>
            <w:vMerge w:val="restart"/>
            <w:vAlign w:val="center"/>
          </w:tcPr>
          <w:p w:rsidR="00443700" w:rsidRPr="0075492F" w:rsidRDefault="00443700" w:rsidP="00443700">
            <w:pPr>
              <w:spacing w:line="240" w:lineRule="auto"/>
              <w:ind w:firstLine="31680"/>
              <w:rPr>
                <w:sz w:val="24"/>
              </w:rPr>
            </w:pPr>
            <w:r w:rsidRPr="0075492F">
              <w:rPr>
                <w:rFonts w:hAnsi="仿宋_GB2312" w:hint="eastAsia"/>
                <w:sz w:val="24"/>
              </w:rPr>
              <w:t>市税务局</w:t>
            </w:r>
          </w:p>
        </w:tc>
      </w:tr>
      <w:tr w:rsidR="00443700" w:rsidRPr="0075492F" w:rsidTr="00F03007">
        <w:trPr>
          <w:trHeight w:hRule="exact" w:val="567"/>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非正常纳税户信息</w:t>
            </w:r>
          </w:p>
        </w:tc>
        <w:tc>
          <w:tcPr>
            <w:tcW w:w="1320" w:type="pct"/>
            <w:vMerge/>
            <w:vAlign w:val="center"/>
          </w:tcPr>
          <w:p w:rsidR="00443700" w:rsidRPr="0075492F" w:rsidRDefault="00443700" w:rsidP="00443700">
            <w:pPr>
              <w:spacing w:line="240" w:lineRule="auto"/>
              <w:ind w:firstLine="31680"/>
              <w:rPr>
                <w:sz w:val="24"/>
              </w:rPr>
            </w:pPr>
          </w:p>
        </w:tc>
      </w:tr>
      <w:tr w:rsidR="00443700" w:rsidRPr="0075492F" w:rsidTr="00F03007">
        <w:trPr>
          <w:trHeight w:val="1293"/>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欠缴水电气费信息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国网廊坊供电公司、清泉供水公司、新奥燃气公司等有关单位</w:t>
            </w:r>
          </w:p>
        </w:tc>
      </w:tr>
      <w:tr w:rsidR="00443700" w:rsidRPr="0075492F" w:rsidTr="00F03007">
        <w:trPr>
          <w:trHeight w:val="483"/>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val="restar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严重失信信息</w:t>
            </w: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严重失信主体名单信息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r w:rsidR="00443700" w:rsidRPr="0075492F" w:rsidTr="00F03007">
        <w:trPr>
          <w:trHeight w:val="1660"/>
          <w:jc w:val="center"/>
        </w:trPr>
        <w:tc>
          <w:tcPr>
            <w:tcW w:w="322" w:type="pct"/>
            <w:vMerge/>
          </w:tcPr>
          <w:p w:rsidR="00443700" w:rsidRPr="0075492F" w:rsidRDefault="00443700" w:rsidP="00223B7C">
            <w:pPr>
              <w:spacing w:line="240" w:lineRule="auto"/>
              <w:ind w:firstLineChars="0" w:firstLine="0"/>
              <w:jc w:val="center"/>
              <w:rPr>
                <w:sz w:val="24"/>
              </w:rPr>
            </w:pPr>
          </w:p>
        </w:tc>
        <w:tc>
          <w:tcPr>
            <w:tcW w:w="475" w:type="pct"/>
            <w:vMerge/>
          </w:tcPr>
          <w:p w:rsidR="00443700" w:rsidRPr="0075492F" w:rsidRDefault="00443700" w:rsidP="00436BBC">
            <w:pPr>
              <w:spacing w:line="240" w:lineRule="auto"/>
              <w:ind w:firstLineChars="0" w:firstLine="0"/>
              <w:rPr>
                <w:sz w:val="24"/>
              </w:rPr>
            </w:pPr>
          </w:p>
        </w:tc>
        <w:tc>
          <w:tcPr>
            <w:tcW w:w="476" w:type="pct"/>
            <w:vMerge/>
          </w:tcPr>
          <w:p w:rsidR="00443700" w:rsidRPr="0075492F" w:rsidRDefault="00443700" w:rsidP="00436BBC">
            <w:pPr>
              <w:spacing w:line="240" w:lineRule="auto"/>
              <w:ind w:firstLineChars="0" w:firstLine="0"/>
              <w:rPr>
                <w:sz w:val="24"/>
              </w:rPr>
            </w:pPr>
          </w:p>
        </w:tc>
        <w:tc>
          <w:tcPr>
            <w:tcW w:w="2406"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被处以暂扣许可证件、降低资质等级、吊销许可证件、限制开展生产经营活动、责令停产停业、责令关闭，限制从业等行政处罚信息</w:t>
            </w:r>
          </w:p>
        </w:tc>
        <w:tc>
          <w:tcPr>
            <w:tcW w:w="1320" w:type="pct"/>
            <w:vAlign w:val="center"/>
          </w:tcPr>
          <w:p w:rsidR="00443700" w:rsidRPr="0075492F" w:rsidRDefault="00443700" w:rsidP="00436BBC">
            <w:pPr>
              <w:spacing w:line="240" w:lineRule="auto"/>
              <w:ind w:firstLineChars="0" w:firstLine="0"/>
              <w:rPr>
                <w:sz w:val="24"/>
              </w:rPr>
            </w:pPr>
            <w:r w:rsidRPr="0075492F">
              <w:rPr>
                <w:rFonts w:hAnsi="仿宋_GB2312" w:hint="eastAsia"/>
                <w:sz w:val="24"/>
              </w:rPr>
              <w:t>有关行业监管部门</w:t>
            </w:r>
          </w:p>
        </w:tc>
      </w:tr>
    </w:tbl>
    <w:p w:rsidR="00443700" w:rsidRPr="0075492F" w:rsidRDefault="00443700" w:rsidP="004838EC">
      <w:pPr>
        <w:spacing w:line="240" w:lineRule="auto"/>
        <w:ind w:firstLineChars="0" w:firstLine="0"/>
      </w:pPr>
      <w:r w:rsidRPr="0075492F">
        <w:rPr>
          <w:rFonts w:hAnsi="仿宋_GB2312" w:hint="eastAsia"/>
          <w:sz w:val="24"/>
        </w:rPr>
        <w:t>说明：廊坊市信用评价信息构成根据信用评价结果应用情况等适时动态调整</w:t>
      </w:r>
      <w:r w:rsidRPr="0075492F">
        <w:rPr>
          <w:sz w:val="24"/>
        </w:rPr>
        <w:br w:type="page"/>
      </w:r>
      <w:r w:rsidRPr="0075492F">
        <w:rPr>
          <w:rFonts w:eastAsia="黑体" w:hint="eastAsia"/>
        </w:rPr>
        <w:t>附件</w:t>
      </w:r>
      <w:r w:rsidRPr="0075492F">
        <w:rPr>
          <w:rFonts w:eastAsia="黑体"/>
        </w:rPr>
        <w:t>2</w:t>
      </w:r>
    </w:p>
    <w:p w:rsidR="00443700" w:rsidRPr="0075492F" w:rsidRDefault="00443700" w:rsidP="000F7417">
      <w:pPr>
        <w:autoSpaceDE w:val="0"/>
        <w:autoSpaceDN w:val="0"/>
        <w:spacing w:beforeLines="100" w:line="596" w:lineRule="exact"/>
        <w:ind w:firstLineChars="0" w:firstLine="0"/>
        <w:jc w:val="center"/>
        <w:rPr>
          <w:rFonts w:eastAsia="方正小标宋简体"/>
          <w:kern w:val="0"/>
          <w:sz w:val="44"/>
          <w:szCs w:val="44"/>
        </w:rPr>
      </w:pPr>
      <w:r w:rsidRPr="0075492F">
        <w:rPr>
          <w:rFonts w:eastAsia="方正小标宋简体" w:hint="eastAsia"/>
          <w:kern w:val="0"/>
          <w:sz w:val="44"/>
          <w:szCs w:val="44"/>
        </w:rPr>
        <w:t>廊坊市信用监管事项清单（</w:t>
      </w:r>
      <w:r w:rsidRPr="0075492F">
        <w:rPr>
          <w:rFonts w:eastAsia="方正小标宋简体"/>
          <w:kern w:val="0"/>
          <w:sz w:val="44"/>
          <w:szCs w:val="44"/>
        </w:rPr>
        <w:t>2022</w:t>
      </w:r>
      <w:r w:rsidRPr="0075492F">
        <w:rPr>
          <w:rFonts w:eastAsia="方正小标宋简体" w:hint="eastAsia"/>
          <w:kern w:val="0"/>
          <w:sz w:val="44"/>
          <w:szCs w:val="44"/>
        </w:rPr>
        <w:t>年版）</w:t>
      </w:r>
    </w:p>
    <w:p w:rsidR="00443700" w:rsidRPr="0075492F" w:rsidRDefault="00443700" w:rsidP="004838EC">
      <w:pPr>
        <w:autoSpaceDE w:val="0"/>
        <w:autoSpaceDN w:val="0"/>
        <w:spacing w:line="596" w:lineRule="exact"/>
        <w:ind w:firstLineChars="0" w:firstLine="0"/>
        <w:jc w:val="center"/>
        <w:rPr>
          <w:rFonts w:eastAsia="方正小标宋简体"/>
          <w:kern w:val="0"/>
          <w:sz w:val="44"/>
          <w:szCs w:val="44"/>
        </w:rPr>
      </w:pPr>
      <w:r w:rsidRPr="0075492F">
        <w:rPr>
          <w:rFonts w:eastAsia="方正小标宋简体" w:hint="eastAsia"/>
          <w:kern w:val="0"/>
          <w:sz w:val="44"/>
          <w:szCs w:val="44"/>
        </w:rPr>
        <w:t>（共</w:t>
      </w:r>
      <w:r w:rsidRPr="0075492F">
        <w:rPr>
          <w:rFonts w:eastAsia="方正小标宋简体"/>
          <w:kern w:val="0"/>
          <w:sz w:val="44"/>
          <w:szCs w:val="44"/>
        </w:rPr>
        <w:t>210</w:t>
      </w:r>
      <w:r w:rsidRPr="0075492F">
        <w:rPr>
          <w:rFonts w:eastAsia="方正小标宋简体" w:hint="eastAsia"/>
          <w:kern w:val="0"/>
          <w:sz w:val="44"/>
          <w:szCs w:val="44"/>
        </w:rPr>
        <w:t>项）</w:t>
      </w:r>
    </w:p>
    <w:p w:rsidR="00443700" w:rsidRPr="0075492F" w:rsidRDefault="00443700">
      <w:pPr>
        <w:autoSpaceDE w:val="0"/>
        <w:autoSpaceDN w:val="0"/>
        <w:spacing w:line="240" w:lineRule="auto"/>
        <w:ind w:firstLineChars="0" w:firstLine="0"/>
        <w:jc w:val="center"/>
        <w:rPr>
          <w:rFonts w:eastAsia="宋体"/>
          <w:kern w:val="0"/>
          <w:sz w:val="22"/>
          <w:szCs w:val="22"/>
        </w:rPr>
      </w:pPr>
    </w:p>
    <w:p w:rsidR="00443700" w:rsidRPr="0075492F" w:rsidRDefault="00443700" w:rsidP="00CE6DCC">
      <w:pPr>
        <w:autoSpaceDE w:val="0"/>
        <w:autoSpaceDN w:val="0"/>
        <w:adjustRightInd w:val="0"/>
        <w:snapToGrid w:val="0"/>
        <w:spacing w:line="600" w:lineRule="exact"/>
        <w:ind w:firstLineChars="0" w:firstLine="0"/>
        <w:rPr>
          <w:rFonts w:eastAsia="黑体"/>
          <w:kern w:val="0"/>
          <w:szCs w:val="32"/>
          <w:lang w:val="zh-CN"/>
        </w:rPr>
      </w:pPr>
      <w:r w:rsidRPr="0075492F">
        <w:rPr>
          <w:rFonts w:eastAsia="黑体" w:hint="eastAsia"/>
          <w:kern w:val="0"/>
          <w:szCs w:val="32"/>
        </w:rPr>
        <w:t>一、</w:t>
      </w:r>
      <w:r w:rsidRPr="0075492F">
        <w:rPr>
          <w:rFonts w:eastAsia="黑体" w:hint="eastAsia"/>
          <w:kern w:val="0"/>
          <w:szCs w:val="32"/>
          <w:lang w:val="zh-CN"/>
        </w:rPr>
        <w:t>市发展和改革委员会（共</w:t>
      </w:r>
      <w:r w:rsidRPr="0075492F">
        <w:rPr>
          <w:rFonts w:eastAsia="黑体"/>
          <w:kern w:val="0"/>
          <w:szCs w:val="32"/>
        </w:rPr>
        <w:t>2</w:t>
      </w:r>
      <w:r w:rsidRPr="0075492F">
        <w:rPr>
          <w:rFonts w:eastAsia="黑体" w:hint="eastAsia"/>
          <w:kern w:val="0"/>
          <w:szCs w:val="32"/>
          <w:lang w:val="zh-CN"/>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adjustRightInd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对中央预算内投资补助和贴息资金项目实施情况监督检查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adjustRightInd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对地方储备粮的数量、质量和储存安全的行政检查</w:t>
            </w:r>
          </w:p>
        </w:tc>
      </w:tr>
    </w:tbl>
    <w:p w:rsidR="00443700" w:rsidRPr="0075492F" w:rsidRDefault="00443700" w:rsidP="00CE6DCC">
      <w:pPr>
        <w:autoSpaceDE w:val="0"/>
        <w:autoSpaceDN w:val="0"/>
        <w:spacing w:line="600" w:lineRule="exact"/>
        <w:ind w:firstLineChars="0" w:firstLine="0"/>
        <w:rPr>
          <w:rFonts w:eastAsia="黑体"/>
          <w:kern w:val="0"/>
          <w:szCs w:val="32"/>
        </w:rPr>
      </w:pPr>
      <w:r w:rsidRPr="0075492F">
        <w:rPr>
          <w:rFonts w:eastAsia="黑体" w:hint="eastAsia"/>
          <w:kern w:val="0"/>
          <w:szCs w:val="32"/>
        </w:rPr>
        <w:t>二、市工业和信息化局（共</w:t>
      </w:r>
      <w:r w:rsidRPr="0075492F">
        <w:rPr>
          <w:rFonts w:eastAsia="黑体"/>
          <w:kern w:val="0"/>
          <w:szCs w:val="32"/>
        </w:rPr>
        <w:t>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0"/>
        <w:gridCol w:w="2046"/>
        <w:gridCol w:w="5804"/>
      </w:tblGrid>
      <w:tr w:rsidR="00443700" w:rsidRPr="0075492F" w:rsidTr="00FE5C68">
        <w:trPr>
          <w:trHeight w:hRule="exact" w:val="624"/>
        </w:trPr>
        <w:tc>
          <w:tcPr>
            <w:tcW w:w="66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129"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03"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24"/>
        </w:trPr>
        <w:tc>
          <w:tcPr>
            <w:tcW w:w="668"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129"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03"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对盐业管理对象的监督检查</w:t>
            </w:r>
          </w:p>
        </w:tc>
      </w:tr>
      <w:tr w:rsidR="00443700" w:rsidRPr="0075492F" w:rsidTr="00FE5C68">
        <w:trPr>
          <w:trHeight w:hRule="exact" w:val="624"/>
        </w:trPr>
        <w:tc>
          <w:tcPr>
            <w:tcW w:w="668"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129"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03"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对工业用盐等非食用盐的管理</w:t>
            </w:r>
          </w:p>
        </w:tc>
      </w:tr>
    </w:tbl>
    <w:p w:rsidR="00443700" w:rsidRPr="0075492F" w:rsidRDefault="00443700" w:rsidP="00CE6DCC">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三、市民族宗教事务局（共</w:t>
      </w:r>
      <w:r w:rsidRPr="0075492F">
        <w:rPr>
          <w:rFonts w:eastAsia="黑体"/>
          <w:kern w:val="0"/>
          <w:szCs w:val="32"/>
        </w:rPr>
        <w:t>1</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对贯彻落实民族宗教法律法规监督检查</w:t>
            </w:r>
          </w:p>
        </w:tc>
      </w:tr>
    </w:tbl>
    <w:p w:rsidR="00443700" w:rsidRPr="0075492F" w:rsidRDefault="00443700" w:rsidP="00CE6DCC">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四、市民政局（共</w:t>
      </w:r>
      <w:r w:rsidRPr="0075492F">
        <w:rPr>
          <w:rFonts w:eastAsia="黑体"/>
          <w:kern w:val="0"/>
          <w:szCs w:val="32"/>
        </w:rPr>
        <w:t>1</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对经营性养老机构的监督检查</w:t>
            </w:r>
          </w:p>
        </w:tc>
      </w:tr>
    </w:tbl>
    <w:p w:rsidR="00443700" w:rsidRPr="0075492F" w:rsidRDefault="00443700" w:rsidP="00CE6DCC">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五、市财政局（共</w:t>
      </w:r>
      <w:r w:rsidRPr="0075492F">
        <w:rPr>
          <w:rFonts w:eastAsia="黑体"/>
          <w:kern w:val="0"/>
          <w:szCs w:val="32"/>
        </w:rPr>
        <w:t>1</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对政府采购活动的监督检查</w:t>
            </w:r>
          </w:p>
        </w:tc>
      </w:tr>
    </w:tbl>
    <w:p w:rsidR="00443700" w:rsidRPr="0075492F" w:rsidRDefault="00443700" w:rsidP="00F1620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六、市人力资源和社会保障局（共</w:t>
      </w:r>
      <w:r w:rsidRPr="0075492F">
        <w:rPr>
          <w:rFonts w:eastAsia="黑体"/>
          <w:kern w:val="0"/>
          <w:szCs w:val="32"/>
        </w:rPr>
        <w:t>6</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对用人单位遵守劳动保障法律、法规情况的监督检查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对用人单位和个人遵守社会保险法律法规的监督检查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对劳务派遣单位和用工单位的监督检查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对实行不定时工作制和综合计算工时工作制企业的监督检查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对国有企业工资内、外收入和经济效益情况的监督检查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对人力资源市场的监督检查</w:t>
            </w:r>
          </w:p>
        </w:tc>
      </w:tr>
    </w:tbl>
    <w:p w:rsidR="00443700" w:rsidRPr="0075492F" w:rsidRDefault="00443700" w:rsidP="00F1620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七、市生态环境局（共</w:t>
      </w:r>
      <w:r w:rsidRPr="0075492F">
        <w:rPr>
          <w:rFonts w:eastAsia="黑体"/>
          <w:kern w:val="0"/>
          <w:szCs w:val="32"/>
        </w:rPr>
        <w:t>7</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对排放污染物的企业事业单位和其他生产经营者的现场检查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辐射污染防治工作监督管理</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废弃电器电子产品拆解处理监管审核</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对新生产、销售机动车和非道路移动机械大气污染物排放状况的监督检查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对机动车排放检验情况的监督检查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对在用机动车和非道路移动机械的污染物排放状况的监督检查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对储油储气库、加油加气站和油罐车、气罐车等油气回收装置运行情况进行监督检查</w:t>
            </w:r>
          </w:p>
        </w:tc>
      </w:tr>
    </w:tbl>
    <w:p w:rsidR="00443700" w:rsidRPr="0075492F" w:rsidRDefault="00443700" w:rsidP="00F1620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八、市住房和城乡建设局（共</w:t>
      </w:r>
      <w:r w:rsidRPr="0075492F">
        <w:rPr>
          <w:rFonts w:eastAsia="黑体"/>
          <w:kern w:val="0"/>
          <w:szCs w:val="32"/>
        </w:rPr>
        <w:t>26</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对房地产开发企业从事房地产开发经营活动的检查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对物业服务企业从事物业服务活动的检查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对房地产经纪机构的检查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对房地产估价机构的检查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对房屋建筑和市政基础设施工程施工现场安全事故隐患的检查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对全市建筑业企业、工程企业是否符合资质许可条件和从事建筑活动的检查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对进冀建筑业企业、工程监理企业、勘察设计单位进冀备案情况及从事建筑及中介服务活动的检查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对国家规定必须招标的房屋建筑和市政基础设施工程招标投标活动的检查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对施工企业安全生产许可证</w:t>
            </w:r>
            <w:r w:rsidRPr="0075492F">
              <w:rPr>
                <w:color w:val="000000"/>
                <w:kern w:val="0"/>
                <w:sz w:val="24"/>
                <w:lang/>
              </w:rPr>
              <w:t>(</w:t>
            </w:r>
            <w:r w:rsidRPr="0075492F">
              <w:rPr>
                <w:rFonts w:hint="eastAsia"/>
                <w:color w:val="000000"/>
                <w:kern w:val="0"/>
                <w:sz w:val="24"/>
                <w:lang/>
              </w:rPr>
              <w:t>许可条件</w:t>
            </w:r>
            <w:r w:rsidRPr="0075492F">
              <w:rPr>
                <w:color w:val="000000"/>
                <w:kern w:val="0"/>
                <w:sz w:val="24"/>
                <w:lang/>
              </w:rPr>
              <w:t>)</w:t>
            </w:r>
            <w:r w:rsidRPr="0075492F">
              <w:rPr>
                <w:rFonts w:hint="eastAsia"/>
                <w:color w:val="000000"/>
                <w:kern w:val="0"/>
                <w:sz w:val="24"/>
                <w:lang/>
              </w:rPr>
              <w:t>的检查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对建设工程勘察设计企业从事工程勘察设计活动的检查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对建设工程质量检测机构资质许可条件和从事工程检测活动的检查</w:t>
            </w:r>
          </w:p>
        </w:tc>
      </w:tr>
      <w:tr w:rsidR="00443700" w:rsidRPr="0075492F" w:rsidTr="00FE5C68">
        <w:trPr>
          <w:trHeight w:hRule="exact" w:val="113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对建设工程施工企业安全生产及施工企业主要负责人、项目负责人、专职安全生产管理人员资格许可条件及其安全生产活动的检查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对施工图审查机构和从事施工图审查活动的检查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对建设工程抗震设防的检查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对工程建设标准实施情况的检查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对建设工程质量各方责任主体履行工程质量法定义务情况的检查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对建设工程消防设计审查、消防验收、备案抽查活动的检查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对民用建筑节能检查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对绿色建筑活动的检查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对装配式建筑的检查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对建筑工程材料设备使用的检查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对工程建设项目实行建筑工人实名制管理等事项的检查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对建筑施工扬尘污染防治的检查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对城市燃气、供热经营企业的检查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对城镇污水处理设施维护运营单位的检查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对城镇供水单位水质的检查</w:t>
            </w:r>
          </w:p>
        </w:tc>
      </w:tr>
    </w:tbl>
    <w:p w:rsidR="00443700" w:rsidRPr="0075492F" w:rsidRDefault="00443700" w:rsidP="00F1620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九、市城市管理综合行政执法局（共</w:t>
      </w:r>
      <w:r w:rsidRPr="0075492F">
        <w:rPr>
          <w:rFonts w:eastAsia="黑体"/>
          <w:kern w:val="0"/>
          <w:szCs w:val="32"/>
        </w:rPr>
        <w:t>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对餐厨废弃物产生单位和收集、运输、处置经营活动的检查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C857D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对生活垃圾产生单位或个人分类投放、分类收集、分类运输、分类处理等活动的检查</w:t>
            </w:r>
          </w:p>
        </w:tc>
      </w:tr>
    </w:tbl>
    <w:p w:rsidR="00443700" w:rsidRPr="0075492F" w:rsidRDefault="00443700" w:rsidP="00F1620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十、市交通运输局（共</w:t>
      </w:r>
      <w:r w:rsidRPr="0075492F">
        <w:rPr>
          <w:rFonts w:eastAsia="黑体"/>
          <w:kern w:val="0"/>
          <w:szCs w:val="32"/>
        </w:rPr>
        <w:t>23</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1247"/>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对建设工程建设单位对其他从业单位提出不符合安全生产法律、法规和强制性标准规定的要求行为的行政检查（交通运输领域）</w:t>
            </w:r>
          </w:p>
        </w:tc>
      </w:tr>
      <w:tr w:rsidR="00443700" w:rsidRPr="0075492F" w:rsidTr="00FE5C68">
        <w:trPr>
          <w:trHeight w:hRule="exact" w:val="1247"/>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对跨越、穿越公路及在公路用地范围内架设、埋设管线、电缆等设施，或者利用公路桥梁、公路隧道、涵洞铺设电缆等的行政检查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对建设工程从业单位使用应当淘汰的危及生产安全的工艺、设备、材料行为的行政检查（交通运输领域）</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对道路旅客运输经营者经营行为的行政检查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对更新采伐护路林的行政检查</w:t>
            </w:r>
          </w:p>
        </w:tc>
      </w:tr>
      <w:tr w:rsidR="00443700" w:rsidRPr="0075492F" w:rsidTr="00FE5C68">
        <w:trPr>
          <w:trHeight w:hRule="exact" w:val="1162"/>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对建设工程从业单位未按照规定对相关从业人员进行安全生产教育和培训或未按规定如实告知有关的安全生产事项行为的行政检查（交通运输领域）</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对占用、挖掘公路、公路用地或者使公路改线的行政检查</w:t>
            </w:r>
          </w:p>
        </w:tc>
      </w:tr>
      <w:tr w:rsidR="00443700" w:rsidRPr="0075492F" w:rsidTr="00FE5C68">
        <w:trPr>
          <w:trHeight w:hRule="exact" w:val="1162"/>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对建设工程从业单位主要负责人或安全生产管理人员未履行安全生产管理职责行为的行政检查（交通运输领域）</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对公路水运工程试验检测机构标准规范执行、工作规范性、内部运行管理等情况的行政检查</w:t>
            </w:r>
          </w:p>
        </w:tc>
      </w:tr>
      <w:tr w:rsidR="00443700" w:rsidRPr="0075492F" w:rsidTr="00FE5C68">
        <w:trPr>
          <w:trHeight w:hRule="exact" w:val="1162"/>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对建设工程监理单位未对施工组织设计中的安全技术措施或者专项施工方案进行审查等行为的行政检查（交通运输领域）</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对巡游出租汽车经营者、巡游出租汽车车辆、巡游出租汽车驾驶员经营服务行为的行政检查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对公路水运建设工程的质量监督检查行政检查</w:t>
            </w:r>
          </w:p>
        </w:tc>
      </w:tr>
      <w:tr w:rsidR="00443700" w:rsidRPr="0075492F" w:rsidTr="00FE5C68">
        <w:trPr>
          <w:trHeight w:hRule="exact" w:val="113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对建设工程施工单位进行吊装等危险作业未安排专门管理人员进行现场安全管理行为的行政检查（交通运输领域）</w:t>
            </w:r>
          </w:p>
        </w:tc>
      </w:tr>
      <w:tr w:rsidR="00443700" w:rsidRPr="0075492F" w:rsidTr="00FE5C68">
        <w:trPr>
          <w:trHeight w:hRule="exact" w:val="1247"/>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14</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对建设工程施工单位未在较大危险因素区域设置明显的安全警示标志或未在施工现场按规定设置消防通道等行为的行政检查（交通运输领域）</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对从事危险货物道路运输企业经营行为的行政检查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对网络预约出租汽车经营者、网络预约出租汽车车辆、网络预约出租汽车驾驶员经营服务行为的行政检查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对设置非公路标志的行政检查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对建设工程从业单位未为从业人员提供符合标准的劳动防护用品行为的行政检查（交通运输领域）</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对占用、挖掘公路、公路用地或者使公路改线的行政检查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对公路水运建设工程的安全生产监督检查行政检查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对公路建筑控制区内埋设管线、电缆等设施的行政检查</w:t>
            </w:r>
          </w:p>
        </w:tc>
      </w:tr>
      <w:tr w:rsidR="00443700" w:rsidRPr="0075492F" w:rsidTr="00FE5C68">
        <w:trPr>
          <w:trHeight w:hRule="exact" w:val="113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对建设工程建设单位未将保证安全施工的措施或者拆除工程的有关资料报送有关部门备案行为的行政检查（交通运输领域）</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市区城市公共交通客运市场的监督检查</w:t>
            </w:r>
          </w:p>
        </w:tc>
      </w:tr>
    </w:tbl>
    <w:p w:rsidR="00443700" w:rsidRPr="0075492F" w:rsidRDefault="00443700" w:rsidP="003E723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十一、市水利局（共</w:t>
      </w:r>
      <w:r w:rsidRPr="0075492F">
        <w:rPr>
          <w:rFonts w:eastAsia="黑体"/>
          <w:kern w:val="0"/>
          <w:szCs w:val="32"/>
        </w:rPr>
        <w:t>20</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对生产建设项目水土保持的行政检查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对河道管理范围内有关活动（不含河道采砂）的行政检查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对河道管理范围建设项目的行政检查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对水利工程采用没有国家技术标准新技术、新材料的行政检查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对水利工程质量检测单位资质（乙级）的行政检查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对编制洪水影响评价报告非防洪建设项目的行政检查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对水工程运行情况和危害水工程安全活动的行政检查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对河道采砂的行政检查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对不同行政区域边界（跨市、区）水工程的行政检查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对水利工程建设安全生产的行政检查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对蓄滞洪区避洪设施建设的行政检查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对占用农业灌溉水源、灌排工程设施的行政检查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对节约用水的行政检查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对水工程建设规划同意书的行政检查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对水利施工图设计文件的行政检查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对单位、个人取用水行为的行政检查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对在堤防上新建建筑物及设施竣工验收的行政检查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对已批复水利基建项目初步设计文件的行政检查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19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对堤顶、戗台兼做公路的行政检查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lang/>
              </w:rPr>
              <w:t>20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对电子招标投标活动的行政检查</w:t>
            </w:r>
          </w:p>
        </w:tc>
      </w:tr>
    </w:tbl>
    <w:p w:rsidR="00443700" w:rsidRPr="0075492F" w:rsidRDefault="00443700" w:rsidP="003E723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十二、市农业农村局（共</w:t>
      </w:r>
      <w:r w:rsidRPr="0075492F">
        <w:rPr>
          <w:rFonts w:eastAsia="黑体"/>
          <w:kern w:val="0"/>
          <w:szCs w:val="32"/>
        </w:rPr>
        <w:t>14</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对渔业生产活动的监督检查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对种子生产经营单位的监督检查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对兽药市场监督抽查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对肥料市场监督抽查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对饲料、饲料添加剂生产经营使用单位或个人监督检查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对奶畜饲养及生鲜乳生产、收购环节监督检查</w:t>
            </w:r>
          </w:p>
        </w:tc>
      </w:tr>
      <w:tr w:rsidR="00443700" w:rsidRPr="0075492F" w:rsidTr="00FE5C68">
        <w:trPr>
          <w:trHeight w:hRule="exact" w:val="851"/>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进入农药生产、经营、使用场所实施现场检查，对生产、经营、使用的农药实施抽查检测</w:t>
            </w:r>
          </w:p>
        </w:tc>
      </w:tr>
      <w:tr w:rsidR="00443700" w:rsidRPr="0075492F" w:rsidTr="00FE5C68">
        <w:trPr>
          <w:trHeight w:hRule="exact" w:val="2438"/>
        </w:trPr>
        <w:tc>
          <w:tcPr>
            <w:tcW w:w="626" w:type="pct"/>
            <w:vAlign w:val="center"/>
          </w:tcPr>
          <w:p w:rsidR="00443700" w:rsidRPr="0075492F" w:rsidRDefault="00443700" w:rsidP="002B7562">
            <w:pPr>
              <w:widowControl/>
              <w:autoSpaceDE w:val="0"/>
              <w:autoSpaceDN w:val="0"/>
              <w:snapToGrid w:val="0"/>
              <w:spacing w:line="320" w:lineRule="exact"/>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rsidP="002B7562">
            <w:pPr>
              <w:widowControl/>
              <w:autoSpaceDE w:val="0"/>
              <w:autoSpaceDN w:val="0"/>
              <w:snapToGrid w:val="0"/>
              <w:spacing w:line="32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病原微生物菌（毒）种、样本的采集、运输、储存；从事高致病性病原微生物相关实验活动的实验室是否符合本条例规定的条件；实验室或者实验室的设立单位培训、考核其工作人员以及上岗人员的情况；实验室是否按照有关国家标准、技术规范和操作规程从事病原微生物相关实验活动进行监督检查</w:t>
            </w:r>
            <w:r w:rsidRPr="0075492F">
              <w:rPr>
                <w:rStyle w:val="font11"/>
                <w:rFonts w:ascii="Times New Roman" w:hAnsi="Times New Roman" w:cs="Times New Roman"/>
                <w:kern w:val="0"/>
                <w:sz w:val="24"/>
                <w:szCs w:val="24"/>
                <w:lang/>
              </w:rPr>
              <w:t xml:space="preserve"> </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对屠宰环节的监督检查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对养殖环节的监督检查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对动物及动物产品经营环节的监督检查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对动物诊疗环节的监督检查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对执业兽医的监管检查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对乡村兽医的监管检查</w:t>
            </w:r>
          </w:p>
        </w:tc>
      </w:tr>
    </w:tbl>
    <w:p w:rsidR="00443700" w:rsidRPr="0075492F" w:rsidRDefault="00443700" w:rsidP="003E7234">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十三、市自然资源和规划局（共</w:t>
      </w:r>
      <w:r w:rsidRPr="0075492F">
        <w:rPr>
          <w:rFonts w:eastAsia="黑体"/>
          <w:kern w:val="0"/>
          <w:szCs w:val="32"/>
        </w:rPr>
        <w:t>12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val="765"/>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测绘行业监督检查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对地质勘查行业监督检查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对城乡规划编制单位的检查</w:t>
            </w:r>
          </w:p>
        </w:tc>
      </w:tr>
      <w:tr w:rsidR="00443700" w:rsidRPr="0075492F" w:rsidTr="00FE5C68">
        <w:trPr>
          <w:trHeight w:hRule="exact" w:val="1021"/>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对森林资源的保护、修复、利用、更新等情况的监督检查</w:t>
            </w:r>
          </w:p>
        </w:tc>
      </w:tr>
      <w:tr w:rsidR="00443700" w:rsidRPr="0075492F" w:rsidTr="00FE5C68">
        <w:trPr>
          <w:trHeight w:hRule="exact" w:val="1021"/>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对矿藏勘察、开采以及其他各类工程建设占用林地异地植树造林、恢复森林植被情况的检查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对森林和草原防火工作的监督检查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对林木种子质量的监督检查</w:t>
            </w:r>
          </w:p>
        </w:tc>
      </w:tr>
      <w:tr w:rsidR="00443700" w:rsidRPr="0075492F" w:rsidTr="00FE5C68">
        <w:trPr>
          <w:trHeight w:hRule="exact" w:val="1021"/>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对食用林产品（不含果树中的水果部分）生产环节（含产地环境）的质量安全的监督检查</w:t>
            </w:r>
          </w:p>
        </w:tc>
      </w:tr>
      <w:tr w:rsidR="00443700" w:rsidRPr="0075492F" w:rsidTr="00FE5C68">
        <w:trPr>
          <w:trHeight w:hRule="exact" w:val="1021"/>
        </w:trPr>
        <w:tc>
          <w:tcPr>
            <w:tcW w:w="62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rsidP="00FE5C68">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3E7234">
            <w:pPr>
              <w:widowControl/>
              <w:autoSpaceDE w:val="0"/>
              <w:autoSpaceDN w:val="0"/>
              <w:adjustRightInd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对科学研究、人工繁育、公众展示展演等利用野生动物及其制品活动的监督检查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adjustRightInd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对涉木单位和个人的检疫检查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adjustRightInd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对森林病虫害除治情况的检查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adjustRightInd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对林业固定资产投资建设项目的监督检查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十四、市商务局（共</w:t>
      </w:r>
      <w:r w:rsidRPr="0075492F">
        <w:rPr>
          <w:rFonts w:eastAsia="黑体"/>
          <w:kern w:val="0"/>
          <w:szCs w:val="32"/>
        </w:rPr>
        <w:t>6</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对商业特许经营活动的监督检查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对报废机动车回收拆解企业回收活动的监督检查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对二手车流通工作的监督检查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对河北省内汽车销售及其相关服务活动进行监督检查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对对外劳务合作经营活动进行监督检查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对外国投资者、外商投资企业遵守外商投资信息报告办法情况进行监督检查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十五、市文化广电和旅游局（共</w:t>
      </w:r>
      <w:r w:rsidRPr="0075492F">
        <w:rPr>
          <w:rFonts w:eastAsia="黑体"/>
          <w:kern w:val="0"/>
          <w:szCs w:val="32"/>
        </w:rPr>
        <w:t>8</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24"/>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对社会艺术水平考级机构开展考级活动的检查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对互联网上网服务营业场所经营单位从事经营活动的检查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对娱乐场所从事经营活动的检查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对互联网文化活动的检查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对营业性演出活动的检查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对艺术品经营活动的检查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对经营旅行社业务的检查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对广播电视节目制作机构的经营情况的行政检查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十六、市卫生健康委员会（共</w:t>
      </w:r>
      <w:r w:rsidRPr="0075492F">
        <w:rPr>
          <w:rFonts w:eastAsia="黑体"/>
          <w:kern w:val="0"/>
          <w:szCs w:val="32"/>
        </w:rPr>
        <w:t>1</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680"/>
          <w:tblHeader/>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680"/>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对医疗美容服务的检查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十七、市应急管理局（共</w:t>
      </w:r>
      <w:r w:rsidRPr="0075492F">
        <w:rPr>
          <w:rFonts w:eastAsia="黑体"/>
          <w:kern w:val="0"/>
          <w:szCs w:val="32"/>
        </w:rPr>
        <w:t>7</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权力类型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对化工（含石油化工）、医药、危险化学品和烟花爆竹行业安全生产监管检查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对非煤矿山（含地质勘探）、石油（炼化、成品油管道除外）行业安全生产监督检查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对有色、建材、机械、轻工、纺织、烟草、商贸等工商贸行业安全生产监督检查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对安全生产检测检验、安全评价、教育培训等中介机构的监督检查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对非煤矿山（含地质勘探、尾矿库）、石油（炼化、成品油管道除外）行业安全生产监督检查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对冶金、有色、建材、机械、轻工、纺织、烟草、商贸等工商贸行业安全生产监督检查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rPr>
            </w:pPr>
            <w:r w:rsidRPr="0075492F">
              <w:rPr>
                <w:color w:val="000000"/>
                <w:kern w:val="0"/>
                <w:sz w:val="24"/>
                <w:lang/>
              </w:rPr>
              <w:t>7</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adjustRightInd w:val="0"/>
              <w:snapToGrid w:val="0"/>
              <w:spacing w:line="240" w:lineRule="auto"/>
              <w:ind w:firstLineChars="0" w:firstLine="0"/>
              <w:textAlignment w:val="center"/>
              <w:rPr>
                <w:color w:val="000000"/>
                <w:kern w:val="0"/>
                <w:sz w:val="24"/>
              </w:rPr>
            </w:pPr>
            <w:r w:rsidRPr="0075492F">
              <w:rPr>
                <w:rFonts w:hint="eastAsia"/>
                <w:color w:val="000000"/>
                <w:kern w:val="0"/>
                <w:sz w:val="24"/>
                <w:lang/>
              </w:rPr>
              <w:t>对化工工业建设工程质量监督检查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十八、市市场监督管理局（共</w:t>
      </w:r>
      <w:r w:rsidRPr="0075492F">
        <w:rPr>
          <w:rFonts w:eastAsia="黑体"/>
          <w:kern w:val="0"/>
          <w:szCs w:val="32"/>
        </w:rPr>
        <w:t>48</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95"/>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Ansi="黑体" w:hint="eastAsia"/>
                <w:color w:val="000000"/>
                <w:kern w:val="0"/>
                <w:sz w:val="24"/>
                <w:lang/>
              </w:rPr>
              <w:t>事项名称</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对检验检测机构进行监督检查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对登记注册事项的监督检查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对公示信息的监督检查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对电子商务经营行为的监督检查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对价格活动的监督检查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对直销行为的监督检查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对广告行为的监督检查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对产品质量的监督抽查</w:t>
            </w:r>
          </w:p>
        </w:tc>
      </w:tr>
      <w:tr w:rsidR="00443700" w:rsidRPr="0075492F" w:rsidTr="00FE5C68">
        <w:trPr>
          <w:trHeight w:hRule="exact" w:val="595"/>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对工业产品生产许可证产品生产企业的检查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对棉花经营者活动实施监督检查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对毛绒纤维经营者活动监督检查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对特种设备生产、经营、使用单位和检验、检测机构的监督检查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对特种设备检验、检测机构的检验、检测结果和鉴定结论的监督抽查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对高耗能特种设备的生产、使用单位及检验检测机构的监督检查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对锅炉生产、进口、销售和使用环节执行环境保护标准或者要求情况的监督检查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对食品生产者的监督检查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rPr>
            </w:pPr>
            <w:r w:rsidRPr="0075492F">
              <w:rPr>
                <w:color w:val="000000"/>
                <w:kern w:val="0"/>
                <w:sz w:val="24"/>
              </w:rPr>
              <w:t>17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对餐饮服务食品安全的监督检查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对食用农产品销售市场质量安全的检查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对特殊食品生产经营单位的监督检查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对计量器具的监督检查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对商品量计量的监督检查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对能效标识计量的监督检查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对水效标识计量的监督检查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对能源计量的监督检查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对法定计量机构的监督检查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对法定计量单位使用的监督检查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标准实施监督检查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对认证活动和认证结果的监督检查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认可机构监督检查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对涉嫌侵犯他人注册商标专用权的行为检查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对涉嫌假冒专利行为的检查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对侵犯奥林匹克标志专有权的行为检查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对侵犯特殊标志专有权的行为检查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对侵犯世界博览会标志专有权的行为检查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专利代理机构和专利代理师检查监督</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药品零售连锁总部行政检查（省局委托）</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中药饮片专营批发企业行政检查（省局委托）</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药品零售企业的行政检查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中药饮片生产环节行政检查（省局委托）</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药用辅料生产环节行政检查（省局委托）</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医用氧生产环节行政检查（省局委托）</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直接接触药品包装材料和容器生产环节行政检查（省局委托）</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化妆品生产环节行政检查（省局委托）</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医疗器械生产监督检查（一类医疗器械监管，部分二类医疗器械受省局委托监管）</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监督和指导实施医疗器械经营监督检查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监督和指导实施医疗器械使用单位监督检查</w:t>
            </w:r>
          </w:p>
        </w:tc>
      </w:tr>
      <w:tr w:rsidR="00443700" w:rsidRPr="0075492F" w:rsidTr="00FE5C68">
        <w:trPr>
          <w:trHeight w:hRule="exact" w:val="62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医疗器械产品监督抽验</w:t>
            </w:r>
          </w:p>
        </w:tc>
      </w:tr>
      <w:tr w:rsidR="00443700" w:rsidRPr="0075492F" w:rsidTr="00FE5C68">
        <w:trPr>
          <w:trHeight w:hRule="exact" w:val="1418"/>
        </w:trPr>
        <w:tc>
          <w:tcPr>
            <w:tcW w:w="626" w:type="pct"/>
            <w:vAlign w:val="center"/>
          </w:tcPr>
          <w:p w:rsidR="00443700" w:rsidRPr="0075492F" w:rsidRDefault="00443700" w:rsidP="004215C9">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color w:val="000000"/>
                <w:kern w:val="0"/>
                <w:sz w:val="24"/>
                <w:lang/>
              </w:rPr>
              <w:t>48</w:t>
            </w:r>
          </w:p>
        </w:tc>
        <w:tc>
          <w:tcPr>
            <w:tcW w:w="1096" w:type="pct"/>
            <w:vAlign w:val="center"/>
          </w:tcPr>
          <w:p w:rsidR="00443700" w:rsidRPr="0075492F" w:rsidRDefault="00443700" w:rsidP="004215C9">
            <w:pPr>
              <w:widowControl/>
              <w:autoSpaceDE w:val="0"/>
              <w:autoSpaceDN w:val="0"/>
              <w:snapToGrid w:val="0"/>
              <w:spacing w:line="340" w:lineRule="exact"/>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340" w:lineRule="exact"/>
              <w:ind w:firstLineChars="0" w:firstLine="0"/>
              <w:textAlignment w:val="center"/>
              <w:rPr>
                <w:color w:val="000000"/>
                <w:kern w:val="0"/>
                <w:sz w:val="24"/>
                <w:lang w:val="zh-CN"/>
              </w:rPr>
            </w:pPr>
            <w:r w:rsidRPr="0075492F">
              <w:rPr>
                <w:rFonts w:hint="eastAsia"/>
                <w:color w:val="000000"/>
                <w:kern w:val="0"/>
                <w:sz w:val="24"/>
                <w:lang/>
              </w:rPr>
              <w:t>一类医疗器械、部分二类医疗器械（定制式义齿、手动轮椅车、防褥疮气床垫、贴敷类、电动手动床（台）类、手动牵引类产品）生产环节行政检查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十九、市体育局（共</w:t>
      </w:r>
      <w:r w:rsidRPr="0075492F">
        <w:rPr>
          <w:rFonts w:eastAsia="黑体"/>
          <w:kern w:val="0"/>
          <w:szCs w:val="32"/>
        </w:rPr>
        <w:t>1</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对经营高危险性体育项目的监管</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二十、市统计局（共</w:t>
      </w:r>
      <w:r w:rsidRPr="0075492F">
        <w:rPr>
          <w:rFonts w:eastAsia="黑体"/>
          <w:kern w:val="0"/>
          <w:szCs w:val="32"/>
        </w:rPr>
        <w:t>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事项名称</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对调查对象贯彻执行统计法律法规规章及统计制度情况的检查</w:t>
            </w:r>
          </w:p>
        </w:tc>
      </w:tr>
      <w:tr w:rsidR="00443700" w:rsidRPr="0075492F" w:rsidTr="00FE5C68">
        <w:trPr>
          <w:trHeight w:hRule="exact" w:val="851"/>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对涉外调查机构遵守涉外调查管理法律法规规章情况的检查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二十一、市人民防空办公室（共</w:t>
      </w:r>
      <w:r w:rsidRPr="0075492F">
        <w:rPr>
          <w:rFonts w:eastAsia="黑体"/>
          <w:kern w:val="0"/>
          <w:szCs w:val="32"/>
        </w:rPr>
        <w:t>12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事项名称</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对人民防空指挥通信终端设备和警报通信终端设备设置单位对终端设备维护情况的行政检查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对城市地下空间开发利用兼顾人民防空要求的行政检查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对人民防空教育的行政检查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对城市和经济目标的人民防空建设的行政检查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5</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对人防工程维护管理的行政检查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6</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对人防工程防护设备生产安装企业的行政检查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7</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对人民防空工程监理企业的行政检查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8</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对人民防空工程质量的行政检查</w:t>
            </w:r>
          </w:p>
        </w:tc>
      </w:tr>
      <w:tr w:rsidR="00443700" w:rsidRPr="0075492F" w:rsidTr="00FE5C68">
        <w:trPr>
          <w:trHeight w:hRule="exact" w:val="73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9</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在危及人防工程安全范围内埋设管道、修建地面工程审批及人防工程改造、拆除行为的行政检查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10</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对人民防空工程设计企业的行政检查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对防空地下室建设的行政检查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对人防通信、警报设施终端设置单位的行政检查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二十二、市地方金融监督管理局（共</w:t>
      </w:r>
      <w:r w:rsidRPr="0075492F">
        <w:rPr>
          <w:rFonts w:eastAsia="黑体"/>
          <w:kern w:val="0"/>
          <w:szCs w:val="32"/>
        </w:rPr>
        <w:t>4</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序号</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权利类型</w:t>
            </w:r>
          </w:p>
        </w:tc>
        <w:tc>
          <w:tcPr>
            <w:tcW w:w="3278" w:type="pct"/>
            <w:vAlign w:val="center"/>
          </w:tcPr>
          <w:p w:rsidR="00443700" w:rsidRPr="0075492F" w:rsidRDefault="00443700">
            <w:pPr>
              <w:widowControl/>
              <w:autoSpaceDE w:val="0"/>
              <w:autoSpaceDN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事项名称</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对融资担保公司经营业务的检查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对典当行经营业务的检查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3</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对地方金融组织业务活动及其风险状况的检查</w:t>
            </w:r>
          </w:p>
        </w:tc>
      </w:tr>
      <w:tr w:rsidR="00443700" w:rsidRPr="0075492F" w:rsidTr="00FE5C68">
        <w:trPr>
          <w:trHeight w:hRule="exact" w:val="567"/>
        </w:trPr>
        <w:tc>
          <w:tcPr>
            <w:tcW w:w="62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color w:val="000000"/>
                <w:kern w:val="0"/>
                <w:sz w:val="24"/>
                <w:lang/>
              </w:rPr>
              <w:t>4</w:t>
            </w:r>
          </w:p>
        </w:tc>
        <w:tc>
          <w:tcPr>
            <w:tcW w:w="1096" w:type="pct"/>
            <w:vAlign w:val="center"/>
          </w:tcPr>
          <w:p w:rsidR="00443700" w:rsidRPr="0075492F" w:rsidRDefault="00443700">
            <w:pPr>
              <w:widowControl/>
              <w:autoSpaceDE w:val="0"/>
              <w:autoSpaceDN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pPr>
              <w:widowControl/>
              <w:autoSpaceDE w:val="0"/>
              <w:autoSpaceDN w:val="0"/>
              <w:snapToGrid w:val="0"/>
              <w:spacing w:line="240" w:lineRule="auto"/>
              <w:ind w:firstLineChars="0" w:firstLine="0"/>
              <w:jc w:val="left"/>
              <w:textAlignment w:val="center"/>
              <w:rPr>
                <w:color w:val="000000"/>
                <w:kern w:val="0"/>
                <w:sz w:val="24"/>
                <w:lang w:val="zh-CN"/>
              </w:rPr>
            </w:pPr>
            <w:r w:rsidRPr="0075492F">
              <w:rPr>
                <w:rFonts w:hint="eastAsia"/>
                <w:color w:val="000000"/>
                <w:kern w:val="0"/>
                <w:sz w:val="24"/>
                <w:lang/>
              </w:rPr>
              <w:t>对涉嫌非法集资行为的检查</w:t>
            </w:r>
          </w:p>
        </w:tc>
      </w:tr>
    </w:tbl>
    <w:p w:rsidR="00443700" w:rsidRPr="0075492F" w:rsidRDefault="00443700" w:rsidP="00491FCF">
      <w:pPr>
        <w:autoSpaceDE w:val="0"/>
        <w:autoSpaceDN w:val="0"/>
        <w:adjustRightInd w:val="0"/>
        <w:snapToGrid w:val="0"/>
        <w:spacing w:line="600" w:lineRule="exact"/>
        <w:ind w:firstLineChars="0" w:firstLine="0"/>
        <w:rPr>
          <w:rFonts w:eastAsia="黑体"/>
          <w:kern w:val="0"/>
          <w:szCs w:val="32"/>
        </w:rPr>
      </w:pPr>
      <w:r w:rsidRPr="0075492F">
        <w:rPr>
          <w:rFonts w:eastAsia="黑体" w:hint="eastAsia"/>
          <w:kern w:val="0"/>
          <w:szCs w:val="32"/>
        </w:rPr>
        <w:t>二十三、市医疗保障局（共</w:t>
      </w:r>
      <w:r w:rsidRPr="0075492F">
        <w:rPr>
          <w:rFonts w:eastAsia="黑体"/>
          <w:kern w:val="0"/>
          <w:szCs w:val="32"/>
        </w:rPr>
        <w:t>2</w:t>
      </w:r>
      <w:r w:rsidRPr="0075492F">
        <w:rPr>
          <w:rFonts w:eastAsia="黑体" w:hint="eastAsia"/>
          <w:kern w:val="0"/>
          <w:szCs w:val="32"/>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986"/>
        <w:gridCol w:w="5940"/>
      </w:tblGrid>
      <w:tr w:rsidR="00443700" w:rsidRPr="0075492F" w:rsidTr="00FE5C68">
        <w:trPr>
          <w:trHeight w:hRule="exact" w:val="567"/>
          <w:tblHeader/>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序号</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权利类型</w:t>
            </w:r>
          </w:p>
        </w:tc>
        <w:tc>
          <w:tcPr>
            <w:tcW w:w="3278"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rFonts w:eastAsia="黑体"/>
                <w:color w:val="000000"/>
                <w:kern w:val="0"/>
                <w:sz w:val="24"/>
                <w:lang w:val="zh-CN"/>
              </w:rPr>
            </w:pPr>
            <w:r w:rsidRPr="0075492F">
              <w:rPr>
                <w:rFonts w:eastAsia="黑体" w:hint="eastAsia"/>
                <w:color w:val="000000"/>
                <w:kern w:val="0"/>
                <w:sz w:val="24"/>
                <w:lang/>
              </w:rPr>
              <w:t>事项名称</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1</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对用人单位和个人遵守医疗保险法律、法规情况进行监督检查</w:t>
            </w:r>
          </w:p>
        </w:tc>
      </w:tr>
      <w:tr w:rsidR="00443700" w:rsidRPr="0075492F" w:rsidTr="00FE5C68">
        <w:trPr>
          <w:trHeight w:hRule="exact" w:val="794"/>
        </w:trPr>
        <w:tc>
          <w:tcPr>
            <w:tcW w:w="62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color w:val="000000"/>
                <w:kern w:val="0"/>
                <w:sz w:val="24"/>
                <w:lang/>
              </w:rPr>
              <w:t>2</w:t>
            </w:r>
          </w:p>
        </w:tc>
        <w:tc>
          <w:tcPr>
            <w:tcW w:w="1096" w:type="pct"/>
            <w:vAlign w:val="center"/>
          </w:tcPr>
          <w:p w:rsidR="00443700" w:rsidRPr="0075492F" w:rsidRDefault="00443700">
            <w:pPr>
              <w:widowControl/>
              <w:autoSpaceDE w:val="0"/>
              <w:autoSpaceDN w:val="0"/>
              <w:snapToGrid w:val="0"/>
              <w:spacing w:line="240" w:lineRule="auto"/>
              <w:ind w:firstLineChars="0" w:firstLine="0"/>
              <w:jc w:val="center"/>
              <w:textAlignment w:val="center"/>
              <w:rPr>
                <w:color w:val="000000"/>
                <w:kern w:val="0"/>
                <w:sz w:val="24"/>
                <w:lang w:val="zh-CN"/>
              </w:rPr>
            </w:pPr>
            <w:r w:rsidRPr="0075492F">
              <w:rPr>
                <w:rFonts w:hint="eastAsia"/>
                <w:color w:val="000000"/>
                <w:kern w:val="0"/>
                <w:sz w:val="24"/>
                <w:lang/>
              </w:rPr>
              <w:t>行政检查</w:t>
            </w:r>
          </w:p>
        </w:tc>
        <w:tc>
          <w:tcPr>
            <w:tcW w:w="3278" w:type="pct"/>
            <w:vAlign w:val="center"/>
          </w:tcPr>
          <w:p w:rsidR="00443700" w:rsidRPr="0075492F" w:rsidRDefault="00443700" w:rsidP="00491FCF">
            <w:pPr>
              <w:widowControl/>
              <w:autoSpaceDE w:val="0"/>
              <w:autoSpaceDN w:val="0"/>
              <w:snapToGrid w:val="0"/>
              <w:spacing w:line="240" w:lineRule="auto"/>
              <w:ind w:firstLineChars="0" w:firstLine="0"/>
              <w:textAlignment w:val="center"/>
              <w:rPr>
                <w:color w:val="000000"/>
                <w:kern w:val="0"/>
                <w:sz w:val="24"/>
                <w:lang w:val="zh-CN"/>
              </w:rPr>
            </w:pPr>
            <w:r w:rsidRPr="0075492F">
              <w:rPr>
                <w:rFonts w:hint="eastAsia"/>
                <w:color w:val="000000"/>
                <w:kern w:val="0"/>
                <w:sz w:val="24"/>
                <w:lang/>
              </w:rPr>
              <w:t>对纳入基本医疗保险基金支付范围的医疗服务行为和医疗费用进行监督管理</w:t>
            </w:r>
          </w:p>
        </w:tc>
      </w:tr>
    </w:tbl>
    <w:p w:rsidR="00443700" w:rsidRPr="0075492F" w:rsidRDefault="00443700" w:rsidP="00443700">
      <w:pPr>
        <w:ind w:firstLine="31680"/>
      </w:pPr>
    </w:p>
    <w:p w:rsidR="00443700" w:rsidRPr="0075492F" w:rsidRDefault="00443700" w:rsidP="008127F0">
      <w:pPr>
        <w:ind w:firstLine="31680"/>
      </w:pPr>
    </w:p>
    <w:p w:rsidR="00443700" w:rsidRPr="0075492F" w:rsidRDefault="00443700" w:rsidP="00D71E9E">
      <w:pPr>
        <w:ind w:firstLine="31680"/>
      </w:pPr>
    </w:p>
    <w:sectPr w:rsidR="00443700" w:rsidRPr="0075492F" w:rsidSect="00CE6DCC">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00" w:rsidRDefault="00443700" w:rsidP="00D71E9E">
      <w:pPr>
        <w:spacing w:line="240" w:lineRule="auto"/>
        <w:ind w:firstLine="31680"/>
      </w:pPr>
      <w:r>
        <w:separator/>
      </w:r>
    </w:p>
  </w:endnote>
  <w:endnote w:type="continuationSeparator" w:id="0">
    <w:p w:rsidR="00443700" w:rsidRDefault="00443700" w:rsidP="00D71E9E">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Default="00443700" w:rsidP="004838EC">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Default="00443700" w:rsidP="00D71E9E">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Default="00443700" w:rsidP="004838EC">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00" w:rsidRDefault="00443700" w:rsidP="00D71E9E">
      <w:pPr>
        <w:spacing w:line="240" w:lineRule="auto"/>
        <w:ind w:firstLine="31680"/>
      </w:pPr>
      <w:r>
        <w:separator/>
      </w:r>
    </w:p>
  </w:footnote>
  <w:footnote w:type="continuationSeparator" w:id="0">
    <w:p w:rsidR="00443700" w:rsidRDefault="00443700" w:rsidP="00D71E9E">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Default="00443700" w:rsidP="004838EC">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Pr="00223B7C" w:rsidRDefault="00443700" w:rsidP="00223B7C">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00" w:rsidRDefault="00443700" w:rsidP="004838EC">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E0ZDYzYTJiNDU2ZjQ1MjEwZTA3NmUwNWQ1ODg3ZTkifQ=="/>
  </w:docVars>
  <w:rsids>
    <w:rsidRoot w:val="006964B1"/>
    <w:rsid w:val="AFFBD438"/>
    <w:rsid w:val="B7E92280"/>
    <w:rsid w:val="C8C630D4"/>
    <w:rsid w:val="00086D0F"/>
    <w:rsid w:val="000D65E8"/>
    <w:rsid w:val="000F7417"/>
    <w:rsid w:val="00223B7C"/>
    <w:rsid w:val="002B7562"/>
    <w:rsid w:val="0034771E"/>
    <w:rsid w:val="003E7234"/>
    <w:rsid w:val="004215C9"/>
    <w:rsid w:val="00436BBC"/>
    <w:rsid w:val="00443700"/>
    <w:rsid w:val="004838EC"/>
    <w:rsid w:val="00491FCF"/>
    <w:rsid w:val="00672D57"/>
    <w:rsid w:val="006964B1"/>
    <w:rsid w:val="0075492F"/>
    <w:rsid w:val="007B04D3"/>
    <w:rsid w:val="007D233F"/>
    <w:rsid w:val="008127F0"/>
    <w:rsid w:val="00841D70"/>
    <w:rsid w:val="00904A24"/>
    <w:rsid w:val="00C857DF"/>
    <w:rsid w:val="00CE6DCC"/>
    <w:rsid w:val="00D26F89"/>
    <w:rsid w:val="00D71E9E"/>
    <w:rsid w:val="00E101F9"/>
    <w:rsid w:val="00F03007"/>
    <w:rsid w:val="00F16204"/>
    <w:rsid w:val="00FE5C68"/>
    <w:rsid w:val="0553391A"/>
    <w:rsid w:val="161E53D5"/>
    <w:rsid w:val="19227FB5"/>
    <w:rsid w:val="24E94DE6"/>
    <w:rsid w:val="3CCD3B12"/>
    <w:rsid w:val="3CF101C4"/>
    <w:rsid w:val="460B479A"/>
    <w:rsid w:val="4BD44D46"/>
    <w:rsid w:val="4C0B1D2A"/>
    <w:rsid w:val="4DDD9735"/>
    <w:rsid w:val="7A4951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B1"/>
    <w:pPr>
      <w:widowControl w:val="0"/>
      <w:spacing w:line="588" w:lineRule="exact"/>
      <w:ind w:firstLineChars="200" w:firstLine="640"/>
      <w:jc w:val="both"/>
    </w:pPr>
    <w:rPr>
      <w:rFonts w:ascii="Times New Roman" w:eastAsia="仿宋_GB2312" w:hAnsi="Times New Roman"/>
      <w:sz w:val="32"/>
      <w:szCs w:val="24"/>
    </w:rPr>
  </w:style>
  <w:style w:type="paragraph" w:styleId="Heading1">
    <w:name w:val="heading 1"/>
    <w:basedOn w:val="Normal"/>
    <w:next w:val="Normal"/>
    <w:link w:val="Heading1Char"/>
    <w:uiPriority w:val="99"/>
    <w:qFormat/>
    <w:rsid w:val="006964B1"/>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6E"/>
    <w:rPr>
      <w:rFonts w:ascii="Times New Roman" w:eastAsia="仿宋_GB2312" w:hAnsi="Times New Roman"/>
      <w:b/>
      <w:bCs/>
      <w:kern w:val="44"/>
      <w:sz w:val="44"/>
      <w:szCs w:val="44"/>
    </w:rPr>
  </w:style>
  <w:style w:type="paragraph" w:styleId="Footer">
    <w:name w:val="footer"/>
    <w:basedOn w:val="Normal"/>
    <w:link w:val="FooterChar"/>
    <w:uiPriority w:val="99"/>
    <w:rsid w:val="006964B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F476E"/>
    <w:rPr>
      <w:rFonts w:ascii="Times New Roman" w:eastAsia="仿宋_GB2312" w:hAnsi="Times New Roman"/>
      <w:sz w:val="18"/>
      <w:szCs w:val="18"/>
    </w:rPr>
  </w:style>
  <w:style w:type="table" w:styleId="TableGrid">
    <w:name w:val="Table Grid"/>
    <w:basedOn w:val="TableNormal"/>
    <w:uiPriority w:val="99"/>
    <w:rsid w:val="006964B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6964B1"/>
    <w:rPr>
      <w:rFonts w:ascii="宋体" w:eastAsia="宋体" w:hAnsi="宋体" w:cs="宋体"/>
    </w:rPr>
  </w:style>
  <w:style w:type="character" w:customStyle="1" w:styleId="font11">
    <w:name w:val="font11"/>
    <w:basedOn w:val="DefaultParagraphFont"/>
    <w:uiPriority w:val="99"/>
    <w:rsid w:val="006964B1"/>
    <w:rPr>
      <w:rFonts w:ascii="宋体" w:eastAsia="宋体" w:hAnsi="宋体" w:cs="宋体"/>
      <w:color w:val="000000"/>
      <w:sz w:val="28"/>
      <w:szCs w:val="28"/>
      <w:u w:val="none"/>
    </w:rPr>
  </w:style>
  <w:style w:type="paragraph" w:styleId="Header">
    <w:name w:val="header"/>
    <w:basedOn w:val="Normal"/>
    <w:link w:val="HeaderChar"/>
    <w:uiPriority w:val="99"/>
    <w:rsid w:val="004838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9F476E"/>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1075</TotalTime>
  <Pages>15</Pages>
  <Words>1150</Words>
  <Characters>6555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廊坊市人民政府办公室</dc:title>
  <dc:subject/>
  <dc:creator>12543</dc:creator>
  <cp:keywords/>
  <dc:description/>
  <cp:lastModifiedBy>lenovo</cp:lastModifiedBy>
  <cp:revision>27</cp:revision>
  <cp:lastPrinted>2023-01-19T09:41:00Z</cp:lastPrinted>
  <dcterms:created xsi:type="dcterms:W3CDTF">2023-01-19T08:55:00Z</dcterms:created>
  <dcterms:modified xsi:type="dcterms:W3CDTF">2023-01-20T02:37:00Z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BFA41CBFF3F34083B2C99CCC7A3E50D2</vt:lpwstr>
  </property>
</Properties>
</file>