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89E" w:rsidRDefault="0041489E" w:rsidP="0041489E">
      <w:pPr>
        <w:suppressAutoHyphens/>
        <w:snapToGrid w:val="0"/>
        <w:spacing w:line="560" w:lineRule="exact"/>
        <w:rPr>
          <w:rFonts w:ascii="仿宋" w:eastAsia="仿宋" w:hAnsi="仿宋"/>
          <w:color w:val="000000"/>
          <w:spacing w:val="0"/>
          <w:szCs w:val="32"/>
        </w:rPr>
      </w:pPr>
      <w:r>
        <w:rPr>
          <w:rFonts w:ascii="方正黑体_GBK" w:eastAsia="方正黑体_GBK" w:hAnsi="方正黑体_GBK" w:cs="方正黑体_GBK" w:hint="eastAsia"/>
          <w:color w:val="000000"/>
          <w:spacing w:val="0"/>
          <w:szCs w:val="32"/>
        </w:rPr>
        <w:t>附件3</w:t>
      </w:r>
    </w:p>
    <w:p w:rsidR="0041489E" w:rsidRDefault="0041489E" w:rsidP="0041489E">
      <w:pPr>
        <w:suppressAutoHyphens/>
        <w:snapToGrid w:val="0"/>
        <w:spacing w:line="560" w:lineRule="exact"/>
        <w:jc w:val="center"/>
        <w:rPr>
          <w:rFonts w:ascii="宋体" w:eastAsia="宋体" w:hAnsi="宋体" w:hint="eastAsia"/>
          <w:b/>
          <w:bCs/>
          <w:color w:val="000000"/>
          <w:spacing w:val="0"/>
          <w:sz w:val="44"/>
          <w:szCs w:val="44"/>
        </w:rPr>
      </w:pPr>
    </w:p>
    <w:p w:rsidR="0041489E" w:rsidRDefault="0041489E" w:rsidP="0041489E">
      <w:pPr>
        <w:suppressAutoHyphens/>
        <w:snapToGrid w:val="0"/>
        <w:spacing w:line="560" w:lineRule="exact"/>
        <w:jc w:val="center"/>
        <w:rPr>
          <w:rFonts w:ascii="宋体" w:eastAsia="宋体" w:hAnsi="宋体"/>
          <w:b/>
          <w:bCs/>
          <w:color w:val="000000"/>
          <w:spacing w:val="0"/>
          <w:sz w:val="44"/>
          <w:szCs w:val="44"/>
        </w:rPr>
      </w:pPr>
      <w:r>
        <w:rPr>
          <w:rFonts w:ascii="宋体" w:eastAsia="宋体" w:hAnsi="宋体" w:hint="eastAsia"/>
          <w:b/>
          <w:bCs/>
          <w:color w:val="000000"/>
          <w:spacing w:val="0"/>
          <w:sz w:val="44"/>
          <w:szCs w:val="44"/>
        </w:rPr>
        <w:t>国家“四科”重点培育企业评价</w:t>
      </w:r>
      <w:r>
        <w:rPr>
          <w:rFonts w:ascii="宋体" w:eastAsia="宋体" w:hAnsi="宋体"/>
          <w:b/>
          <w:bCs/>
          <w:color w:val="000000"/>
          <w:spacing w:val="0"/>
          <w:sz w:val="44"/>
          <w:szCs w:val="44"/>
        </w:rPr>
        <w:t>标准</w:t>
      </w:r>
    </w:p>
    <w:p w:rsidR="0041489E" w:rsidRDefault="0041489E" w:rsidP="0041489E">
      <w:pPr>
        <w:suppressAutoHyphens/>
        <w:topLinePunct/>
        <w:snapToGrid w:val="0"/>
        <w:spacing w:line="560" w:lineRule="exact"/>
        <w:ind w:firstLineChars="200" w:firstLine="420"/>
        <w:rPr>
          <w:rFonts w:ascii="Calibri" w:eastAsia="宋体" w:hAnsi="Calibri"/>
          <w:bCs/>
          <w:color w:val="000000"/>
          <w:spacing w:val="0"/>
          <w:sz w:val="21"/>
          <w:szCs w:val="32"/>
        </w:rPr>
      </w:pPr>
    </w:p>
    <w:p w:rsidR="0041489E" w:rsidRDefault="0041489E" w:rsidP="0041489E">
      <w:pPr>
        <w:suppressAutoHyphens/>
        <w:topLinePunct/>
        <w:snapToGrid w:val="0"/>
        <w:spacing w:line="560" w:lineRule="exact"/>
        <w:ind w:firstLineChars="200" w:firstLine="640"/>
        <w:rPr>
          <w:rFonts w:ascii="Calibri" w:hAnsi="Calibri"/>
          <w:bCs/>
          <w:color w:val="000000"/>
          <w:spacing w:val="0"/>
          <w:szCs w:val="32"/>
        </w:rPr>
      </w:pPr>
      <w:r>
        <w:rPr>
          <w:rFonts w:ascii="Calibri" w:hAnsi="Calibri" w:hint="eastAsia"/>
          <w:bCs/>
          <w:color w:val="000000"/>
          <w:spacing w:val="0"/>
          <w:szCs w:val="32"/>
        </w:rPr>
        <w:t>企业获得过国家科技型中小企业</w:t>
      </w:r>
      <w:r>
        <w:rPr>
          <w:rFonts w:ascii="仿宋" w:eastAsia="仿宋" w:hAnsi="仿宋" w:hint="eastAsia"/>
          <w:color w:val="000000"/>
          <w:spacing w:val="0"/>
          <w:szCs w:val="32"/>
        </w:rPr>
        <w:t>入库登记编号，</w:t>
      </w:r>
      <w:r>
        <w:rPr>
          <w:rFonts w:ascii="Calibri" w:hAnsi="Calibri" w:hint="eastAsia"/>
          <w:bCs/>
          <w:color w:val="000000"/>
          <w:spacing w:val="0"/>
          <w:szCs w:val="32"/>
        </w:rPr>
        <w:t>同时满足以下标准：</w:t>
      </w:r>
    </w:p>
    <w:p w:rsidR="0041489E" w:rsidRDefault="0041489E" w:rsidP="0041489E">
      <w:pPr>
        <w:tabs>
          <w:tab w:val="left" w:pos="312"/>
        </w:tabs>
        <w:suppressAutoHyphens/>
        <w:snapToGrid w:val="0"/>
        <w:spacing w:line="560" w:lineRule="exact"/>
        <w:ind w:firstLineChars="200" w:firstLine="616"/>
        <w:rPr>
          <w:rFonts w:hAnsi="仿宋"/>
          <w:b/>
          <w:color w:val="000000"/>
          <w:spacing w:val="-6"/>
          <w:szCs w:val="32"/>
        </w:rPr>
      </w:pPr>
      <w:r>
        <w:rPr>
          <w:rFonts w:ascii="黑体" w:eastAsia="黑体" w:hAnsi="黑体" w:hint="eastAsia"/>
          <w:color w:val="000000"/>
          <w:spacing w:val="-6"/>
          <w:szCs w:val="32"/>
        </w:rPr>
        <w:t>一、企业要拥有关键核心技术的科技产品</w:t>
      </w:r>
      <w:r>
        <w:rPr>
          <w:rFonts w:hAnsi="仿宋" w:hint="eastAsia"/>
          <w:color w:val="000000"/>
          <w:spacing w:val="-6"/>
          <w:szCs w:val="32"/>
        </w:rPr>
        <w:t>。企业拥有的关键核心技术主要体现为以高价值知识产权为代表的科技成果，且关键核心技术应用于企业提供的主营产品（服务）中。</w:t>
      </w:r>
    </w:p>
    <w:p w:rsidR="0041489E" w:rsidRDefault="0041489E" w:rsidP="0041489E">
      <w:pPr>
        <w:tabs>
          <w:tab w:val="left" w:pos="312"/>
        </w:tabs>
        <w:suppressAutoHyphens/>
        <w:snapToGrid w:val="0"/>
        <w:spacing w:line="560" w:lineRule="exact"/>
        <w:ind w:firstLineChars="200" w:firstLine="616"/>
        <w:rPr>
          <w:rFonts w:hAnsi="仿宋"/>
          <w:b/>
          <w:color w:val="000000"/>
          <w:spacing w:val="-6"/>
          <w:szCs w:val="32"/>
        </w:rPr>
      </w:pPr>
      <w:r>
        <w:rPr>
          <w:rFonts w:ascii="黑体" w:eastAsia="黑体" w:hAnsi="黑体" w:hint="eastAsia"/>
          <w:color w:val="000000"/>
          <w:spacing w:val="-6"/>
          <w:szCs w:val="32"/>
        </w:rPr>
        <w:t>二、科技人员占比大于40%</w:t>
      </w:r>
      <w:r>
        <w:rPr>
          <w:rFonts w:hAnsi="仿宋" w:hint="eastAsia"/>
          <w:color w:val="000000"/>
          <w:spacing w:val="-6"/>
          <w:szCs w:val="32"/>
        </w:rPr>
        <w:t>。科技人员占比指企业科技人员数占企业职工总数的比例。科技人员占比须达到40%或以上，其中制造业企业科技人员占比须达到20%或以上。</w:t>
      </w:r>
    </w:p>
    <w:p w:rsidR="0041489E" w:rsidRDefault="0041489E" w:rsidP="0041489E">
      <w:pPr>
        <w:tabs>
          <w:tab w:val="left" w:pos="312"/>
        </w:tabs>
        <w:suppressAutoHyphens/>
        <w:snapToGrid w:val="0"/>
        <w:spacing w:line="560" w:lineRule="exact"/>
        <w:ind w:firstLineChars="200" w:firstLine="616"/>
        <w:rPr>
          <w:rFonts w:hAnsi="仿宋"/>
          <w:b/>
          <w:color w:val="000000"/>
          <w:spacing w:val="-6"/>
          <w:szCs w:val="32"/>
        </w:rPr>
      </w:pPr>
      <w:r>
        <w:rPr>
          <w:rFonts w:ascii="黑体" w:eastAsia="黑体" w:hAnsi="黑体" w:hint="eastAsia"/>
          <w:color w:val="000000"/>
          <w:spacing w:val="-6"/>
          <w:szCs w:val="32"/>
        </w:rPr>
        <w:t>三、以高价值知识产权为代表的科技成果超过3项</w:t>
      </w:r>
      <w:r>
        <w:rPr>
          <w:rFonts w:hAnsi="仿宋" w:hint="eastAsia"/>
          <w:color w:val="000000"/>
          <w:spacing w:val="-6"/>
          <w:szCs w:val="32"/>
        </w:rPr>
        <w:t>。高价值知识产权主要是指高价值发明专利。根据国家知识产权局相关规定，属于战略性新兴产业的发明专利、在海外有同族专利权的发明专利、维持年限超过10年的发明专利、实现较高质押融资金额的发明专利、获得国家科学技术奖或中国专利奖的发明专利等5类有效发明专利属于高价值发明专利。企业拥有的高价值发明专利须达到3项或以上。</w:t>
      </w:r>
    </w:p>
    <w:p w:rsidR="00263209" w:rsidRDefault="0041489E" w:rsidP="0041489E">
      <w:pPr>
        <w:ind w:firstLineChars="200" w:firstLine="616"/>
      </w:pPr>
      <w:bookmarkStart w:id="0" w:name="_GoBack"/>
      <w:bookmarkEnd w:id="0"/>
      <w:r>
        <w:rPr>
          <w:rFonts w:ascii="黑体" w:eastAsia="黑体" w:hAnsi="黑体" w:hint="eastAsia"/>
          <w:color w:val="000000"/>
          <w:spacing w:val="-6"/>
          <w:szCs w:val="32"/>
        </w:rPr>
        <w:t>四、研发投入强度高于4%</w:t>
      </w:r>
      <w:r>
        <w:rPr>
          <w:rFonts w:hAnsi="仿宋" w:hint="eastAsia"/>
          <w:color w:val="000000"/>
          <w:spacing w:val="-6"/>
          <w:szCs w:val="32"/>
        </w:rPr>
        <w:t>。研发投入强度指企业研发费用总额占销售收入总额的比例。企业研发投入强度须达到4%或以上。</w:t>
      </w:r>
    </w:p>
    <w:sectPr w:rsidR="00263209" w:rsidSect="0041489E">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9E"/>
    <w:rsid w:val="00263209"/>
    <w:rsid w:val="0041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E0F6"/>
  <w15:chartTrackingRefBased/>
  <w15:docId w15:val="{875FB1E6-FC79-442E-8202-C57B8BC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41489E"/>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41489E"/>
    <w:pPr>
      <w:widowControl/>
      <w:spacing w:after="160" w:line="240" w:lineRule="exact"/>
      <w:jc w:val="left"/>
    </w:pPr>
  </w:style>
  <w:style w:type="paragraph" w:styleId="a3">
    <w:name w:val="Body Text Indent"/>
    <w:basedOn w:val="a"/>
    <w:link w:val="a4"/>
    <w:uiPriority w:val="99"/>
    <w:semiHidden/>
    <w:unhideWhenUsed/>
    <w:rsid w:val="0041489E"/>
    <w:pPr>
      <w:spacing w:after="120"/>
      <w:ind w:leftChars="200" w:left="420"/>
    </w:pPr>
  </w:style>
  <w:style w:type="character" w:customStyle="1" w:styleId="a4">
    <w:name w:val="正文文本缩进 字符"/>
    <w:basedOn w:val="a0"/>
    <w:link w:val="a3"/>
    <w:uiPriority w:val="99"/>
    <w:semiHidden/>
    <w:rsid w:val="0041489E"/>
    <w:rPr>
      <w:rFonts w:ascii="仿宋_GB2312" w:eastAsia="仿宋_GB2312" w:hAnsi="Times New Roman" w:cs="Times New Roman"/>
      <w:spacing w:val="-4"/>
      <w:sz w:val="32"/>
      <w:szCs w:val="20"/>
    </w:rPr>
  </w:style>
  <w:style w:type="paragraph" w:styleId="2">
    <w:name w:val="Body Text First Indent 2"/>
    <w:basedOn w:val="a3"/>
    <w:link w:val="20"/>
    <w:uiPriority w:val="99"/>
    <w:semiHidden/>
    <w:unhideWhenUsed/>
    <w:rsid w:val="0041489E"/>
    <w:pPr>
      <w:ind w:firstLineChars="200" w:firstLine="420"/>
    </w:pPr>
  </w:style>
  <w:style w:type="character" w:customStyle="1" w:styleId="20">
    <w:name w:val="正文首行缩进 2 字符"/>
    <w:basedOn w:val="a4"/>
    <w:link w:val="2"/>
    <w:uiPriority w:val="99"/>
    <w:semiHidden/>
    <w:rsid w:val="0041489E"/>
    <w:rPr>
      <w:rFonts w:ascii="仿宋_GB2312" w:eastAsia="仿宋_GB2312" w:hAnsi="Times New Roman" w:cs="Times New Roman"/>
      <w:spacing w:val="-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2023-01-13T07:37:00Z</dcterms:created>
  <dcterms:modified xsi:type="dcterms:W3CDTF">2023-01-13T07:37:00Z</dcterms:modified>
</cp:coreProperties>
</file>