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11A" w:rsidRDefault="0064611A" w:rsidP="0064611A">
      <w:pPr>
        <w:rPr>
          <w:rFonts w:ascii="CESI黑体-GB2312" w:eastAsia="CESI黑体-GB2312" w:hAnsi="CESI黑体-GB2312" w:cs="CESI黑体-GB2312" w:hint="eastAsia"/>
          <w:color w:val="000000"/>
          <w:kern w:val="0"/>
          <w:szCs w:val="32"/>
          <w:lang w:bidi="ar"/>
        </w:rPr>
      </w:pPr>
      <w:r>
        <w:rPr>
          <w:rFonts w:ascii="CESI黑体-GB2312" w:eastAsia="CESI黑体-GB2312" w:hAnsi="CESI黑体-GB2312" w:cs="CESI黑体-GB2312" w:hint="eastAsia"/>
          <w:color w:val="000000"/>
          <w:kern w:val="0"/>
          <w:szCs w:val="32"/>
          <w:lang w:bidi="ar"/>
        </w:rPr>
        <w:t>附件1</w:t>
      </w:r>
    </w:p>
    <w:p w:rsidR="0064611A" w:rsidRDefault="0064611A" w:rsidP="0064611A">
      <w:pPr>
        <w:spacing w:beforeLines="50" w:before="156" w:afterLines="50" w:after="156"/>
        <w:jc w:val="center"/>
        <w:rPr>
          <w:rFonts w:ascii="方正小标宋_GBK" w:eastAsia="方正小标宋_GBK" w:hAnsi="方正小标宋_GBK" w:cs="方正小标宋_GBK" w:hint="eastAsia"/>
          <w:color w:val="000000"/>
          <w:szCs w:val="32"/>
          <w:highlight w:val="yellow"/>
        </w:rPr>
      </w:pPr>
      <w:r>
        <w:rPr>
          <w:rFonts w:ascii="方正小标宋_GBK" w:eastAsia="方正小标宋_GBK" w:hAnsi="方正小标宋_GBK" w:cs="方正小标宋_GBK" w:hint="eastAsia"/>
          <w:color w:val="000000"/>
          <w:kern w:val="0"/>
          <w:sz w:val="44"/>
          <w:szCs w:val="44"/>
          <w:lang w:bidi="ar"/>
        </w:rPr>
        <w:t>河北省学科重点实验室绩效评估指标体系</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1238"/>
        <w:gridCol w:w="6100"/>
        <w:gridCol w:w="721"/>
      </w:tblGrid>
      <w:tr w:rsidR="0064611A" w:rsidTr="00A145FC">
        <w:trPr>
          <w:trHeight w:val="540"/>
          <w:jc w:val="center"/>
        </w:trPr>
        <w:tc>
          <w:tcPr>
            <w:tcW w:w="1182" w:type="dxa"/>
            <w:tcBorders>
              <w:top w:val="single" w:sz="4" w:space="0" w:color="auto"/>
              <w:left w:val="single" w:sz="4" w:space="0" w:color="auto"/>
              <w:bottom w:val="single" w:sz="4" w:space="0" w:color="auto"/>
              <w:right w:val="single" w:sz="4" w:space="0" w:color="auto"/>
            </w:tcBorders>
            <w:vAlign w:val="center"/>
          </w:tcPr>
          <w:p w:rsidR="0064611A" w:rsidRDefault="0064611A" w:rsidP="00A145FC">
            <w:pPr>
              <w:snapToGrid w:val="0"/>
              <w:jc w:val="center"/>
              <w:rPr>
                <w:rFonts w:ascii="黑体" w:eastAsia="黑体" w:hAnsi="宋体" w:cs="黑体"/>
                <w:sz w:val="24"/>
                <w:szCs w:val="24"/>
              </w:rPr>
            </w:pPr>
            <w:r>
              <w:rPr>
                <w:rFonts w:ascii="黑体" w:eastAsia="黑体" w:hAnsi="宋体" w:cs="黑体"/>
                <w:color w:val="000000"/>
                <w:kern w:val="0"/>
                <w:sz w:val="24"/>
                <w:szCs w:val="24"/>
                <w:lang w:bidi="ar"/>
              </w:rPr>
              <w:t>一级指标</w:t>
            </w: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ascii="黑体" w:eastAsia="黑体" w:hAnsi="宋体" w:cs="黑体"/>
                <w:sz w:val="24"/>
                <w:szCs w:val="24"/>
              </w:rPr>
            </w:pPr>
            <w:r>
              <w:rPr>
                <w:rFonts w:ascii="黑体" w:eastAsia="黑体" w:hAnsi="宋体" w:cs="黑体"/>
                <w:color w:val="000000"/>
                <w:kern w:val="0"/>
                <w:sz w:val="24"/>
                <w:szCs w:val="24"/>
                <w:lang w:bidi="ar"/>
              </w:rPr>
              <w:t>二级指标</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ascii="黑体" w:eastAsia="黑体" w:hAnsi="宋体" w:cs="黑体"/>
                <w:sz w:val="24"/>
                <w:szCs w:val="24"/>
              </w:rPr>
            </w:pPr>
            <w:r>
              <w:rPr>
                <w:rFonts w:ascii="黑体" w:eastAsia="黑体" w:hAnsi="宋体" w:cs="黑体"/>
                <w:color w:val="000000"/>
                <w:kern w:val="0"/>
                <w:sz w:val="24"/>
                <w:szCs w:val="24"/>
                <w:lang w:bidi="ar"/>
              </w:rPr>
              <w:t>评估要点</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ascii="黑体" w:eastAsia="黑体" w:hAnsi="宋体" w:cs="黑体"/>
                <w:sz w:val="24"/>
                <w:szCs w:val="24"/>
              </w:rPr>
            </w:pPr>
            <w:r>
              <w:rPr>
                <w:rFonts w:ascii="黑体" w:eastAsia="黑体" w:hAnsi="宋体" w:cs="黑体"/>
                <w:color w:val="000000"/>
                <w:kern w:val="0"/>
                <w:sz w:val="24"/>
                <w:szCs w:val="24"/>
                <w:lang w:bidi="ar"/>
              </w:rPr>
              <w:t>权重</w:t>
            </w:r>
          </w:p>
        </w:tc>
      </w:tr>
      <w:tr w:rsidR="0064611A" w:rsidTr="00A145FC">
        <w:trPr>
          <w:trHeight w:val="510"/>
          <w:jc w:val="center"/>
        </w:trPr>
        <w:tc>
          <w:tcPr>
            <w:tcW w:w="1182" w:type="dxa"/>
            <w:vMerge w:val="restart"/>
            <w:tcBorders>
              <w:top w:val="nil"/>
              <w:left w:val="single" w:sz="4" w:space="0" w:color="auto"/>
              <w:bottom w:val="single" w:sz="4" w:space="0" w:color="auto"/>
              <w:right w:val="single" w:sz="4" w:space="0" w:color="auto"/>
            </w:tcBorders>
            <w:vAlign w:val="center"/>
          </w:tcPr>
          <w:p w:rsidR="0064611A" w:rsidRDefault="0064611A" w:rsidP="00A145FC">
            <w:pPr>
              <w:snapToGrid w:val="0"/>
              <w:jc w:val="center"/>
              <w:rPr>
                <w:rFonts w:hAnsi="仿宋" w:hint="eastAsia"/>
                <w:sz w:val="21"/>
                <w:szCs w:val="21"/>
              </w:rPr>
            </w:pPr>
            <w:r>
              <w:rPr>
                <w:rFonts w:hAnsi="仿宋" w:hint="eastAsia"/>
                <w:color w:val="000000"/>
                <w:kern w:val="0"/>
                <w:sz w:val="21"/>
                <w:szCs w:val="21"/>
                <w:lang w:bidi="ar"/>
              </w:rPr>
              <w:t>组织管理</w:t>
            </w:r>
          </w:p>
          <w:p w:rsidR="0064611A" w:rsidRDefault="0064611A" w:rsidP="00A145FC">
            <w:pPr>
              <w:snapToGrid w:val="0"/>
              <w:jc w:val="center"/>
              <w:rPr>
                <w:rFonts w:hAnsi="仿宋" w:hint="eastAsia"/>
                <w:sz w:val="21"/>
                <w:szCs w:val="21"/>
              </w:rPr>
            </w:pPr>
            <w:r>
              <w:rPr>
                <w:rFonts w:hAnsi="仿宋" w:hint="eastAsia"/>
                <w:color w:val="000000"/>
                <w:kern w:val="0"/>
                <w:sz w:val="21"/>
                <w:szCs w:val="21"/>
                <w:lang w:bidi="ar"/>
              </w:rPr>
              <w:t>（10</w:t>
            </w:r>
            <w:r>
              <w:rPr>
                <w:rFonts w:hAnsi="仿宋" w:cs="仿宋_GB2312" w:hint="eastAsia"/>
                <w:color w:val="000000"/>
                <w:kern w:val="0"/>
                <w:sz w:val="21"/>
                <w:szCs w:val="21"/>
                <w:lang w:bidi="ar"/>
              </w:rPr>
              <w:t>%</w:t>
            </w:r>
            <w:r>
              <w:rPr>
                <w:rFonts w:hAnsi="仿宋" w:hint="eastAsia"/>
                <w:color w:val="000000"/>
                <w:kern w:val="0"/>
                <w:sz w:val="21"/>
                <w:szCs w:val="21"/>
                <w:lang w:bidi="ar"/>
              </w:rPr>
              <w:t>）</w:t>
            </w: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hint="eastAsia"/>
                <w:sz w:val="21"/>
                <w:szCs w:val="21"/>
              </w:rPr>
            </w:pPr>
            <w:r>
              <w:rPr>
                <w:rFonts w:hAnsi="仿宋" w:cs="宋体" w:hint="eastAsia"/>
                <w:color w:val="000000"/>
                <w:kern w:val="0"/>
                <w:sz w:val="21"/>
                <w:szCs w:val="21"/>
                <w:lang w:bidi="ar"/>
              </w:rPr>
              <w:t>组织体系</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snapToGrid w:val="0"/>
              <w:rPr>
                <w:rFonts w:hAnsi="仿宋" w:cs="宋体" w:hint="eastAsia"/>
                <w:sz w:val="21"/>
                <w:szCs w:val="21"/>
              </w:rPr>
            </w:pPr>
            <w:r>
              <w:rPr>
                <w:rFonts w:hAnsi="仿宋" w:cs="宋体" w:hint="eastAsia"/>
                <w:color w:val="000000"/>
                <w:kern w:val="0"/>
                <w:sz w:val="21"/>
                <w:szCs w:val="21"/>
                <w:lang w:bidi="ar"/>
              </w:rPr>
              <w:t>重点实验室党组织建设情况，管理委员会和学术委员会组成人员范围、层次和作用的有效发挥；重点实验室内设机构对研究方向、研究内容、建设发展的支撑作用。</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cs="宋体" w:hint="eastAsia"/>
                <w:sz w:val="21"/>
                <w:szCs w:val="21"/>
              </w:rPr>
            </w:pPr>
            <w:r>
              <w:rPr>
                <w:rFonts w:hAnsi="仿宋" w:cs="仿宋_GB2312" w:hint="eastAsia"/>
                <w:color w:val="000000"/>
                <w:kern w:val="0"/>
                <w:sz w:val="21"/>
                <w:szCs w:val="21"/>
                <w:lang w:bidi="ar"/>
              </w:rPr>
              <w:t>7%</w:t>
            </w:r>
          </w:p>
        </w:tc>
      </w:tr>
      <w:tr w:rsidR="0064611A" w:rsidTr="00A145FC">
        <w:trPr>
          <w:trHeight w:val="411"/>
          <w:jc w:val="center"/>
        </w:trPr>
        <w:tc>
          <w:tcPr>
            <w:tcW w:w="1182" w:type="dxa"/>
            <w:vMerge/>
            <w:tcBorders>
              <w:top w:val="nil"/>
              <w:left w:val="single" w:sz="4" w:space="0" w:color="auto"/>
              <w:bottom w:val="single" w:sz="4" w:space="0" w:color="auto"/>
              <w:right w:val="single" w:sz="4" w:space="0" w:color="auto"/>
            </w:tcBorders>
            <w:vAlign w:val="center"/>
          </w:tcPr>
          <w:p w:rsidR="0064611A" w:rsidRDefault="0064611A" w:rsidP="00A145FC">
            <w:pPr>
              <w:rPr>
                <w:rFonts w:ascii="Times New Roman"/>
                <w:sz w:val="20"/>
              </w:rPr>
            </w:pP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hint="eastAsia"/>
                <w:sz w:val="21"/>
                <w:szCs w:val="21"/>
              </w:rPr>
            </w:pPr>
            <w:r>
              <w:rPr>
                <w:rFonts w:hAnsi="仿宋" w:cs="宋体" w:hint="eastAsia"/>
                <w:color w:val="000000"/>
                <w:kern w:val="0"/>
                <w:sz w:val="21"/>
                <w:szCs w:val="21"/>
                <w:lang w:bidi="ar"/>
              </w:rPr>
              <w:t>管理制度</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snapToGrid w:val="0"/>
              <w:rPr>
                <w:rFonts w:hAnsi="仿宋" w:cs="宋体" w:hint="eastAsia"/>
                <w:sz w:val="21"/>
                <w:szCs w:val="21"/>
              </w:rPr>
            </w:pPr>
            <w:r>
              <w:rPr>
                <w:rFonts w:hAnsi="仿宋" w:cs="宋体" w:hint="eastAsia"/>
                <w:color w:val="000000"/>
                <w:kern w:val="0"/>
                <w:sz w:val="21"/>
                <w:szCs w:val="21"/>
                <w:lang w:bidi="ar"/>
              </w:rPr>
              <w:t>规章制度健全，落实到位；管理与运行的创新发展情况。</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cs="宋体" w:hint="eastAsia"/>
                <w:sz w:val="21"/>
                <w:szCs w:val="21"/>
              </w:rPr>
            </w:pPr>
            <w:r>
              <w:rPr>
                <w:rFonts w:hAnsi="仿宋" w:cs="仿宋_GB2312" w:hint="eastAsia"/>
                <w:color w:val="000000"/>
                <w:kern w:val="0"/>
                <w:sz w:val="21"/>
                <w:szCs w:val="21"/>
                <w:lang w:bidi="ar"/>
              </w:rPr>
              <w:t>3%</w:t>
            </w:r>
          </w:p>
        </w:tc>
      </w:tr>
      <w:tr w:rsidR="0064611A" w:rsidTr="00A145FC">
        <w:trPr>
          <w:trHeight w:val="90"/>
          <w:jc w:val="center"/>
        </w:trPr>
        <w:tc>
          <w:tcPr>
            <w:tcW w:w="1182" w:type="dxa"/>
            <w:vMerge w:val="restart"/>
            <w:tcBorders>
              <w:top w:val="nil"/>
              <w:left w:val="single" w:sz="4" w:space="0" w:color="auto"/>
              <w:bottom w:val="single" w:sz="4" w:space="0" w:color="auto"/>
              <w:right w:val="single" w:sz="4" w:space="0" w:color="auto"/>
            </w:tcBorders>
            <w:vAlign w:val="center"/>
          </w:tcPr>
          <w:p w:rsidR="0064611A" w:rsidRDefault="0064611A" w:rsidP="00A145FC">
            <w:pPr>
              <w:snapToGrid w:val="0"/>
              <w:jc w:val="center"/>
              <w:rPr>
                <w:rFonts w:hAnsi="仿宋" w:hint="eastAsia"/>
                <w:sz w:val="21"/>
                <w:szCs w:val="21"/>
              </w:rPr>
            </w:pPr>
            <w:r>
              <w:rPr>
                <w:rFonts w:hAnsi="仿宋" w:hint="eastAsia"/>
                <w:color w:val="000000"/>
                <w:kern w:val="0"/>
                <w:sz w:val="21"/>
                <w:szCs w:val="21"/>
                <w:lang w:bidi="ar"/>
              </w:rPr>
              <w:t>研发条件</w:t>
            </w:r>
          </w:p>
          <w:p w:rsidR="0064611A" w:rsidRDefault="0064611A" w:rsidP="00A145FC">
            <w:pPr>
              <w:snapToGrid w:val="0"/>
              <w:jc w:val="center"/>
              <w:rPr>
                <w:rFonts w:hAnsi="仿宋" w:hint="eastAsia"/>
                <w:sz w:val="21"/>
                <w:szCs w:val="21"/>
              </w:rPr>
            </w:pPr>
            <w:r>
              <w:rPr>
                <w:rFonts w:hAnsi="仿宋" w:hint="eastAsia"/>
                <w:color w:val="000000"/>
                <w:kern w:val="0"/>
                <w:sz w:val="21"/>
                <w:szCs w:val="21"/>
                <w:lang w:bidi="ar"/>
              </w:rPr>
              <w:t>（</w:t>
            </w:r>
            <w:r>
              <w:rPr>
                <w:rFonts w:hAnsi="仿宋" w:cs="仿宋_GB2312" w:hint="eastAsia"/>
                <w:color w:val="000000"/>
                <w:kern w:val="0"/>
                <w:sz w:val="21"/>
                <w:szCs w:val="21"/>
                <w:lang w:bidi="ar"/>
              </w:rPr>
              <w:t>30%</w:t>
            </w:r>
            <w:r>
              <w:rPr>
                <w:rFonts w:hAnsi="仿宋" w:hint="eastAsia"/>
                <w:color w:val="000000"/>
                <w:kern w:val="0"/>
                <w:sz w:val="21"/>
                <w:szCs w:val="21"/>
                <w:lang w:bidi="ar"/>
              </w:rPr>
              <w:t>）</w:t>
            </w: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hint="eastAsia"/>
                <w:sz w:val="21"/>
                <w:szCs w:val="21"/>
              </w:rPr>
            </w:pPr>
            <w:r>
              <w:rPr>
                <w:rFonts w:hAnsi="仿宋" w:cs="宋体" w:hint="eastAsia"/>
                <w:color w:val="000000"/>
                <w:kern w:val="0"/>
                <w:sz w:val="21"/>
                <w:szCs w:val="21"/>
                <w:lang w:bidi="ar"/>
              </w:rPr>
              <w:t>人才队伍</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snapToGrid w:val="0"/>
              <w:rPr>
                <w:rFonts w:hAnsi="仿宋" w:hint="eastAsia"/>
                <w:sz w:val="21"/>
                <w:szCs w:val="21"/>
              </w:rPr>
            </w:pPr>
            <w:r>
              <w:rPr>
                <w:rFonts w:hAnsi="仿宋" w:cs="宋体" w:hint="eastAsia"/>
                <w:color w:val="000000"/>
                <w:kern w:val="0"/>
                <w:sz w:val="21"/>
                <w:szCs w:val="21"/>
                <w:lang w:bidi="ar"/>
              </w:rPr>
              <w:t>固定人员的结构和流动人员的作用，人才队伍发展变化的趋势；重点实验室主任及各学术带头人的学术水平、影响力和作用发挥；固定人员中新增的高层次人才，获得省级以上政府部门支持的优秀创新团队；固定人员学历、职称晋升情况和技术水平提升情况。</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hint="eastAsia"/>
                <w:sz w:val="21"/>
                <w:szCs w:val="21"/>
              </w:rPr>
            </w:pPr>
            <w:r>
              <w:rPr>
                <w:rFonts w:hAnsi="仿宋" w:cs="仿宋_GB2312" w:hint="eastAsia"/>
                <w:color w:val="000000"/>
                <w:kern w:val="0"/>
                <w:sz w:val="21"/>
                <w:szCs w:val="21"/>
                <w:lang w:bidi="ar"/>
              </w:rPr>
              <w:t>10%</w:t>
            </w:r>
          </w:p>
        </w:tc>
      </w:tr>
      <w:tr w:rsidR="0064611A" w:rsidTr="00A145FC">
        <w:trPr>
          <w:trHeight w:val="543"/>
          <w:jc w:val="center"/>
        </w:trPr>
        <w:tc>
          <w:tcPr>
            <w:tcW w:w="1182" w:type="dxa"/>
            <w:vMerge/>
            <w:tcBorders>
              <w:top w:val="nil"/>
              <w:left w:val="single" w:sz="4" w:space="0" w:color="auto"/>
              <w:bottom w:val="single" w:sz="4" w:space="0" w:color="auto"/>
              <w:right w:val="single" w:sz="4" w:space="0" w:color="auto"/>
            </w:tcBorders>
            <w:vAlign w:val="center"/>
          </w:tcPr>
          <w:p w:rsidR="0064611A" w:rsidRDefault="0064611A" w:rsidP="00A145FC">
            <w:pPr>
              <w:rPr>
                <w:rFonts w:ascii="Times New Roman"/>
                <w:sz w:val="20"/>
              </w:rPr>
            </w:pP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cs="宋体" w:hint="eastAsia"/>
                <w:sz w:val="21"/>
                <w:szCs w:val="21"/>
              </w:rPr>
            </w:pPr>
            <w:r>
              <w:rPr>
                <w:rFonts w:hAnsi="仿宋" w:cs="宋体" w:hint="eastAsia"/>
                <w:color w:val="000000"/>
                <w:kern w:val="0"/>
                <w:sz w:val="21"/>
                <w:szCs w:val="21"/>
                <w:lang w:bidi="ar"/>
              </w:rPr>
              <w:t>科研办公用房</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snapToGrid w:val="0"/>
              <w:rPr>
                <w:rFonts w:hAnsi="仿宋" w:cs="宋体" w:hint="eastAsia"/>
                <w:sz w:val="21"/>
                <w:szCs w:val="21"/>
              </w:rPr>
            </w:pPr>
            <w:r>
              <w:rPr>
                <w:rFonts w:hAnsi="仿宋" w:cs="宋体" w:hint="eastAsia"/>
                <w:color w:val="000000"/>
                <w:kern w:val="0"/>
                <w:sz w:val="21"/>
                <w:szCs w:val="21"/>
                <w:lang w:bidi="ar"/>
              </w:rPr>
              <w:t>不断改善和提升，充分满足实验室科研、办公、学术交流等需要。</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cs="宋体" w:hint="eastAsia"/>
                <w:sz w:val="21"/>
                <w:szCs w:val="21"/>
              </w:rPr>
            </w:pPr>
            <w:r>
              <w:rPr>
                <w:rFonts w:hAnsi="仿宋" w:cs="仿宋_GB2312" w:hint="eastAsia"/>
                <w:color w:val="000000"/>
                <w:kern w:val="0"/>
                <w:sz w:val="21"/>
                <w:szCs w:val="21"/>
                <w:lang w:bidi="ar"/>
              </w:rPr>
              <w:t>5%</w:t>
            </w:r>
          </w:p>
        </w:tc>
      </w:tr>
      <w:tr w:rsidR="0064611A" w:rsidTr="00A145FC">
        <w:trPr>
          <w:trHeight w:val="527"/>
          <w:jc w:val="center"/>
        </w:trPr>
        <w:tc>
          <w:tcPr>
            <w:tcW w:w="1182" w:type="dxa"/>
            <w:vMerge/>
            <w:tcBorders>
              <w:top w:val="nil"/>
              <w:left w:val="single" w:sz="4" w:space="0" w:color="auto"/>
              <w:bottom w:val="single" w:sz="4" w:space="0" w:color="auto"/>
              <w:right w:val="single" w:sz="4" w:space="0" w:color="auto"/>
            </w:tcBorders>
            <w:vAlign w:val="center"/>
          </w:tcPr>
          <w:p w:rsidR="0064611A" w:rsidRDefault="0064611A" w:rsidP="00A145FC">
            <w:pPr>
              <w:rPr>
                <w:rFonts w:ascii="Times New Roman"/>
                <w:sz w:val="20"/>
              </w:rPr>
            </w:pP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cs="宋体" w:hint="eastAsia"/>
                <w:sz w:val="21"/>
                <w:szCs w:val="21"/>
              </w:rPr>
            </w:pPr>
            <w:r>
              <w:rPr>
                <w:rFonts w:hAnsi="仿宋" w:cs="宋体" w:hint="eastAsia"/>
                <w:color w:val="000000"/>
                <w:kern w:val="0"/>
                <w:sz w:val="21"/>
                <w:szCs w:val="21"/>
                <w:lang w:bidi="ar"/>
              </w:rPr>
              <w:t>仪器设备</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snapToGrid w:val="0"/>
              <w:rPr>
                <w:rFonts w:hAnsi="仿宋" w:cs="宋体" w:hint="eastAsia"/>
                <w:sz w:val="21"/>
                <w:szCs w:val="21"/>
              </w:rPr>
            </w:pPr>
            <w:r>
              <w:rPr>
                <w:rFonts w:hAnsi="仿宋" w:cs="宋体" w:hint="eastAsia"/>
                <w:color w:val="000000"/>
                <w:kern w:val="0"/>
                <w:sz w:val="21"/>
                <w:szCs w:val="21"/>
                <w:lang w:bidi="ar"/>
              </w:rPr>
              <w:t>适时更新和补充，科研实验功能平台完备，较好满足重点实验室科研需求和开放共享需要。</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cs="宋体" w:hint="eastAsia"/>
                <w:sz w:val="21"/>
                <w:szCs w:val="21"/>
              </w:rPr>
            </w:pPr>
            <w:r>
              <w:rPr>
                <w:rFonts w:hAnsi="仿宋" w:cs="仿宋_GB2312" w:hint="eastAsia"/>
                <w:color w:val="000000"/>
                <w:kern w:val="0"/>
                <w:sz w:val="21"/>
                <w:szCs w:val="21"/>
                <w:lang w:bidi="ar"/>
              </w:rPr>
              <w:t>5%</w:t>
            </w:r>
          </w:p>
        </w:tc>
      </w:tr>
      <w:tr w:rsidR="0064611A" w:rsidTr="00A145FC">
        <w:trPr>
          <w:trHeight w:val="1077"/>
          <w:jc w:val="center"/>
        </w:trPr>
        <w:tc>
          <w:tcPr>
            <w:tcW w:w="1182" w:type="dxa"/>
            <w:vMerge/>
            <w:tcBorders>
              <w:top w:val="nil"/>
              <w:left w:val="single" w:sz="4" w:space="0" w:color="auto"/>
              <w:bottom w:val="single" w:sz="4" w:space="0" w:color="auto"/>
              <w:right w:val="single" w:sz="4" w:space="0" w:color="auto"/>
            </w:tcBorders>
            <w:vAlign w:val="center"/>
          </w:tcPr>
          <w:p w:rsidR="0064611A" w:rsidRDefault="0064611A" w:rsidP="00A145FC">
            <w:pPr>
              <w:rPr>
                <w:rFonts w:ascii="Times New Roman"/>
                <w:sz w:val="20"/>
              </w:rPr>
            </w:pP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ascii="Times New Roman" w:eastAsia="宋体"/>
                <w:sz w:val="21"/>
                <w:szCs w:val="21"/>
              </w:rPr>
            </w:pPr>
            <w:r>
              <w:rPr>
                <w:rFonts w:hAnsi="仿宋" w:cs="宋体" w:hint="eastAsia"/>
                <w:color w:val="000000"/>
                <w:kern w:val="0"/>
                <w:sz w:val="21"/>
                <w:szCs w:val="21"/>
                <w:lang w:bidi="ar"/>
              </w:rPr>
              <w:t>经费筹集</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snapToGrid w:val="0"/>
              <w:rPr>
                <w:rFonts w:hAnsi="仿宋" w:hint="eastAsia"/>
                <w:sz w:val="21"/>
                <w:szCs w:val="21"/>
              </w:rPr>
            </w:pPr>
            <w:r>
              <w:rPr>
                <w:rFonts w:hAnsi="仿宋" w:cs="宋体" w:hint="eastAsia"/>
                <w:color w:val="000000"/>
                <w:kern w:val="0"/>
                <w:sz w:val="21"/>
                <w:szCs w:val="21"/>
                <w:lang w:bidi="ar"/>
              </w:rPr>
              <w:t>经费筹集总额及年度变化趋势；依托单位、共建单位对重点实验室的研发投入情况；承担省级以上科研项目及经费情况；以重点实验室固定人员为项目负责人的自主科研、联合科研、受托科研情况以及设置开放课题情况。</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hint="eastAsia"/>
                <w:sz w:val="21"/>
                <w:szCs w:val="21"/>
              </w:rPr>
            </w:pPr>
            <w:r>
              <w:rPr>
                <w:rFonts w:hAnsi="宋体" w:cs="仿宋_GB2312" w:hint="eastAsia"/>
                <w:color w:val="000000"/>
                <w:kern w:val="0"/>
                <w:sz w:val="21"/>
                <w:szCs w:val="21"/>
                <w:lang w:bidi="ar"/>
              </w:rPr>
              <w:t>10%</w:t>
            </w:r>
          </w:p>
        </w:tc>
      </w:tr>
      <w:tr w:rsidR="0064611A" w:rsidTr="00A145FC">
        <w:trPr>
          <w:trHeight w:val="425"/>
          <w:jc w:val="center"/>
        </w:trPr>
        <w:tc>
          <w:tcPr>
            <w:tcW w:w="1182" w:type="dxa"/>
            <w:vMerge w:val="restart"/>
            <w:tcBorders>
              <w:top w:val="nil"/>
              <w:left w:val="single" w:sz="4" w:space="0" w:color="auto"/>
              <w:bottom w:val="single" w:sz="4" w:space="0" w:color="auto"/>
              <w:right w:val="single" w:sz="4" w:space="0" w:color="auto"/>
            </w:tcBorders>
            <w:vAlign w:val="center"/>
          </w:tcPr>
          <w:p w:rsidR="0064611A" w:rsidRDefault="0064611A" w:rsidP="00A145FC">
            <w:pPr>
              <w:snapToGrid w:val="0"/>
              <w:jc w:val="center"/>
              <w:rPr>
                <w:rFonts w:hAnsi="仿宋" w:hint="eastAsia"/>
                <w:sz w:val="21"/>
                <w:szCs w:val="21"/>
              </w:rPr>
            </w:pPr>
            <w:r>
              <w:rPr>
                <w:rFonts w:hAnsi="仿宋" w:hint="eastAsia"/>
                <w:color w:val="000000"/>
                <w:kern w:val="0"/>
                <w:sz w:val="21"/>
                <w:szCs w:val="21"/>
                <w:lang w:bidi="ar"/>
              </w:rPr>
              <w:t>成果产出（</w:t>
            </w:r>
            <w:r>
              <w:rPr>
                <w:rFonts w:hAnsi="仿宋" w:cs="仿宋_GB2312" w:hint="eastAsia"/>
                <w:color w:val="000000"/>
                <w:kern w:val="0"/>
                <w:sz w:val="21"/>
                <w:szCs w:val="21"/>
                <w:lang w:bidi="ar"/>
              </w:rPr>
              <w:t>40%</w:t>
            </w:r>
            <w:r>
              <w:rPr>
                <w:rFonts w:hAnsi="仿宋" w:hint="eastAsia"/>
                <w:color w:val="000000"/>
                <w:kern w:val="0"/>
                <w:sz w:val="21"/>
                <w:szCs w:val="21"/>
                <w:lang w:bidi="ar"/>
              </w:rPr>
              <w:t>）</w:t>
            </w: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cs="宋体" w:hint="eastAsia"/>
                <w:sz w:val="21"/>
                <w:szCs w:val="21"/>
              </w:rPr>
            </w:pPr>
            <w:r>
              <w:rPr>
                <w:rFonts w:hAnsi="仿宋" w:cs="宋体" w:hint="eastAsia"/>
                <w:color w:val="000000"/>
                <w:kern w:val="0"/>
                <w:sz w:val="21"/>
                <w:szCs w:val="21"/>
                <w:lang w:bidi="ar"/>
              </w:rPr>
              <w:t>标志性</w:t>
            </w:r>
          </w:p>
          <w:p w:rsidR="0064611A" w:rsidRDefault="0064611A" w:rsidP="00A145FC">
            <w:pPr>
              <w:snapToGrid w:val="0"/>
              <w:jc w:val="center"/>
              <w:rPr>
                <w:rFonts w:hAnsi="仿宋" w:hint="eastAsia"/>
                <w:sz w:val="21"/>
                <w:szCs w:val="21"/>
              </w:rPr>
            </w:pPr>
            <w:r>
              <w:rPr>
                <w:rFonts w:hAnsi="仿宋" w:cs="宋体" w:hint="eastAsia"/>
                <w:color w:val="000000"/>
                <w:kern w:val="0"/>
                <w:sz w:val="21"/>
                <w:szCs w:val="21"/>
                <w:lang w:bidi="ar"/>
              </w:rPr>
              <w:t>科研成果</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snapToGrid w:val="0"/>
              <w:rPr>
                <w:rFonts w:hAnsi="仿宋" w:cs="宋体" w:hint="eastAsia"/>
                <w:sz w:val="21"/>
                <w:szCs w:val="21"/>
              </w:rPr>
            </w:pPr>
            <w:r>
              <w:rPr>
                <w:rFonts w:hAnsi="仿宋" w:cs="宋体" w:hint="eastAsia"/>
                <w:color w:val="000000"/>
                <w:kern w:val="0"/>
                <w:sz w:val="21"/>
                <w:szCs w:val="21"/>
                <w:lang w:bidi="ar"/>
              </w:rPr>
              <w:t>在重点实</w:t>
            </w:r>
            <w:r>
              <w:rPr>
                <w:rFonts w:ascii="Times New Roman" w:cs="仿宋_GB2312" w:hint="eastAsia"/>
                <w:color w:val="000000"/>
                <w:kern w:val="0"/>
                <w:sz w:val="21"/>
                <w:szCs w:val="21"/>
                <w:lang w:bidi="ar"/>
              </w:rPr>
              <w:t>验室研究方向上，以重点实验室为基地、固定人员为</w:t>
            </w:r>
            <w:r>
              <w:rPr>
                <w:rFonts w:ascii="宋体" w:hAnsi="宋体" w:cs="仿宋_GB2312" w:hint="eastAsia"/>
                <w:color w:val="000000"/>
                <w:kern w:val="0"/>
                <w:sz w:val="21"/>
                <w:szCs w:val="21"/>
                <w:lang w:bidi="ar"/>
              </w:rPr>
              <w:t>核心</w:t>
            </w:r>
            <w:r>
              <w:rPr>
                <w:rFonts w:ascii="Times New Roman" w:cs="仿宋_GB2312" w:hint="eastAsia"/>
                <w:color w:val="000000"/>
                <w:kern w:val="0"/>
                <w:sz w:val="21"/>
                <w:szCs w:val="21"/>
                <w:lang w:bidi="ar"/>
              </w:rPr>
              <w:t>产生的</w:t>
            </w:r>
            <w:r>
              <w:rPr>
                <w:rFonts w:ascii="宋体" w:eastAsia="宋体" w:hAnsi="宋体" w:cs="宋体" w:hint="eastAsia"/>
                <w:color w:val="000000"/>
                <w:kern w:val="0"/>
                <w:sz w:val="21"/>
                <w:szCs w:val="21"/>
                <w:lang w:bidi="ar"/>
              </w:rPr>
              <w:t>1-3</w:t>
            </w:r>
            <w:r>
              <w:rPr>
                <w:rFonts w:ascii="Times New Roman" w:cs="仿宋_GB2312" w:hint="eastAsia"/>
                <w:color w:val="000000"/>
                <w:kern w:val="0"/>
                <w:sz w:val="21"/>
                <w:szCs w:val="21"/>
                <w:lang w:bidi="ar"/>
              </w:rPr>
              <w:t>项标志性重大</w:t>
            </w:r>
            <w:r>
              <w:rPr>
                <w:rFonts w:ascii="宋体" w:hAnsi="宋体" w:cs="仿宋_GB2312" w:hint="eastAsia"/>
                <w:color w:val="000000"/>
                <w:kern w:val="0"/>
                <w:sz w:val="21"/>
                <w:szCs w:val="21"/>
                <w:lang w:bidi="ar"/>
              </w:rPr>
              <w:t>科研</w:t>
            </w:r>
            <w:r>
              <w:rPr>
                <w:rFonts w:ascii="Times New Roman" w:cs="仿宋_GB2312" w:hint="eastAsia"/>
                <w:color w:val="000000"/>
                <w:kern w:val="0"/>
                <w:sz w:val="21"/>
                <w:szCs w:val="21"/>
                <w:lang w:bidi="ar"/>
              </w:rPr>
              <w:t>成果。</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cs="宋体" w:hint="eastAsia"/>
                <w:sz w:val="21"/>
                <w:szCs w:val="21"/>
              </w:rPr>
            </w:pPr>
            <w:r>
              <w:rPr>
                <w:rFonts w:hAnsi="仿宋" w:cs="仿宋_GB2312" w:hint="eastAsia"/>
                <w:color w:val="000000"/>
                <w:kern w:val="0"/>
                <w:sz w:val="21"/>
                <w:szCs w:val="21"/>
                <w:lang w:bidi="ar"/>
              </w:rPr>
              <w:t>15%</w:t>
            </w:r>
          </w:p>
        </w:tc>
      </w:tr>
      <w:tr w:rsidR="0064611A" w:rsidTr="00A145FC">
        <w:trPr>
          <w:trHeight w:val="546"/>
          <w:jc w:val="center"/>
        </w:trPr>
        <w:tc>
          <w:tcPr>
            <w:tcW w:w="1182" w:type="dxa"/>
            <w:vMerge/>
            <w:tcBorders>
              <w:top w:val="nil"/>
              <w:left w:val="single" w:sz="4" w:space="0" w:color="auto"/>
              <w:bottom w:val="single" w:sz="4" w:space="0" w:color="auto"/>
              <w:right w:val="single" w:sz="4" w:space="0" w:color="auto"/>
            </w:tcBorders>
            <w:vAlign w:val="center"/>
          </w:tcPr>
          <w:p w:rsidR="0064611A" w:rsidRDefault="0064611A" w:rsidP="00A145FC">
            <w:pPr>
              <w:rPr>
                <w:rFonts w:ascii="Times New Roman"/>
                <w:sz w:val="20"/>
              </w:rPr>
            </w:pP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hint="eastAsia"/>
                <w:sz w:val="21"/>
                <w:szCs w:val="21"/>
              </w:rPr>
            </w:pPr>
            <w:r>
              <w:rPr>
                <w:rFonts w:hAnsi="仿宋" w:hint="eastAsia"/>
                <w:color w:val="000000"/>
                <w:kern w:val="0"/>
                <w:sz w:val="21"/>
                <w:szCs w:val="21"/>
                <w:lang w:bidi="ar"/>
              </w:rPr>
              <w:t>代表性</w:t>
            </w:r>
          </w:p>
          <w:p w:rsidR="0064611A" w:rsidRDefault="0064611A" w:rsidP="00A145FC">
            <w:pPr>
              <w:snapToGrid w:val="0"/>
              <w:jc w:val="center"/>
              <w:rPr>
                <w:rFonts w:hAnsi="仿宋" w:hint="eastAsia"/>
                <w:sz w:val="21"/>
                <w:szCs w:val="21"/>
              </w:rPr>
            </w:pPr>
            <w:r>
              <w:rPr>
                <w:rFonts w:hAnsi="仿宋" w:hint="eastAsia"/>
                <w:color w:val="000000"/>
                <w:kern w:val="0"/>
                <w:sz w:val="21"/>
                <w:szCs w:val="21"/>
                <w:lang w:bidi="ar"/>
              </w:rPr>
              <w:t>论文著作</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snapToGrid w:val="0"/>
              <w:rPr>
                <w:rFonts w:hAnsi="仿宋" w:hint="eastAsia"/>
                <w:sz w:val="21"/>
                <w:szCs w:val="21"/>
              </w:rPr>
            </w:pPr>
            <w:r>
              <w:rPr>
                <w:rFonts w:hAnsi="仿宋" w:hint="eastAsia"/>
                <w:color w:val="000000"/>
                <w:kern w:val="0"/>
                <w:sz w:val="21"/>
                <w:szCs w:val="21"/>
                <w:lang w:bidi="ar"/>
              </w:rPr>
              <w:t>重点实验室研究方向上的代表性论文（标注重点实验室名称，不超过5篇）和专著（不超过</w:t>
            </w:r>
            <w:r>
              <w:rPr>
                <w:rFonts w:hAnsi="仿宋" w:cs="仿宋_GB2312" w:hint="eastAsia"/>
                <w:color w:val="000000"/>
                <w:kern w:val="0"/>
                <w:sz w:val="21"/>
                <w:szCs w:val="21"/>
                <w:lang w:bidi="ar"/>
              </w:rPr>
              <w:t>2</w:t>
            </w:r>
            <w:r>
              <w:rPr>
                <w:rFonts w:hAnsi="仿宋" w:hint="eastAsia"/>
                <w:color w:val="000000"/>
                <w:kern w:val="0"/>
                <w:sz w:val="21"/>
                <w:szCs w:val="21"/>
                <w:lang w:bidi="ar"/>
              </w:rPr>
              <w:t>部）的水平及行业影响力。</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cs="宋体" w:hint="eastAsia"/>
                <w:sz w:val="21"/>
                <w:szCs w:val="21"/>
              </w:rPr>
            </w:pPr>
            <w:r>
              <w:rPr>
                <w:rFonts w:hAnsi="仿宋" w:cs="仿宋_GB2312" w:hint="eastAsia"/>
                <w:color w:val="000000"/>
                <w:kern w:val="0"/>
                <w:sz w:val="21"/>
                <w:szCs w:val="21"/>
                <w:lang w:bidi="ar"/>
              </w:rPr>
              <w:t>10%</w:t>
            </w:r>
          </w:p>
        </w:tc>
      </w:tr>
      <w:tr w:rsidR="0064611A" w:rsidTr="00A145FC">
        <w:trPr>
          <w:trHeight w:val="525"/>
          <w:jc w:val="center"/>
        </w:trPr>
        <w:tc>
          <w:tcPr>
            <w:tcW w:w="1182" w:type="dxa"/>
            <w:vMerge/>
            <w:tcBorders>
              <w:top w:val="nil"/>
              <w:left w:val="single" w:sz="4" w:space="0" w:color="auto"/>
              <w:bottom w:val="single" w:sz="4" w:space="0" w:color="auto"/>
              <w:right w:val="single" w:sz="4" w:space="0" w:color="auto"/>
            </w:tcBorders>
            <w:vAlign w:val="center"/>
          </w:tcPr>
          <w:p w:rsidR="0064611A" w:rsidRDefault="0064611A" w:rsidP="00A145FC">
            <w:pPr>
              <w:rPr>
                <w:rFonts w:ascii="Times New Roman"/>
                <w:sz w:val="20"/>
              </w:rPr>
            </w:pP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cs="宋体" w:hint="eastAsia"/>
                <w:sz w:val="21"/>
                <w:szCs w:val="21"/>
              </w:rPr>
            </w:pPr>
            <w:r>
              <w:rPr>
                <w:rFonts w:hAnsi="仿宋" w:cs="宋体" w:hint="eastAsia"/>
                <w:color w:val="000000"/>
                <w:kern w:val="0"/>
                <w:sz w:val="21"/>
                <w:szCs w:val="21"/>
                <w:lang w:bidi="ar"/>
              </w:rPr>
              <w:t>专利及其他知识产权</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snapToGrid w:val="0"/>
              <w:rPr>
                <w:rFonts w:hAnsi="仿宋" w:cs="宋体" w:hint="eastAsia"/>
                <w:sz w:val="21"/>
                <w:szCs w:val="21"/>
              </w:rPr>
            </w:pPr>
            <w:r>
              <w:rPr>
                <w:rFonts w:hAnsi="仿宋" w:cs="宋体" w:hint="eastAsia"/>
                <w:color w:val="000000"/>
                <w:kern w:val="0"/>
                <w:sz w:val="21"/>
                <w:szCs w:val="21"/>
                <w:lang w:bidi="ar"/>
              </w:rPr>
              <w:t>申请和取得授权的专利和其他知识产权的数量和质量。</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cs="宋体" w:hint="eastAsia"/>
                <w:sz w:val="21"/>
                <w:szCs w:val="21"/>
              </w:rPr>
            </w:pPr>
            <w:r>
              <w:rPr>
                <w:rFonts w:hAnsi="仿宋" w:cs="仿宋_GB2312" w:hint="eastAsia"/>
                <w:color w:val="000000"/>
                <w:kern w:val="0"/>
                <w:sz w:val="21"/>
                <w:szCs w:val="21"/>
                <w:lang w:bidi="ar"/>
              </w:rPr>
              <w:t>10%</w:t>
            </w:r>
          </w:p>
        </w:tc>
      </w:tr>
      <w:tr w:rsidR="0064611A" w:rsidTr="00A145FC">
        <w:trPr>
          <w:trHeight w:val="450"/>
          <w:jc w:val="center"/>
        </w:trPr>
        <w:tc>
          <w:tcPr>
            <w:tcW w:w="1182" w:type="dxa"/>
            <w:vMerge/>
            <w:tcBorders>
              <w:top w:val="nil"/>
              <w:left w:val="single" w:sz="4" w:space="0" w:color="auto"/>
              <w:bottom w:val="single" w:sz="4" w:space="0" w:color="auto"/>
              <w:right w:val="single" w:sz="4" w:space="0" w:color="auto"/>
            </w:tcBorders>
            <w:vAlign w:val="center"/>
          </w:tcPr>
          <w:p w:rsidR="0064611A" w:rsidRDefault="0064611A" w:rsidP="00A145FC">
            <w:pPr>
              <w:rPr>
                <w:rFonts w:ascii="Times New Roman"/>
                <w:sz w:val="20"/>
              </w:rPr>
            </w:pP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cs="宋体" w:hint="eastAsia"/>
                <w:sz w:val="21"/>
                <w:szCs w:val="21"/>
              </w:rPr>
            </w:pPr>
            <w:r>
              <w:rPr>
                <w:rFonts w:hAnsi="仿宋" w:cs="宋体" w:hint="eastAsia"/>
                <w:color w:val="000000"/>
                <w:kern w:val="0"/>
                <w:sz w:val="21"/>
                <w:szCs w:val="21"/>
                <w:lang w:bidi="ar"/>
              </w:rPr>
              <w:t>科技奖励</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snapToGrid w:val="0"/>
              <w:rPr>
                <w:rFonts w:hAnsi="仿宋" w:cs="宋体" w:hint="eastAsia"/>
                <w:sz w:val="21"/>
                <w:szCs w:val="21"/>
              </w:rPr>
            </w:pPr>
            <w:r>
              <w:rPr>
                <w:rFonts w:hAnsi="仿宋" w:cs="宋体" w:hint="eastAsia"/>
                <w:color w:val="000000"/>
                <w:kern w:val="0"/>
                <w:sz w:val="21"/>
                <w:szCs w:val="21"/>
                <w:lang w:bidi="ar"/>
              </w:rPr>
              <w:t>与重点实验室研究方向相关的科学技术奖励情况及固定人员对获奖成果的贡献。</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snapToGrid w:val="0"/>
              <w:jc w:val="center"/>
              <w:rPr>
                <w:rFonts w:hAnsi="仿宋" w:cs="宋体" w:hint="eastAsia"/>
                <w:sz w:val="21"/>
                <w:szCs w:val="21"/>
              </w:rPr>
            </w:pPr>
            <w:r>
              <w:rPr>
                <w:rFonts w:hAnsi="仿宋" w:cs="仿宋_GB2312" w:hint="eastAsia"/>
                <w:color w:val="000000"/>
                <w:kern w:val="0"/>
                <w:sz w:val="21"/>
                <w:szCs w:val="21"/>
                <w:lang w:bidi="ar"/>
              </w:rPr>
              <w:t>5%</w:t>
            </w:r>
          </w:p>
        </w:tc>
      </w:tr>
      <w:tr w:rsidR="0064611A" w:rsidTr="00A145FC">
        <w:trPr>
          <w:trHeight w:val="493"/>
          <w:jc w:val="center"/>
        </w:trPr>
        <w:tc>
          <w:tcPr>
            <w:tcW w:w="1182" w:type="dxa"/>
            <w:vMerge w:val="restart"/>
            <w:tcBorders>
              <w:top w:val="nil"/>
              <w:left w:val="single" w:sz="4" w:space="0" w:color="auto"/>
              <w:bottom w:val="single" w:sz="4" w:space="0" w:color="auto"/>
              <w:right w:val="single" w:sz="4" w:space="0" w:color="auto"/>
            </w:tcBorders>
            <w:vAlign w:val="center"/>
          </w:tcPr>
          <w:p w:rsidR="0064611A" w:rsidRDefault="0064611A" w:rsidP="00A145FC">
            <w:pPr>
              <w:snapToGrid w:val="0"/>
              <w:jc w:val="center"/>
              <w:rPr>
                <w:rFonts w:hAnsi="仿宋" w:hint="eastAsia"/>
                <w:sz w:val="21"/>
                <w:szCs w:val="21"/>
              </w:rPr>
            </w:pPr>
            <w:r>
              <w:rPr>
                <w:rFonts w:hAnsi="仿宋" w:hint="eastAsia"/>
                <w:color w:val="000000"/>
                <w:kern w:val="0"/>
                <w:sz w:val="21"/>
                <w:szCs w:val="21"/>
                <w:lang w:bidi="ar"/>
              </w:rPr>
              <w:t>社会贡献（</w:t>
            </w:r>
            <w:r>
              <w:rPr>
                <w:rFonts w:hAnsi="仿宋" w:cs="仿宋_GB2312" w:hint="eastAsia"/>
                <w:color w:val="000000"/>
                <w:kern w:val="0"/>
                <w:sz w:val="21"/>
                <w:szCs w:val="21"/>
                <w:lang w:bidi="ar"/>
              </w:rPr>
              <w:t>20%</w:t>
            </w:r>
            <w:r>
              <w:rPr>
                <w:rFonts w:hAnsi="仿宋" w:hint="eastAsia"/>
                <w:color w:val="000000"/>
                <w:kern w:val="0"/>
                <w:sz w:val="21"/>
                <w:szCs w:val="21"/>
                <w:lang w:bidi="ar"/>
              </w:rPr>
              <w:t>）</w:t>
            </w: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widowControl/>
              <w:snapToGrid w:val="0"/>
              <w:jc w:val="center"/>
              <w:rPr>
                <w:rFonts w:hAnsi="仿宋" w:hint="eastAsia"/>
                <w:sz w:val="21"/>
                <w:szCs w:val="21"/>
              </w:rPr>
            </w:pPr>
            <w:r>
              <w:rPr>
                <w:rFonts w:hAnsi="仿宋" w:hint="eastAsia"/>
                <w:color w:val="000000"/>
                <w:kern w:val="0"/>
                <w:sz w:val="21"/>
                <w:szCs w:val="21"/>
                <w:lang w:bidi="ar"/>
              </w:rPr>
              <w:t>学科发展</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widowControl/>
              <w:snapToGrid w:val="0"/>
              <w:rPr>
                <w:rFonts w:hAnsi="仿宋" w:hint="eastAsia"/>
                <w:sz w:val="21"/>
                <w:szCs w:val="21"/>
              </w:rPr>
            </w:pPr>
            <w:r>
              <w:rPr>
                <w:rFonts w:hAnsi="仿宋" w:hint="eastAsia"/>
                <w:color w:val="000000"/>
                <w:kern w:val="0"/>
                <w:sz w:val="21"/>
                <w:szCs w:val="21"/>
                <w:lang w:bidi="ar"/>
              </w:rPr>
              <w:t>重点实验室建设对学科发展的支撑和带动作用；对依托单位科技创新和人才培养的带动作用；出站博士后和毕业的博士、硕士研究生情况；重点</w:t>
            </w:r>
            <w:r>
              <w:rPr>
                <w:rFonts w:hAnsi="仿宋" w:cs="宋体" w:hint="eastAsia"/>
                <w:color w:val="000000"/>
                <w:kern w:val="0"/>
                <w:sz w:val="21"/>
                <w:szCs w:val="21"/>
                <w:lang w:bidi="ar"/>
              </w:rPr>
              <w:t>实验室分支机构、人才联合培养基地和伙伴实验室建设情况。</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widowControl/>
              <w:snapToGrid w:val="0"/>
              <w:jc w:val="center"/>
              <w:rPr>
                <w:rFonts w:hAnsi="仿宋" w:hint="eastAsia"/>
                <w:sz w:val="21"/>
                <w:szCs w:val="21"/>
              </w:rPr>
            </w:pPr>
            <w:r>
              <w:rPr>
                <w:rFonts w:hAnsi="仿宋" w:cs="仿宋_GB2312" w:hint="eastAsia"/>
                <w:color w:val="000000"/>
                <w:kern w:val="0"/>
                <w:sz w:val="21"/>
                <w:szCs w:val="21"/>
                <w:lang w:bidi="ar"/>
              </w:rPr>
              <w:t>10%</w:t>
            </w:r>
          </w:p>
        </w:tc>
      </w:tr>
      <w:tr w:rsidR="0064611A" w:rsidTr="00A145FC">
        <w:trPr>
          <w:trHeight w:val="439"/>
          <w:jc w:val="center"/>
        </w:trPr>
        <w:tc>
          <w:tcPr>
            <w:tcW w:w="1182" w:type="dxa"/>
            <w:vMerge/>
            <w:tcBorders>
              <w:top w:val="nil"/>
              <w:left w:val="single" w:sz="4" w:space="0" w:color="auto"/>
              <w:bottom w:val="single" w:sz="4" w:space="0" w:color="auto"/>
              <w:right w:val="single" w:sz="4" w:space="0" w:color="auto"/>
            </w:tcBorders>
            <w:vAlign w:val="center"/>
          </w:tcPr>
          <w:p w:rsidR="0064611A" w:rsidRDefault="0064611A" w:rsidP="00A145FC">
            <w:pPr>
              <w:rPr>
                <w:rFonts w:ascii="Times New Roman"/>
                <w:sz w:val="20"/>
              </w:rPr>
            </w:pP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widowControl/>
              <w:snapToGrid w:val="0"/>
              <w:jc w:val="center"/>
              <w:rPr>
                <w:rFonts w:hAnsi="仿宋" w:hint="eastAsia"/>
                <w:sz w:val="21"/>
                <w:szCs w:val="21"/>
              </w:rPr>
            </w:pPr>
            <w:r>
              <w:rPr>
                <w:rFonts w:hAnsi="仿宋" w:hint="eastAsia"/>
                <w:color w:val="000000"/>
                <w:kern w:val="0"/>
                <w:sz w:val="21"/>
                <w:szCs w:val="21"/>
                <w:lang w:bidi="ar"/>
              </w:rPr>
              <w:t>技术服务</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widowControl/>
              <w:snapToGrid w:val="0"/>
              <w:rPr>
                <w:rFonts w:hAnsi="仿宋" w:hint="eastAsia"/>
                <w:sz w:val="21"/>
                <w:szCs w:val="21"/>
              </w:rPr>
            </w:pPr>
            <w:r>
              <w:rPr>
                <w:rFonts w:hAnsi="仿宋" w:hint="eastAsia"/>
                <w:color w:val="000000"/>
                <w:kern w:val="0"/>
                <w:sz w:val="21"/>
                <w:szCs w:val="21"/>
                <w:lang w:bidi="ar"/>
              </w:rPr>
              <w:t>重点实验室固定人员主动或受邀为其他单位提供的技术咨询、技术服务、技术培训情况；以转让、许可使用、共同转化、作价投资等方式转化应用的专利、技术等科技成果情况。</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widowControl/>
              <w:snapToGrid w:val="0"/>
              <w:jc w:val="center"/>
              <w:rPr>
                <w:rFonts w:hAnsi="仿宋" w:hint="eastAsia"/>
                <w:sz w:val="21"/>
                <w:szCs w:val="21"/>
              </w:rPr>
            </w:pPr>
            <w:r>
              <w:rPr>
                <w:rFonts w:hAnsi="仿宋" w:cs="仿宋_GB2312" w:hint="eastAsia"/>
                <w:color w:val="000000"/>
                <w:kern w:val="0"/>
                <w:sz w:val="21"/>
                <w:szCs w:val="21"/>
                <w:lang w:bidi="ar"/>
              </w:rPr>
              <w:t>5%</w:t>
            </w:r>
          </w:p>
        </w:tc>
      </w:tr>
      <w:tr w:rsidR="0064611A" w:rsidTr="00A145FC">
        <w:trPr>
          <w:trHeight w:val="330"/>
          <w:jc w:val="center"/>
        </w:trPr>
        <w:tc>
          <w:tcPr>
            <w:tcW w:w="1182" w:type="dxa"/>
            <w:vMerge/>
            <w:tcBorders>
              <w:top w:val="nil"/>
              <w:left w:val="single" w:sz="4" w:space="0" w:color="auto"/>
              <w:bottom w:val="single" w:sz="4" w:space="0" w:color="auto"/>
              <w:right w:val="single" w:sz="4" w:space="0" w:color="auto"/>
            </w:tcBorders>
            <w:vAlign w:val="center"/>
          </w:tcPr>
          <w:p w:rsidR="0064611A" w:rsidRDefault="0064611A" w:rsidP="00A145FC">
            <w:pPr>
              <w:rPr>
                <w:rFonts w:ascii="Times New Roman"/>
                <w:sz w:val="20"/>
              </w:rPr>
            </w:pP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widowControl/>
              <w:snapToGrid w:val="0"/>
              <w:jc w:val="center"/>
              <w:rPr>
                <w:rFonts w:hAnsi="仿宋" w:hint="eastAsia"/>
                <w:sz w:val="21"/>
                <w:szCs w:val="21"/>
              </w:rPr>
            </w:pPr>
            <w:r>
              <w:rPr>
                <w:rFonts w:hAnsi="仿宋" w:hint="eastAsia"/>
                <w:color w:val="000000"/>
                <w:kern w:val="0"/>
                <w:sz w:val="21"/>
                <w:szCs w:val="21"/>
                <w:lang w:bidi="ar"/>
              </w:rPr>
              <w:t>技术交流</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widowControl/>
              <w:snapToGrid w:val="0"/>
              <w:rPr>
                <w:rFonts w:hAnsi="仿宋" w:hint="eastAsia"/>
                <w:sz w:val="21"/>
                <w:szCs w:val="21"/>
              </w:rPr>
            </w:pPr>
            <w:r>
              <w:rPr>
                <w:rFonts w:hAnsi="仿宋" w:hint="eastAsia"/>
                <w:color w:val="000000"/>
                <w:kern w:val="0"/>
                <w:sz w:val="21"/>
                <w:szCs w:val="21"/>
                <w:lang w:bidi="ar"/>
              </w:rPr>
              <w:t>与国内外科研机构开展学术交流合作情况；承办或受邀参加国际性、全国性学术会议情况；重点实验室固定人员在国际、国家级学术组织和学术刊物任职情况。</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widowControl/>
              <w:snapToGrid w:val="0"/>
              <w:jc w:val="center"/>
              <w:rPr>
                <w:rFonts w:hAnsi="仿宋" w:hint="eastAsia"/>
                <w:sz w:val="21"/>
                <w:szCs w:val="21"/>
              </w:rPr>
            </w:pPr>
            <w:r>
              <w:rPr>
                <w:rFonts w:hAnsi="仿宋" w:cs="仿宋_GB2312" w:hint="eastAsia"/>
                <w:color w:val="000000"/>
                <w:kern w:val="0"/>
                <w:sz w:val="21"/>
                <w:szCs w:val="21"/>
                <w:lang w:bidi="ar"/>
              </w:rPr>
              <w:t>3%</w:t>
            </w:r>
          </w:p>
        </w:tc>
      </w:tr>
      <w:tr w:rsidR="0064611A" w:rsidTr="00A145FC">
        <w:trPr>
          <w:trHeight w:val="435"/>
          <w:jc w:val="center"/>
        </w:trPr>
        <w:tc>
          <w:tcPr>
            <w:tcW w:w="1182" w:type="dxa"/>
            <w:vMerge/>
            <w:tcBorders>
              <w:top w:val="nil"/>
              <w:left w:val="single" w:sz="4" w:space="0" w:color="auto"/>
              <w:bottom w:val="single" w:sz="4" w:space="0" w:color="auto"/>
              <w:right w:val="single" w:sz="4" w:space="0" w:color="auto"/>
            </w:tcBorders>
            <w:vAlign w:val="center"/>
          </w:tcPr>
          <w:p w:rsidR="0064611A" w:rsidRDefault="0064611A" w:rsidP="00A145FC">
            <w:pPr>
              <w:rPr>
                <w:rFonts w:ascii="Times New Roman"/>
                <w:sz w:val="20"/>
              </w:rPr>
            </w:pPr>
          </w:p>
        </w:tc>
        <w:tc>
          <w:tcPr>
            <w:tcW w:w="1238" w:type="dxa"/>
            <w:tcBorders>
              <w:top w:val="single" w:sz="4" w:space="0" w:color="auto"/>
              <w:left w:val="nil"/>
              <w:bottom w:val="single" w:sz="4" w:space="0" w:color="auto"/>
              <w:right w:val="single" w:sz="4" w:space="0" w:color="auto"/>
            </w:tcBorders>
            <w:vAlign w:val="center"/>
          </w:tcPr>
          <w:p w:rsidR="0064611A" w:rsidRDefault="0064611A" w:rsidP="00A145FC">
            <w:pPr>
              <w:widowControl/>
              <w:snapToGrid w:val="0"/>
              <w:jc w:val="center"/>
              <w:rPr>
                <w:rFonts w:hAnsi="仿宋" w:hint="eastAsia"/>
                <w:sz w:val="21"/>
                <w:szCs w:val="21"/>
              </w:rPr>
            </w:pPr>
            <w:r>
              <w:rPr>
                <w:rFonts w:hAnsi="仿宋" w:hint="eastAsia"/>
                <w:color w:val="000000"/>
                <w:kern w:val="0"/>
                <w:sz w:val="21"/>
                <w:szCs w:val="21"/>
                <w:lang w:bidi="ar"/>
              </w:rPr>
              <w:t>开放共享</w:t>
            </w:r>
          </w:p>
        </w:tc>
        <w:tc>
          <w:tcPr>
            <w:tcW w:w="6100" w:type="dxa"/>
            <w:tcBorders>
              <w:top w:val="single" w:sz="4" w:space="0" w:color="auto"/>
              <w:left w:val="nil"/>
              <w:bottom w:val="single" w:sz="4" w:space="0" w:color="auto"/>
              <w:right w:val="single" w:sz="4" w:space="0" w:color="auto"/>
            </w:tcBorders>
            <w:vAlign w:val="center"/>
          </w:tcPr>
          <w:p w:rsidR="0064611A" w:rsidRDefault="0064611A" w:rsidP="00A145FC">
            <w:pPr>
              <w:widowControl/>
              <w:snapToGrid w:val="0"/>
              <w:rPr>
                <w:rFonts w:hAnsi="仿宋" w:hint="eastAsia"/>
                <w:sz w:val="21"/>
                <w:szCs w:val="21"/>
              </w:rPr>
            </w:pPr>
            <w:r>
              <w:rPr>
                <w:rFonts w:hAnsi="仿宋" w:hint="eastAsia"/>
                <w:color w:val="000000"/>
                <w:kern w:val="0"/>
                <w:sz w:val="21"/>
                <w:szCs w:val="21"/>
                <w:lang w:bidi="ar"/>
              </w:rPr>
              <w:t>科研设施、科研仪器开放共享和科学技术普及情况。</w:t>
            </w:r>
          </w:p>
        </w:tc>
        <w:tc>
          <w:tcPr>
            <w:tcW w:w="721" w:type="dxa"/>
            <w:tcBorders>
              <w:top w:val="single" w:sz="4" w:space="0" w:color="auto"/>
              <w:left w:val="nil"/>
              <w:bottom w:val="single" w:sz="4" w:space="0" w:color="auto"/>
              <w:right w:val="single" w:sz="4" w:space="0" w:color="auto"/>
            </w:tcBorders>
            <w:vAlign w:val="center"/>
          </w:tcPr>
          <w:p w:rsidR="0064611A" w:rsidRDefault="0064611A" w:rsidP="00A145FC">
            <w:pPr>
              <w:widowControl/>
              <w:snapToGrid w:val="0"/>
              <w:jc w:val="center"/>
              <w:rPr>
                <w:rFonts w:hAnsi="仿宋" w:hint="eastAsia"/>
                <w:sz w:val="21"/>
                <w:szCs w:val="21"/>
              </w:rPr>
            </w:pPr>
            <w:r>
              <w:rPr>
                <w:rFonts w:hAnsi="仿宋" w:cs="仿宋_GB2312" w:hint="eastAsia"/>
                <w:color w:val="000000"/>
                <w:kern w:val="0"/>
                <w:sz w:val="21"/>
                <w:szCs w:val="21"/>
                <w:lang w:bidi="ar"/>
              </w:rPr>
              <w:t>2%</w:t>
            </w:r>
          </w:p>
        </w:tc>
      </w:tr>
    </w:tbl>
    <w:p w:rsidR="0016331D" w:rsidRDefault="0016331D">
      <w:bookmarkStart w:id="0" w:name="_GoBack"/>
      <w:bookmarkEnd w:id="0"/>
    </w:p>
    <w:sectPr w:rsidR="001633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ESI黑体-GB2312">
    <w:altName w:val="微软雅黑"/>
    <w:charset w:val="86"/>
    <w:family w:val="auto"/>
    <w:pitch w:val="default"/>
    <w:sig w:usb0="00000000" w:usb1="184F6CF8" w:usb2="00000012" w:usb3="00000000" w:csb0="0004000F"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1A"/>
    <w:rsid w:val="0016331D"/>
    <w:rsid w:val="00646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CEED9-518F-4950-91FF-FDBA833F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11A"/>
    <w:pPr>
      <w:widowControl w:val="0"/>
      <w:jc w:val="both"/>
    </w:pPr>
    <w:rPr>
      <w:rFonts w:ascii="仿宋_GB2312" w:eastAsia="仿宋_GB2312" w:hAnsi="Times New Roman" w:cs="Times New Roman"/>
      <w:spacing w:val="-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_Style 4"/>
    <w:basedOn w:val="a"/>
    <w:rsid w:val="0064611A"/>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马春丽</dc:creator>
  <cp:keywords/>
  <dc:description/>
  <cp:lastModifiedBy>马春丽</cp:lastModifiedBy>
  <cp:revision>1</cp:revision>
  <dcterms:created xsi:type="dcterms:W3CDTF">2023-01-05T07:08:00Z</dcterms:created>
  <dcterms:modified xsi:type="dcterms:W3CDTF">2023-01-05T07:08:00Z</dcterms:modified>
</cp:coreProperties>
</file>