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bookmarkStart w:id="0" w:name="_Toc32082"/>
      <w:bookmarkStart w:id="1" w:name="_Toc28068"/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  <w:t>鞍山市本级集体建设用地、集体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</w:rPr>
        <w:t>农用地和国有农用地基准地价内涵表</w:t>
      </w:r>
    </w:p>
    <w:p>
      <w:pPr>
        <w:pStyle w:val="2"/>
        <w:rPr>
          <w:rFonts w:hint="eastAsia"/>
        </w:rPr>
      </w:pP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集体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建设用地基准地价内涵</w:t>
      </w:r>
    </w:p>
    <w:tbl>
      <w:tblPr>
        <w:tblStyle w:val="3"/>
        <w:tblW w:w="0" w:type="auto"/>
        <w:tblInd w:w="0" w:type="dxa"/>
        <w:tblBorders>
          <w:top w:val="single" w:color="080000" w:sz="12" w:space="0"/>
          <w:left w:val="single" w:color="080000" w:sz="12" w:space="0"/>
          <w:bottom w:val="single" w:color="080000" w:sz="12" w:space="0"/>
          <w:right w:val="single" w:color="080000" w:sz="12" w:space="0"/>
          <w:insideH w:val="single" w:color="080000" w:sz="4" w:space="0"/>
          <w:insideV w:val="single" w:color="08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375"/>
        <w:gridCol w:w="1349"/>
        <w:gridCol w:w="1680"/>
        <w:gridCol w:w="1560"/>
      </w:tblGrid>
      <w:tr>
        <w:tblPrEx>
          <w:tblBorders>
            <w:top w:val="single" w:color="080000" w:sz="12" w:space="0"/>
            <w:left w:val="single" w:color="080000" w:sz="12" w:space="0"/>
            <w:bottom w:val="single" w:color="080000" w:sz="12" w:space="0"/>
            <w:right w:val="single" w:color="080000" w:sz="12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用地类型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容积率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使用年限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土地开发程度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估价期日</w:t>
            </w:r>
          </w:p>
        </w:tc>
      </w:tr>
      <w:tr>
        <w:tblPrEx>
          <w:tblBorders>
            <w:top w:val="single" w:color="080000" w:sz="12" w:space="0"/>
            <w:left w:val="single" w:color="080000" w:sz="12" w:space="0"/>
            <w:bottom w:val="single" w:color="080000" w:sz="12" w:space="0"/>
            <w:right w:val="single" w:color="080000" w:sz="12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商服用地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40年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四通一平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2021年4月1日</w:t>
            </w:r>
          </w:p>
        </w:tc>
      </w:tr>
      <w:tr>
        <w:tblPrEx>
          <w:tblBorders>
            <w:top w:val="single" w:color="080000" w:sz="12" w:space="0"/>
            <w:left w:val="single" w:color="080000" w:sz="12" w:space="0"/>
            <w:bottom w:val="single" w:color="080000" w:sz="12" w:space="0"/>
            <w:right w:val="single" w:color="080000" w:sz="12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农村</w:t>
            </w:r>
            <w:r>
              <w:rPr>
                <w:rFonts w:hint="eastAsia" w:ascii="仿宋" w:hAnsi="仿宋" w:eastAsia="仿宋"/>
                <w:sz w:val="24"/>
              </w:rPr>
              <w:t>宅基地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0.6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无限年期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四通一平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80000" w:sz="12" w:space="0"/>
            <w:left w:val="single" w:color="080000" w:sz="12" w:space="0"/>
            <w:bottom w:val="single" w:color="080000" w:sz="12" w:space="0"/>
            <w:right w:val="single" w:color="080000" w:sz="12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工业用地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1.0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四通一平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jc w:val="center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农用地基准地价内涵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80"/>
        <w:gridCol w:w="1101"/>
        <w:gridCol w:w="1995"/>
        <w:gridCol w:w="1196"/>
        <w:gridCol w:w="12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农用地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土地权利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土地权利年期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用地类型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耕作制度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估价期日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集体农用地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承包经营权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耕地（</w:t>
            </w:r>
            <w:r>
              <w:rPr>
                <w:rFonts w:hint="eastAsia" w:ascii="仿宋" w:hAnsi="仿宋" w:eastAsia="仿宋"/>
                <w:sz w:val="24"/>
              </w:rPr>
              <w:t>旱地、水田、水浇地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旱地、水田为一年一熟，水浇地为一年两熟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2021年4月1日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经营权</w:t>
            </w:r>
          </w:p>
        </w:tc>
        <w:tc>
          <w:tcPr>
            <w:tcW w:w="11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国有农用地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国有农用地使用权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耕地（</w:t>
            </w:r>
            <w:r>
              <w:rPr>
                <w:rFonts w:hint="eastAsia" w:ascii="仿宋" w:hAnsi="仿宋" w:eastAsia="仿宋"/>
                <w:sz w:val="24"/>
              </w:rPr>
              <w:t>旱地、水田、水浇地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、园地（果园、其他园地）、林地（乔木林地、灌木林地、其他林地）</w:t>
            </w: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2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434A8"/>
    <w:rsid w:val="133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仿宋_GB2312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2022-04-18T07:02:00Z</dcterms:created>
  <dc:creator>WZS</dc:creator>
  <cp:lastModifiedBy>WZS</cp:lastModifiedBy>
  <dcterms:modified xsi:type="dcterms:W3CDTF">2022-04-18T07:04:30Z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7635D475E86947E38BCA296C65201AC4</vt:lpwstr>
  </property>
</Properties>
</file>