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4</w:t>
      </w:r>
    </w:p>
    <w:p>
      <w:pPr>
        <w:ind w:left="0" w:leftChars="0" w:firstLine="0" w:firstLineChars="0"/>
        <w:rPr>
          <w:rFonts w:hint="eastAsia" w:ascii="仿宋_GB2312" w:hAnsi="仿宋_GB2312" w:eastAsia="仿宋_GB2312" w:cs="仿宋_GB2312"/>
          <w:color w:val="auto"/>
          <w:sz w:val="32"/>
          <w:szCs w:val="32"/>
          <w:lang w:val="en-US" w:eastAsia="zh-CN"/>
        </w:rPr>
      </w:pPr>
    </w:p>
    <w:p>
      <w:pPr>
        <w:snapToGrid w:val="0"/>
        <w:ind w:left="0" w:leftChars="0" w:firstLine="0" w:firstLineChars="0"/>
        <w:jc w:val="center"/>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不列入行政规范性文件管理的文件目录</w:t>
      </w:r>
    </w:p>
    <w:bookmarkEnd w:id="0"/>
    <w:p>
      <w:pPr>
        <w:snapToGrid w:val="0"/>
        <w:ind w:left="0" w:leftChars="0" w:firstLine="0" w:firstLineChars="0"/>
        <w:jc w:val="center"/>
        <w:rPr>
          <w:rFonts w:hint="eastAsia" w:ascii="方正小标宋_GBK" w:hAnsi="方正小标宋_GBK" w:eastAsia="方正小标宋_GBK" w:cs="方正小标宋_GBK"/>
          <w:color w:val="auto"/>
          <w:sz w:val="44"/>
          <w:szCs w:val="44"/>
          <w:lang w:val="en-US" w:eastAsia="zh-CN"/>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7"/>
        <w:gridCol w:w="5040"/>
        <w:gridCol w:w="1515"/>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序</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cs="仿宋_GB2312"/>
                <w:i w:val="0"/>
                <w:color w:val="000000"/>
                <w:sz w:val="24"/>
                <w:szCs w:val="24"/>
                <w:u w:val="none"/>
                <w:lang w:val="en-US" w:eastAsia="zh-CN"/>
              </w:rPr>
            </w:pPr>
            <w:r>
              <w:rPr>
                <w:rFonts w:hint="eastAsia" w:ascii="黑体" w:hAnsi="黑体" w:eastAsia="黑体" w:cs="黑体"/>
                <w:i w:val="0"/>
                <w:color w:val="000000"/>
                <w:kern w:val="0"/>
                <w:sz w:val="24"/>
                <w:szCs w:val="24"/>
                <w:u w:val="none"/>
                <w:lang w:val="en-US" w:eastAsia="zh-CN" w:bidi="ar-SA"/>
              </w:rPr>
              <w:t>号</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标题</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文号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负责单位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cs="仿宋_GB2312"/>
                <w:i w:val="0"/>
                <w:color w:val="000000"/>
                <w:sz w:val="24"/>
                <w:szCs w:val="24"/>
                <w:u w:val="none"/>
                <w:lang w:val="en-US" w:eastAsia="zh-CN"/>
              </w:rPr>
              <w:t>1</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哈尔滨市人民政府关于印发哈尔滨市厂办大集体企业改革工作实施意见的通知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〔2007〕23号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市国资委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哈尔滨市人民政府关于加强和改进街道办事处工作的指导意见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〔2013〕4号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3</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哈尔滨市人民政府关于印发哈尔滨市矿产资源规划（2016-2020年）的通知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〔2018〕12号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4</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哈尔滨市人民政府关于废止《哈尔滨市人民政府办公厅关于印发哈尔滨市“互联网+流通”行动计划实施方案的通知》的通知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〔2018〕30号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5</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哈尔滨市人民政府关于印发《关于运用仲裁方式化解我市社会矛盾的实施方案》的通知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〔2014〕16号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哈仲裁办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6</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哈尔滨市人民政府关于加强测绘工作的若干意见</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〔2009〕37号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7</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哈尔滨市人民政府办公厅印发关于支持哈尔滨市第一医院改革发展若干意见的通知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〔2015〕7号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w:t>
            </w:r>
            <w:r>
              <w:rPr>
                <w:rFonts w:hint="eastAsia" w:ascii="仿宋_GB2312" w:hAnsi="仿宋_GB2312" w:cs="仿宋_GB2312"/>
                <w:i w:val="0"/>
                <w:color w:val="000000"/>
                <w:kern w:val="0"/>
                <w:sz w:val="24"/>
                <w:szCs w:val="24"/>
                <w:u w:val="none"/>
                <w:lang w:val="en-US" w:eastAsia="zh-CN" w:bidi="ar-SA"/>
              </w:rPr>
              <w:t>卫</w:t>
            </w:r>
            <w:r>
              <w:rPr>
                <w:rFonts w:hint="eastAsia" w:ascii="仿宋_GB2312" w:hAnsi="仿宋_GB2312" w:eastAsia="仿宋_GB2312" w:cs="仿宋_GB2312"/>
                <w:i w:val="0"/>
                <w:color w:val="000000"/>
                <w:kern w:val="0"/>
                <w:sz w:val="24"/>
                <w:szCs w:val="24"/>
                <w:u w:val="none"/>
                <w:lang w:val="en-US" w:eastAsia="zh-CN" w:bidi="ar-SA"/>
              </w:rPr>
              <w:t>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8</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哈尔滨市人民政府办公厅关于转发哈尔滨市自动雨量监测站网管理办法的通知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〔2006〕11号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9</w:t>
            </w:r>
          </w:p>
        </w:tc>
        <w:tc>
          <w:tcPr>
            <w:tcW w:w="5040"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哈尔滨市人民政府办公厅关于印发哈尔滨市环境污染和生态破坏突发事件应急预案的通知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〔2016〕24号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10</w:t>
            </w:r>
          </w:p>
        </w:tc>
        <w:tc>
          <w:tcPr>
            <w:tcW w:w="5040"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哈尔滨市人民政府办公厅关于印发哈尔滨市特种设备事故应急预案的通知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〔2016〕29号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11</w:t>
            </w:r>
          </w:p>
        </w:tc>
        <w:tc>
          <w:tcPr>
            <w:tcW w:w="5040"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哈尔滨市人民政府办公厅关于印发哈尔滨市食品安全事故应急预案的通知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〔2017〕11号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12</w:t>
            </w:r>
          </w:p>
        </w:tc>
        <w:tc>
          <w:tcPr>
            <w:tcW w:w="5040"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6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哈尔滨市人民政府办公厅关于印发哈尔滨市加快推进“互联网+政务服务”工作方案的通知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〔2017〕17号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13</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哈尔滨市人民政府办公厅关于印发哈尔滨市各级政府部门涉企信息统一归集公示工作实施方案的通知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〔2017〕31号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14</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哈尔滨市人民政府办公厅关于转发哈尔滨市港口船舶污染物接收转运及处置设施建设方案的通知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〔2017〕36号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15</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哈尔滨市人民政府办公厅关于印发哈尔滨市引导城乡居民扩大文化消费试点工作实施方案的通知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〔2017〕57号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16</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哈尔滨市人民政府办公厅关于印发哈尔滨市旅游事故应急预案的通知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〔2017〕63号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17</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哈尔滨市人民政府办公厅关于印发哈尔滨市湿地保护修复工作实施方案的通知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〔2018〕2号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18</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哈尔滨市人民政府办公厅关于哈尔滨市创建全民运动健身模范市实施方案的通知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〔2018〕42号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19</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哈尔滨市人民政府办公厅关于印发哈尔滨市自然生态保护存在突出问题专项整治工作方案的通知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〔2019〕2号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20</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哈尔滨市人民政府办公厅转发关于加快会展经济发展若干意见的通知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〔2009〕68号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市贸促会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21</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哈尔滨市人民政府办公厅转发关于加强以人民调解方式化解物业服务纠纷的指导意见的通知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〔2012〕41号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22</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哈尔滨市人民政府办公厅关于印发哈尔滨市网格化环境监管体系建设方案的通知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〔2016〕26号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23</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哈尔滨市人民政府关于公布第六批市级非物质文化遗产名录的通知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〔2018〕29号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24</w:t>
            </w:r>
          </w:p>
        </w:tc>
        <w:tc>
          <w:tcPr>
            <w:tcW w:w="504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哈尔滨市人民政府办公厅关于印发哈尔滨市促进旅游产品转型升级实施方案的通知</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〔2017〕60号</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6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旅游局</w:t>
            </w:r>
          </w:p>
        </w:tc>
      </w:tr>
    </w:tbl>
    <w:p>
      <w:pPr>
        <w:spacing w:line="560" w:lineRule="exact"/>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A6553"/>
    <w:rsid w:val="4FEA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2022-01-19T06:18:00Z</dcterms:created>
  <dc:creator>子焉</dc:creator>
  <cp:lastModifiedBy>子焉</cp:lastModifiedBy>
  <dcterms:modified xsi:type="dcterms:W3CDTF">2022-01-19T06:18:36Z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434211171E234EB68AAA88B5B837770A</vt:lpwstr>
  </property>
</Properties>
</file>