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bookmarkStart w:id="0" w:name="_GoBack"/>
      <w:r>
        <w:rPr>
          <w:rFonts w:hint="eastAsia" w:ascii="方正小标宋简体" w:hAnsi="方正小标宋简体" w:eastAsia="方正小标宋简体" w:cs="方正小标宋简体"/>
          <w:kern w:val="0"/>
          <w:sz w:val="44"/>
          <w:szCs w:val="44"/>
        </w:rPr>
        <w:t>哈尔滨市工程建设项目审批制度改革任务分解表</w:t>
      </w:r>
      <w:bookmarkEnd w:id="0"/>
    </w:p>
    <w:tbl>
      <w:tblPr>
        <w:tblStyle w:val="4"/>
        <w:tblW w:w="12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872"/>
        <w:gridCol w:w="945"/>
        <w:gridCol w:w="6478"/>
        <w:gridCol w:w="1417"/>
        <w:gridCol w:w="1418"/>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02" w:type="dxa"/>
            <w:noWrap w:val="0"/>
            <w:vAlign w:val="center"/>
          </w:tcPr>
          <w:p>
            <w:pPr>
              <w:spacing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872" w:type="dxa"/>
            <w:noWrap w:val="0"/>
            <w:vAlign w:val="center"/>
          </w:tcPr>
          <w:p>
            <w:pPr>
              <w:spacing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主要</w:t>
            </w:r>
          </w:p>
          <w:p>
            <w:pPr>
              <w:spacing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任务</w:t>
            </w:r>
          </w:p>
        </w:tc>
        <w:tc>
          <w:tcPr>
            <w:tcW w:w="945" w:type="dxa"/>
            <w:noWrap w:val="0"/>
            <w:vAlign w:val="center"/>
          </w:tcPr>
          <w:p>
            <w:pPr>
              <w:spacing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工作</w:t>
            </w:r>
          </w:p>
          <w:p>
            <w:pPr>
              <w:spacing w:line="320" w:lineRule="exact"/>
              <w:jc w:val="center"/>
              <w:rPr>
                <w:rFonts w:hint="eastAsia" w:ascii="楷体_GB2312" w:hAnsi="楷体_GB2312" w:eastAsia="楷体_GB2312" w:cs="楷体_GB2312"/>
                <w:kern w:val="0"/>
                <w:sz w:val="21"/>
                <w:szCs w:val="21"/>
              </w:rPr>
            </w:pPr>
            <w:r>
              <w:rPr>
                <w:rFonts w:hint="eastAsia" w:ascii="黑体" w:hAnsi="黑体" w:eastAsia="黑体" w:cs="黑体"/>
                <w:kern w:val="0"/>
                <w:sz w:val="21"/>
                <w:szCs w:val="21"/>
              </w:rPr>
              <w:t>目标</w:t>
            </w:r>
          </w:p>
        </w:tc>
        <w:tc>
          <w:tcPr>
            <w:tcW w:w="6478" w:type="dxa"/>
            <w:noWrap w:val="0"/>
            <w:vAlign w:val="center"/>
          </w:tcPr>
          <w:p>
            <w:pPr>
              <w:spacing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具体措施</w:t>
            </w:r>
          </w:p>
        </w:tc>
        <w:tc>
          <w:tcPr>
            <w:tcW w:w="1417" w:type="dxa"/>
            <w:noWrap w:val="0"/>
            <w:vAlign w:val="center"/>
          </w:tcPr>
          <w:p>
            <w:pPr>
              <w:spacing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牵头部门</w:t>
            </w:r>
          </w:p>
        </w:tc>
        <w:tc>
          <w:tcPr>
            <w:tcW w:w="1418" w:type="dxa"/>
            <w:noWrap w:val="0"/>
            <w:vAlign w:val="center"/>
          </w:tcPr>
          <w:p>
            <w:pPr>
              <w:spacing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配合部门</w:t>
            </w:r>
          </w:p>
        </w:tc>
        <w:tc>
          <w:tcPr>
            <w:tcW w:w="1240" w:type="dxa"/>
            <w:noWrap w:val="0"/>
            <w:vAlign w:val="center"/>
          </w:tcPr>
          <w:p>
            <w:pPr>
              <w:spacing w:line="320" w:lineRule="exact"/>
              <w:jc w:val="center"/>
              <w:rPr>
                <w:rFonts w:hint="eastAsia" w:ascii="黑体" w:hAnsi="黑体" w:eastAsia="黑体" w:cs="黑体"/>
                <w:kern w:val="0"/>
                <w:sz w:val="21"/>
                <w:szCs w:val="21"/>
              </w:rPr>
            </w:pPr>
            <w:r>
              <w:rPr>
                <w:rFonts w:hint="eastAsia" w:ascii="黑体" w:hAnsi="黑体" w:eastAsia="黑体" w:cs="黑体"/>
                <w:kern w:val="0"/>
                <w:sz w:val="21"/>
                <w:szCs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3" w:hRule="atLeast"/>
        </w:trPr>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1</w:t>
            </w:r>
          </w:p>
        </w:tc>
        <w:tc>
          <w:tcPr>
            <w:tcW w:w="872" w:type="dxa"/>
            <w:noWrap w:val="0"/>
            <w:vAlign w:val="center"/>
          </w:tcPr>
          <w:p>
            <w:pPr>
              <w:spacing w:line="320" w:lineRule="exact"/>
              <w:jc w:val="center"/>
              <w:rPr>
                <w:rFonts w:hint="eastAsia" w:ascii="仿宋_GB2312" w:hAnsi="仿宋" w:cs="宋体"/>
                <w:kern w:val="0"/>
                <w:sz w:val="21"/>
                <w:szCs w:val="21"/>
              </w:rPr>
            </w:pPr>
            <w:r>
              <w:rPr>
                <w:rFonts w:hint="eastAsia" w:ascii="黑体" w:eastAsia="黑体"/>
                <w:sz w:val="21"/>
                <w:szCs w:val="21"/>
              </w:rPr>
              <w:t>统一审批流程</w:t>
            </w:r>
          </w:p>
        </w:tc>
        <w:tc>
          <w:tcPr>
            <w:tcW w:w="945" w:type="dxa"/>
            <w:noWrap w:val="0"/>
            <w:vAlign w:val="center"/>
          </w:tcPr>
          <w:p>
            <w:pPr>
              <w:spacing w:line="320" w:lineRule="exact"/>
              <w:rPr>
                <w:rFonts w:hint="eastAsia" w:ascii="楷体_GB2312" w:hAnsi="楷体_GB2312" w:eastAsia="楷体_GB2312" w:cs="楷体_GB2312"/>
                <w:kern w:val="0"/>
                <w:sz w:val="21"/>
                <w:szCs w:val="21"/>
              </w:rPr>
            </w:pPr>
            <w:r>
              <w:rPr>
                <w:rFonts w:hint="eastAsia" w:ascii="楷体_GB2312" w:hAnsi="楷体_GB2312" w:eastAsia="楷体_GB2312" w:cs="楷体_GB2312"/>
                <w:sz w:val="21"/>
                <w:szCs w:val="21"/>
              </w:rPr>
              <w:t>精简审批环节</w:t>
            </w:r>
          </w:p>
        </w:tc>
        <w:tc>
          <w:tcPr>
            <w:tcW w:w="6478" w:type="dxa"/>
            <w:noWrap w:val="0"/>
            <w:vAlign w:val="top"/>
          </w:tcPr>
          <w:p>
            <w:pPr>
              <w:spacing w:line="320" w:lineRule="exact"/>
              <w:jc w:val="left"/>
              <w:rPr>
                <w:rFonts w:hint="eastAsia" w:ascii="仿宋_GB2312"/>
                <w:sz w:val="21"/>
                <w:szCs w:val="21"/>
              </w:rPr>
            </w:pPr>
            <w:r>
              <w:rPr>
                <w:rFonts w:hint="eastAsia" w:ascii="仿宋_GB2312"/>
                <w:sz w:val="21"/>
                <w:szCs w:val="21"/>
              </w:rPr>
              <w:t>1.精减审批事项。</w:t>
            </w:r>
          </w:p>
          <w:p>
            <w:pPr>
              <w:spacing w:line="320" w:lineRule="exact"/>
              <w:jc w:val="left"/>
              <w:rPr>
                <w:rFonts w:hint="eastAsia" w:ascii="仿宋_GB2312"/>
                <w:sz w:val="21"/>
                <w:szCs w:val="21"/>
              </w:rPr>
            </w:pPr>
            <w:r>
              <w:rPr>
                <w:rFonts w:hint="eastAsia" w:ascii="仿宋_GB2312"/>
                <w:sz w:val="21"/>
                <w:szCs w:val="21"/>
              </w:rPr>
              <w:t>（1）取消建设工程施工合同（含专业分包合同、劳务分包合同）备案事项；</w:t>
            </w:r>
          </w:p>
          <w:p>
            <w:pPr>
              <w:spacing w:line="320" w:lineRule="exact"/>
              <w:jc w:val="left"/>
              <w:rPr>
                <w:rFonts w:hint="eastAsia" w:ascii="仿宋_GB2312"/>
                <w:sz w:val="21"/>
                <w:szCs w:val="21"/>
              </w:rPr>
            </w:pPr>
            <w:r>
              <w:rPr>
                <w:rFonts w:hint="eastAsia" w:ascii="仿宋_GB2312"/>
                <w:sz w:val="21"/>
                <w:szCs w:val="21"/>
              </w:rPr>
              <w:t>（2）取消勘察设计合同备案事项；</w:t>
            </w:r>
          </w:p>
          <w:p>
            <w:pPr>
              <w:spacing w:line="320" w:lineRule="exact"/>
              <w:jc w:val="left"/>
              <w:rPr>
                <w:rFonts w:hint="eastAsia" w:ascii="仿宋_GB2312"/>
                <w:sz w:val="21"/>
                <w:szCs w:val="21"/>
              </w:rPr>
            </w:pPr>
            <w:r>
              <w:rPr>
                <w:rFonts w:hint="eastAsia" w:ascii="仿宋_GB2312"/>
                <w:sz w:val="21"/>
                <w:szCs w:val="21"/>
              </w:rPr>
              <w:t>（3）取消办理施工许可证中建设资金已经落实证明事项；</w:t>
            </w:r>
          </w:p>
          <w:p>
            <w:pPr>
              <w:spacing w:line="320" w:lineRule="exact"/>
              <w:jc w:val="left"/>
              <w:rPr>
                <w:rFonts w:hint="eastAsia" w:ascii="仿宋_GB2312"/>
                <w:sz w:val="21"/>
                <w:szCs w:val="21"/>
              </w:rPr>
            </w:pPr>
            <w:r>
              <w:rPr>
                <w:rFonts w:hint="eastAsia" w:ascii="仿宋_GB2312"/>
                <w:sz w:val="21"/>
                <w:szCs w:val="21"/>
              </w:rPr>
              <w:t>（4）取消自有划拨用地备案类再建设项目立项用地规划许可阶段，直接从工程建设许可阶段办理；</w:t>
            </w:r>
          </w:p>
          <w:p>
            <w:pPr>
              <w:spacing w:line="320" w:lineRule="exact"/>
              <w:jc w:val="left"/>
              <w:rPr>
                <w:rFonts w:hint="eastAsia" w:ascii="仿宋_GB2312"/>
                <w:sz w:val="21"/>
                <w:szCs w:val="21"/>
              </w:rPr>
            </w:pPr>
            <w:r>
              <w:rPr>
                <w:rFonts w:hint="eastAsia" w:ascii="仿宋_GB2312"/>
                <w:sz w:val="21"/>
                <w:szCs w:val="21"/>
              </w:rPr>
              <w:t>（5）取消《建设项目选址意见书》批前公示环节；</w:t>
            </w:r>
          </w:p>
          <w:p>
            <w:pPr>
              <w:spacing w:line="320" w:lineRule="exact"/>
              <w:jc w:val="left"/>
              <w:rPr>
                <w:rFonts w:hint="eastAsia" w:ascii="仿宋_GB2312"/>
                <w:sz w:val="21"/>
                <w:szCs w:val="21"/>
              </w:rPr>
            </w:pPr>
            <w:r>
              <w:rPr>
                <w:rFonts w:hint="eastAsia" w:ascii="仿宋_GB2312"/>
                <w:sz w:val="21"/>
                <w:szCs w:val="21"/>
              </w:rPr>
              <w:t>（6）取消《建设用地规划许可证》附图作为核发《建设用地规划许可证》的前置要件；</w:t>
            </w:r>
          </w:p>
          <w:p>
            <w:pPr>
              <w:spacing w:line="320" w:lineRule="exact"/>
              <w:jc w:val="left"/>
              <w:rPr>
                <w:rFonts w:hint="eastAsia" w:ascii="仿宋_GB2312"/>
                <w:sz w:val="21"/>
                <w:szCs w:val="21"/>
              </w:rPr>
            </w:pPr>
            <w:r>
              <w:rPr>
                <w:rFonts w:hint="eastAsia" w:ascii="仿宋_GB2312"/>
                <w:sz w:val="21"/>
                <w:szCs w:val="21"/>
              </w:rPr>
              <w:t>（7）取消保障房审查意见书作为核发《建设工程规划许可证》的前置要件；</w:t>
            </w:r>
          </w:p>
          <w:p>
            <w:pPr>
              <w:spacing w:line="320" w:lineRule="exact"/>
              <w:jc w:val="left"/>
              <w:rPr>
                <w:rFonts w:hint="eastAsia" w:ascii="仿宋_GB2312" w:hAnsi="仿宋" w:cs="宋体"/>
                <w:kern w:val="0"/>
                <w:sz w:val="21"/>
                <w:szCs w:val="21"/>
              </w:rPr>
            </w:pPr>
            <w:r>
              <w:rPr>
                <w:rFonts w:hint="eastAsia" w:ascii="仿宋_GB2312"/>
                <w:sz w:val="21"/>
                <w:szCs w:val="21"/>
              </w:rPr>
              <w:t>（8）取消配建居住区公益性服务设施的建设项目应出具区政府或职能部门交接意见书或配套证明材料作为办理规划条件核实的前置要件。</w:t>
            </w:r>
          </w:p>
        </w:tc>
        <w:tc>
          <w:tcPr>
            <w:tcW w:w="1417"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市住建局、市资源规划局按职责分工牵头</w:t>
            </w:r>
          </w:p>
        </w:tc>
        <w:tc>
          <w:tcPr>
            <w:tcW w:w="1418"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市政府各有关部门、</w:t>
            </w:r>
            <w:r>
              <w:rPr>
                <w:rFonts w:hint="eastAsia" w:ascii="仿宋_GB2312" w:hAnsi="仿宋_GB2312" w:cs="仿宋_GB2312"/>
                <w:sz w:val="21"/>
                <w:szCs w:val="21"/>
                <w:shd w:val="clear" w:color="auto" w:fill="FFFFFF"/>
              </w:rPr>
              <w:t>各区县（市）政府</w:t>
            </w:r>
          </w:p>
        </w:tc>
        <w:tc>
          <w:tcPr>
            <w:tcW w:w="1240" w:type="dxa"/>
            <w:noWrap w:val="0"/>
            <w:vAlign w:val="center"/>
          </w:tcPr>
          <w:p>
            <w:pPr>
              <w:spacing w:line="320" w:lineRule="exact"/>
              <w:jc w:val="center"/>
              <w:rPr>
                <w:rFonts w:hint="eastAsia" w:ascii="仿宋_GB2312" w:hAnsi="仿宋" w:cs="宋体"/>
                <w:kern w:val="0"/>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2</w:t>
            </w:r>
          </w:p>
        </w:tc>
        <w:tc>
          <w:tcPr>
            <w:tcW w:w="872" w:type="dxa"/>
            <w:vMerge w:val="restart"/>
            <w:noWrap w:val="0"/>
            <w:vAlign w:val="center"/>
          </w:tcPr>
          <w:p>
            <w:pPr>
              <w:spacing w:line="320" w:lineRule="exact"/>
              <w:jc w:val="center"/>
              <w:rPr>
                <w:rFonts w:hint="eastAsia" w:ascii="仿宋_GB2312" w:hAnsi="仿宋" w:cs="宋体"/>
                <w:kern w:val="0"/>
                <w:sz w:val="21"/>
                <w:szCs w:val="21"/>
              </w:rPr>
            </w:pPr>
            <w:r>
              <w:rPr>
                <w:rFonts w:hint="eastAsia" w:ascii="黑体" w:eastAsia="黑体"/>
                <w:sz w:val="21"/>
                <w:szCs w:val="21"/>
              </w:rPr>
              <w:t>统一审批流程</w:t>
            </w:r>
          </w:p>
        </w:tc>
        <w:tc>
          <w:tcPr>
            <w:tcW w:w="945" w:type="dxa"/>
            <w:vMerge w:val="restart"/>
            <w:noWrap w:val="0"/>
            <w:vAlign w:val="center"/>
          </w:tcPr>
          <w:p>
            <w:pPr>
              <w:spacing w:line="320" w:lineRule="exact"/>
              <w:rPr>
                <w:rFonts w:hint="eastAsia" w:ascii="楷体_GB2312" w:hAnsi="楷体_GB2312" w:eastAsia="楷体_GB2312" w:cs="楷体_GB2312"/>
                <w:kern w:val="0"/>
                <w:sz w:val="21"/>
                <w:szCs w:val="21"/>
              </w:rPr>
            </w:pPr>
            <w:r>
              <w:rPr>
                <w:rFonts w:hint="eastAsia" w:ascii="楷体_GB2312" w:hAnsi="楷体_GB2312" w:eastAsia="楷体_GB2312" w:cs="楷体_GB2312"/>
                <w:sz w:val="21"/>
                <w:szCs w:val="21"/>
              </w:rPr>
              <w:t>精简审批环节</w:t>
            </w:r>
          </w:p>
        </w:tc>
        <w:tc>
          <w:tcPr>
            <w:tcW w:w="6478" w:type="dxa"/>
            <w:noWrap w:val="0"/>
            <w:vAlign w:val="top"/>
          </w:tcPr>
          <w:p>
            <w:pPr>
              <w:spacing w:line="320" w:lineRule="exact"/>
              <w:rPr>
                <w:rFonts w:hint="eastAsia" w:ascii="仿宋_GB2312"/>
                <w:sz w:val="21"/>
                <w:szCs w:val="21"/>
              </w:rPr>
            </w:pPr>
            <w:r>
              <w:rPr>
                <w:rFonts w:hint="eastAsia" w:ascii="仿宋_GB2312"/>
                <w:sz w:val="21"/>
                <w:szCs w:val="21"/>
              </w:rPr>
              <w:t>2.下放审批权限。</w:t>
            </w:r>
          </w:p>
          <w:p>
            <w:pPr>
              <w:spacing w:line="320" w:lineRule="exact"/>
              <w:rPr>
                <w:rFonts w:hint="eastAsia" w:ascii="仿宋_GB2312"/>
                <w:sz w:val="21"/>
                <w:szCs w:val="21"/>
              </w:rPr>
            </w:pPr>
            <w:r>
              <w:rPr>
                <w:rFonts w:hint="eastAsia" w:ascii="仿宋_GB2312"/>
                <w:sz w:val="21"/>
                <w:szCs w:val="21"/>
              </w:rPr>
              <w:t>（9）将工业仓储类项目、历史城区范围内建设项目的规划审批权限，下放至区资源规划部门，历史文化街区、历史文化风貌区及历史建筑除外；</w:t>
            </w:r>
          </w:p>
          <w:p>
            <w:pPr>
              <w:spacing w:line="320" w:lineRule="exact"/>
              <w:rPr>
                <w:rFonts w:hint="eastAsia" w:ascii="仿宋_GB2312"/>
                <w:sz w:val="21"/>
                <w:szCs w:val="21"/>
              </w:rPr>
            </w:pPr>
            <w:r>
              <w:rPr>
                <w:rFonts w:hint="eastAsia" w:ascii="仿宋_GB2312"/>
                <w:sz w:val="21"/>
                <w:szCs w:val="21"/>
              </w:rPr>
              <w:t>（10）将既有建筑非住宅类装饰装修工程审批监管职能下放至各区政府；</w:t>
            </w:r>
          </w:p>
          <w:p>
            <w:pPr>
              <w:spacing w:line="320" w:lineRule="exact"/>
              <w:rPr>
                <w:rFonts w:hint="eastAsia" w:ascii="仿宋_GB2312"/>
                <w:sz w:val="21"/>
                <w:szCs w:val="21"/>
              </w:rPr>
            </w:pPr>
            <w:r>
              <w:rPr>
                <w:rFonts w:hint="eastAsia" w:ascii="仿宋_GB2312"/>
                <w:sz w:val="21"/>
                <w:szCs w:val="21"/>
              </w:rPr>
              <w:t>（11）将建设工程施工现场安全监管（含安全监督手续办理）职能下放至各区政府。</w:t>
            </w:r>
          </w:p>
        </w:tc>
        <w:tc>
          <w:tcPr>
            <w:tcW w:w="1417"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市住建局、市资源规划局按职责分工牵头</w:t>
            </w:r>
          </w:p>
        </w:tc>
        <w:tc>
          <w:tcPr>
            <w:tcW w:w="1418"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市政府各有关部门、</w:t>
            </w:r>
            <w:r>
              <w:rPr>
                <w:rFonts w:hint="eastAsia" w:ascii="仿宋_GB2312" w:hAnsi="仿宋_GB2312" w:cs="仿宋_GB2312"/>
                <w:sz w:val="21"/>
                <w:szCs w:val="21"/>
                <w:shd w:val="clear" w:color="auto" w:fill="FFFFFF"/>
              </w:rPr>
              <w:t>各区县（市）政府</w:t>
            </w:r>
          </w:p>
        </w:tc>
        <w:tc>
          <w:tcPr>
            <w:tcW w:w="1240" w:type="dxa"/>
            <w:noWrap w:val="0"/>
            <w:vAlign w:val="center"/>
          </w:tcPr>
          <w:p>
            <w:pPr>
              <w:spacing w:line="320" w:lineRule="exact"/>
              <w:jc w:val="center"/>
              <w:rPr>
                <w:rFonts w:hint="eastAsia" w:ascii="仿宋_GB2312" w:hAnsi="仿宋" w:cs="宋体"/>
                <w:kern w:val="0"/>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3</w:t>
            </w:r>
          </w:p>
        </w:tc>
        <w:tc>
          <w:tcPr>
            <w:tcW w:w="872" w:type="dxa"/>
            <w:vMerge w:val="continue"/>
            <w:noWrap w:val="0"/>
            <w:vAlign w:val="center"/>
          </w:tcPr>
          <w:p>
            <w:pPr>
              <w:spacing w:line="320" w:lineRule="exact"/>
              <w:jc w:val="center"/>
              <w:rPr>
                <w:rFonts w:hint="eastAsia" w:ascii="仿宋_GB2312" w:hAnsi="仿宋" w:cs="宋体"/>
                <w:kern w:val="0"/>
                <w:sz w:val="21"/>
                <w:szCs w:val="21"/>
              </w:rPr>
            </w:pPr>
          </w:p>
        </w:tc>
        <w:tc>
          <w:tcPr>
            <w:tcW w:w="945" w:type="dxa"/>
            <w:vMerge w:val="continue"/>
            <w:noWrap w:val="0"/>
            <w:vAlign w:val="center"/>
          </w:tcPr>
          <w:p>
            <w:pPr>
              <w:spacing w:line="320" w:lineRule="exact"/>
              <w:rPr>
                <w:rFonts w:hint="eastAsia" w:ascii="楷体_GB2312" w:hAnsi="楷体_GB2312" w:eastAsia="楷体_GB2312" w:cs="楷体_GB2312"/>
                <w:kern w:val="0"/>
                <w:sz w:val="21"/>
                <w:szCs w:val="21"/>
              </w:rPr>
            </w:pPr>
          </w:p>
        </w:tc>
        <w:tc>
          <w:tcPr>
            <w:tcW w:w="6478" w:type="dxa"/>
            <w:noWrap w:val="0"/>
            <w:vAlign w:val="top"/>
          </w:tcPr>
          <w:p>
            <w:pPr>
              <w:spacing w:line="320" w:lineRule="exact"/>
              <w:rPr>
                <w:rFonts w:hint="eastAsia" w:ascii="仿宋_GB2312"/>
                <w:sz w:val="21"/>
                <w:szCs w:val="21"/>
              </w:rPr>
            </w:pPr>
            <w:r>
              <w:rPr>
                <w:rFonts w:hint="eastAsia" w:ascii="仿宋_GB2312"/>
                <w:sz w:val="21"/>
                <w:szCs w:val="21"/>
              </w:rPr>
              <w:t>3.合并审批事项。</w:t>
            </w:r>
          </w:p>
          <w:p>
            <w:pPr>
              <w:spacing w:line="320" w:lineRule="exact"/>
              <w:rPr>
                <w:rFonts w:hint="eastAsia" w:ascii="仿宋_GB2312"/>
                <w:sz w:val="21"/>
                <w:szCs w:val="21"/>
              </w:rPr>
            </w:pPr>
            <w:r>
              <w:rPr>
                <w:rFonts w:hint="eastAsia" w:ascii="仿宋_GB2312"/>
                <w:sz w:val="21"/>
                <w:szCs w:val="21"/>
              </w:rPr>
              <w:t>（12）对划拨类建设项目选址，</w:t>
            </w:r>
            <w:r>
              <w:rPr>
                <w:rFonts w:hint="eastAsia" w:ascii="仿宋_GB2312"/>
                <w:sz w:val="21"/>
                <w:szCs w:val="21"/>
                <w:lang w:eastAsia="zh-CN"/>
              </w:rPr>
              <w:t>可以</w:t>
            </w:r>
            <w:r>
              <w:rPr>
                <w:rFonts w:hint="eastAsia" w:ascii="仿宋_GB2312"/>
                <w:sz w:val="21"/>
                <w:szCs w:val="21"/>
              </w:rPr>
              <w:t>将权限内建设用地预审意见与《建设项目选址意见书》等事项合并办理；</w:t>
            </w:r>
          </w:p>
          <w:p>
            <w:pPr>
              <w:spacing w:line="320" w:lineRule="exact"/>
              <w:rPr>
                <w:rFonts w:hint="eastAsia" w:ascii="仿宋_GB2312"/>
                <w:sz w:val="21"/>
                <w:szCs w:val="21"/>
              </w:rPr>
            </w:pPr>
            <w:r>
              <w:rPr>
                <w:rFonts w:hint="eastAsia" w:ascii="仿宋_GB2312"/>
                <w:sz w:val="21"/>
                <w:szCs w:val="21"/>
              </w:rPr>
              <w:t>（13）对《建设用地规划许可证》、《国有建设用地划拨决定书》（划拨项目）、《建设用地批准书》等事项合并办理；</w:t>
            </w:r>
          </w:p>
          <w:p>
            <w:pPr>
              <w:spacing w:line="320" w:lineRule="exact"/>
              <w:rPr>
                <w:rFonts w:hint="eastAsia" w:ascii="仿宋_GB2312"/>
                <w:sz w:val="21"/>
                <w:szCs w:val="21"/>
              </w:rPr>
            </w:pPr>
            <w:r>
              <w:rPr>
                <w:rFonts w:hint="eastAsia" w:ascii="仿宋_GB2312"/>
                <w:sz w:val="21"/>
                <w:szCs w:val="21"/>
              </w:rPr>
              <w:t>（14）对政府投资公益类、基础设施类、工业仓储项目及“多规合一”平台上已完成业务协同的项目，将权限内建设用地预审、《建设项目选址意见书》、可行性研究报告批复（或备案）、《建设用地规划许可证》和《建设用地批准书》等事项合并为立项用地规划许可阶段并联办理；</w:t>
            </w:r>
          </w:p>
          <w:p>
            <w:pPr>
              <w:spacing w:line="320" w:lineRule="exact"/>
              <w:rPr>
                <w:rFonts w:hint="eastAsia" w:ascii="仿宋_GB2312"/>
                <w:sz w:val="21"/>
                <w:szCs w:val="21"/>
              </w:rPr>
            </w:pPr>
            <w:r>
              <w:rPr>
                <w:rFonts w:hint="eastAsia" w:ascii="仿宋_GB2312"/>
                <w:sz w:val="21"/>
                <w:szCs w:val="21"/>
              </w:rPr>
              <w:t>（15）结合村庄规划的编制和实施，</w:t>
            </w:r>
            <w:r>
              <w:rPr>
                <w:rFonts w:hint="eastAsia" w:ascii="仿宋_GB2312"/>
                <w:sz w:val="21"/>
                <w:szCs w:val="21"/>
                <w:lang w:eastAsia="zh-CN"/>
              </w:rPr>
              <w:t>可以</w:t>
            </w:r>
            <w:r>
              <w:rPr>
                <w:rFonts w:hint="eastAsia" w:ascii="仿宋_GB2312"/>
                <w:sz w:val="21"/>
                <w:szCs w:val="21"/>
              </w:rPr>
              <w:t>同步办理建设用地审批和乡村建设规划许可；需占用农用地的，</w:t>
            </w:r>
            <w:r>
              <w:rPr>
                <w:rFonts w:hint="eastAsia" w:ascii="仿宋_GB2312"/>
                <w:sz w:val="21"/>
                <w:szCs w:val="21"/>
                <w:lang w:eastAsia="zh-CN"/>
              </w:rPr>
              <w:t>可以将</w:t>
            </w:r>
            <w:r>
              <w:rPr>
                <w:rFonts w:hint="eastAsia" w:ascii="仿宋_GB2312"/>
                <w:sz w:val="21"/>
                <w:szCs w:val="21"/>
              </w:rPr>
              <w:t>乡村建设规划许可和农用地转用审批同步办理；</w:t>
            </w:r>
          </w:p>
          <w:p>
            <w:pPr>
              <w:spacing w:line="320" w:lineRule="exact"/>
              <w:rPr>
                <w:rFonts w:hint="eastAsia" w:ascii="仿宋_GB2312"/>
                <w:sz w:val="21"/>
                <w:szCs w:val="21"/>
              </w:rPr>
            </w:pPr>
            <w:r>
              <w:rPr>
                <w:rFonts w:hint="eastAsia" w:ascii="仿宋_GB2312"/>
                <w:sz w:val="21"/>
                <w:szCs w:val="21"/>
              </w:rPr>
              <w:t>（16）对建设用地审批、城乡规划许可、竣工验收和不动产登记等环节的多项测绘业务，合并为一个综合性联合测量项目，由建设单位选择一家测量单位承担多项测绘业务，并向审批部门提供测绘数据和成果；</w:t>
            </w:r>
          </w:p>
          <w:p>
            <w:pPr>
              <w:spacing w:line="320" w:lineRule="exact"/>
              <w:rPr>
                <w:rFonts w:hint="eastAsia" w:ascii="仿宋_GB2312"/>
                <w:sz w:val="21"/>
                <w:szCs w:val="21"/>
              </w:rPr>
            </w:pPr>
            <w:r>
              <w:rPr>
                <w:rFonts w:hint="eastAsia" w:ascii="仿宋_GB2312"/>
                <w:sz w:val="21"/>
                <w:szCs w:val="21"/>
              </w:rPr>
              <w:t>（17）对质量安全监督申报与施工许可进行合并办理，质量安全监督申报不再作为依申请事项。建设主管部门核发施工许可时，同步安排质量安全监督部门进行质量安全监督工作。</w:t>
            </w:r>
          </w:p>
        </w:tc>
        <w:tc>
          <w:tcPr>
            <w:tcW w:w="1417"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市住建局、市资源规划局按职责分工牵头</w:t>
            </w:r>
          </w:p>
        </w:tc>
        <w:tc>
          <w:tcPr>
            <w:tcW w:w="1418"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市政府各有关部门、</w:t>
            </w:r>
            <w:r>
              <w:rPr>
                <w:rFonts w:hint="eastAsia" w:ascii="仿宋_GB2312" w:hAnsi="仿宋_GB2312" w:cs="仿宋_GB2312"/>
                <w:sz w:val="21"/>
                <w:szCs w:val="21"/>
                <w:shd w:val="clear" w:color="auto" w:fill="FFFFFF"/>
              </w:rPr>
              <w:t>各区县（市）政府</w:t>
            </w:r>
          </w:p>
        </w:tc>
        <w:tc>
          <w:tcPr>
            <w:tcW w:w="1240" w:type="dxa"/>
            <w:noWrap w:val="0"/>
            <w:vAlign w:val="center"/>
          </w:tcPr>
          <w:p>
            <w:pPr>
              <w:spacing w:line="320" w:lineRule="exact"/>
              <w:jc w:val="center"/>
              <w:rPr>
                <w:rFonts w:hint="eastAsia" w:ascii="仿宋_GB2312" w:hAnsi="仿宋" w:cs="宋体"/>
                <w:kern w:val="0"/>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4</w:t>
            </w:r>
          </w:p>
        </w:tc>
        <w:tc>
          <w:tcPr>
            <w:tcW w:w="872" w:type="dxa"/>
            <w:vMerge w:val="restart"/>
            <w:noWrap w:val="0"/>
            <w:vAlign w:val="center"/>
          </w:tcPr>
          <w:p>
            <w:pPr>
              <w:spacing w:line="320" w:lineRule="exact"/>
              <w:rPr>
                <w:rFonts w:hint="eastAsia" w:ascii="仿宋_GB2312" w:hAnsi="仿宋" w:cs="宋体"/>
                <w:kern w:val="0"/>
                <w:sz w:val="21"/>
                <w:szCs w:val="21"/>
              </w:rPr>
            </w:pPr>
            <w:r>
              <w:rPr>
                <w:rFonts w:hint="eastAsia" w:ascii="黑体" w:eastAsia="黑体"/>
                <w:sz w:val="21"/>
                <w:szCs w:val="21"/>
              </w:rPr>
              <w:t>统一审批流程</w:t>
            </w:r>
          </w:p>
        </w:tc>
        <w:tc>
          <w:tcPr>
            <w:tcW w:w="945" w:type="dxa"/>
            <w:vMerge w:val="restart"/>
            <w:noWrap w:val="0"/>
            <w:vAlign w:val="center"/>
          </w:tcPr>
          <w:p>
            <w:pPr>
              <w:spacing w:line="320" w:lineRule="exact"/>
              <w:rPr>
                <w:rFonts w:hint="eastAsia" w:ascii="楷体_GB2312" w:hAnsi="楷体_GB2312" w:eastAsia="楷体_GB2312" w:cs="楷体_GB2312"/>
                <w:kern w:val="0"/>
                <w:sz w:val="21"/>
                <w:szCs w:val="21"/>
              </w:rPr>
            </w:pPr>
            <w:r>
              <w:rPr>
                <w:rFonts w:hint="eastAsia" w:ascii="楷体_GB2312" w:hAnsi="楷体_GB2312" w:eastAsia="楷体_GB2312" w:cs="楷体_GB2312"/>
                <w:sz w:val="21"/>
                <w:szCs w:val="21"/>
              </w:rPr>
              <w:t>精简审批环节</w:t>
            </w:r>
          </w:p>
        </w:tc>
        <w:tc>
          <w:tcPr>
            <w:tcW w:w="6478" w:type="dxa"/>
            <w:noWrap w:val="0"/>
            <w:vAlign w:val="top"/>
          </w:tcPr>
          <w:p>
            <w:pPr>
              <w:spacing w:line="320" w:lineRule="exact"/>
              <w:rPr>
                <w:rFonts w:hint="eastAsia" w:ascii="仿宋_GB2312"/>
                <w:sz w:val="21"/>
                <w:szCs w:val="21"/>
              </w:rPr>
            </w:pPr>
            <w:r>
              <w:rPr>
                <w:rFonts w:hint="eastAsia" w:ascii="仿宋_GB2312"/>
                <w:sz w:val="21"/>
                <w:szCs w:val="21"/>
              </w:rPr>
              <w:t>4.转变管理方式。</w:t>
            </w:r>
          </w:p>
          <w:p>
            <w:pPr>
              <w:spacing w:line="320" w:lineRule="exact"/>
              <w:rPr>
                <w:rFonts w:hint="eastAsia" w:ascii="仿宋_GB2312"/>
                <w:sz w:val="21"/>
                <w:szCs w:val="21"/>
              </w:rPr>
            </w:pPr>
            <w:r>
              <w:rPr>
                <w:rFonts w:hint="eastAsia" w:ascii="仿宋_GB2312"/>
                <w:sz w:val="21"/>
                <w:szCs w:val="21"/>
              </w:rPr>
              <w:t>（18）改变建设工程规划方案审查模式，将项目规划条件约定的建设项目位置、建设用地面积、建设用地性质、建设工程性质、规模、容积率、建筑高度、建筑间距、退界、基础设施及配套公益服务设施等作为审查内容；将项目总平面图及立面效果方案图作为《建设工程规划许可证》附图，必要的可增加剖面图及功能平面图。</w:t>
            </w:r>
          </w:p>
          <w:p>
            <w:pPr>
              <w:spacing w:line="320" w:lineRule="exact"/>
              <w:rPr>
                <w:rFonts w:hint="eastAsia" w:ascii="仿宋_GB2312"/>
                <w:sz w:val="21"/>
                <w:szCs w:val="21"/>
              </w:rPr>
            </w:pPr>
            <w:r>
              <w:rPr>
                <w:rFonts w:hint="eastAsia" w:ascii="仿宋_GB2312"/>
                <w:sz w:val="21"/>
                <w:szCs w:val="21"/>
              </w:rPr>
              <w:t>（19）对区资源规划部门审批的项目，由区资源规划部门负责办理规划条件核实事项；</w:t>
            </w:r>
          </w:p>
          <w:p>
            <w:pPr>
              <w:spacing w:line="320" w:lineRule="exact"/>
              <w:rPr>
                <w:rFonts w:hint="eastAsia" w:ascii="仿宋_GB2312"/>
                <w:sz w:val="21"/>
                <w:szCs w:val="21"/>
              </w:rPr>
            </w:pPr>
            <w:r>
              <w:rPr>
                <w:rFonts w:hint="eastAsia" w:ascii="仿宋_GB2312"/>
                <w:sz w:val="21"/>
                <w:szCs w:val="21"/>
              </w:rPr>
              <w:t>（20）将工程中标通知书备案或直接发包备案、施工图审查备案，转变为住建部门内部办理事项；</w:t>
            </w:r>
          </w:p>
          <w:p>
            <w:pPr>
              <w:spacing w:line="320" w:lineRule="exact"/>
              <w:rPr>
                <w:rFonts w:hint="eastAsia" w:ascii="仿宋_GB2312"/>
                <w:sz w:val="21"/>
                <w:szCs w:val="21"/>
              </w:rPr>
            </w:pPr>
            <w:r>
              <w:rPr>
                <w:rFonts w:hint="eastAsia" w:ascii="仿宋_GB2312"/>
                <w:sz w:val="21"/>
                <w:szCs w:val="21"/>
              </w:rPr>
              <w:t>（21）将施工现场踏查调整为内部工作环节，实行告知承诺制，依托审批管理平台将审批和承诺信息传送给现场监管部门。</w:t>
            </w:r>
          </w:p>
        </w:tc>
        <w:tc>
          <w:tcPr>
            <w:tcW w:w="1417"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市住建局、市资源规划局按职责分工牵头</w:t>
            </w:r>
          </w:p>
        </w:tc>
        <w:tc>
          <w:tcPr>
            <w:tcW w:w="1418"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市政府各有关部门、</w:t>
            </w:r>
            <w:r>
              <w:rPr>
                <w:rFonts w:hint="eastAsia" w:ascii="仿宋_GB2312" w:hAnsi="仿宋_GB2312" w:cs="仿宋_GB2312"/>
                <w:sz w:val="21"/>
                <w:szCs w:val="21"/>
                <w:shd w:val="clear" w:color="auto" w:fill="FFFFFF"/>
              </w:rPr>
              <w:t>各区县（市）政府</w:t>
            </w:r>
          </w:p>
        </w:tc>
        <w:tc>
          <w:tcPr>
            <w:tcW w:w="1240" w:type="dxa"/>
            <w:noWrap w:val="0"/>
            <w:vAlign w:val="center"/>
          </w:tcPr>
          <w:p>
            <w:pPr>
              <w:spacing w:line="320" w:lineRule="exact"/>
              <w:jc w:val="center"/>
              <w:rPr>
                <w:rFonts w:hint="eastAsia" w:ascii="仿宋_GB2312" w:hAnsi="仿宋" w:cs="宋体"/>
                <w:kern w:val="0"/>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5</w:t>
            </w:r>
          </w:p>
        </w:tc>
        <w:tc>
          <w:tcPr>
            <w:tcW w:w="872" w:type="dxa"/>
            <w:vMerge w:val="continue"/>
            <w:noWrap w:val="0"/>
            <w:vAlign w:val="center"/>
          </w:tcPr>
          <w:p>
            <w:pPr>
              <w:spacing w:line="320" w:lineRule="exact"/>
              <w:rPr>
                <w:rFonts w:hint="eastAsia" w:ascii="仿宋_GB2312" w:hAnsi="仿宋" w:cs="宋体"/>
                <w:kern w:val="0"/>
                <w:sz w:val="21"/>
                <w:szCs w:val="21"/>
              </w:rPr>
            </w:pPr>
          </w:p>
        </w:tc>
        <w:tc>
          <w:tcPr>
            <w:tcW w:w="945" w:type="dxa"/>
            <w:vMerge w:val="continue"/>
            <w:noWrap w:val="0"/>
            <w:vAlign w:val="center"/>
          </w:tcPr>
          <w:p>
            <w:pPr>
              <w:spacing w:line="320" w:lineRule="exact"/>
              <w:rPr>
                <w:rFonts w:hint="eastAsia" w:ascii="楷体_GB2312" w:hAnsi="楷体_GB2312" w:eastAsia="楷体_GB2312" w:cs="楷体_GB2312"/>
                <w:kern w:val="0"/>
                <w:sz w:val="21"/>
                <w:szCs w:val="21"/>
              </w:rPr>
            </w:pPr>
          </w:p>
        </w:tc>
        <w:tc>
          <w:tcPr>
            <w:tcW w:w="6478" w:type="dxa"/>
            <w:noWrap w:val="0"/>
            <w:vAlign w:val="top"/>
          </w:tcPr>
          <w:p>
            <w:pPr>
              <w:spacing w:line="320" w:lineRule="exact"/>
              <w:rPr>
                <w:rFonts w:hint="eastAsia" w:ascii="仿宋_GB2312"/>
                <w:sz w:val="21"/>
                <w:szCs w:val="21"/>
              </w:rPr>
            </w:pPr>
            <w:r>
              <w:rPr>
                <w:rFonts w:hint="eastAsia" w:ascii="仿宋_GB2312"/>
                <w:sz w:val="21"/>
                <w:szCs w:val="21"/>
              </w:rPr>
              <w:t>5.调整审批时序。</w:t>
            </w:r>
          </w:p>
          <w:p>
            <w:pPr>
              <w:spacing w:line="320" w:lineRule="exact"/>
              <w:rPr>
                <w:rFonts w:hint="eastAsia" w:ascii="仿宋_GB2312"/>
                <w:sz w:val="21"/>
                <w:szCs w:val="21"/>
              </w:rPr>
            </w:pPr>
            <w:r>
              <w:rPr>
                <w:rFonts w:hint="eastAsia" w:ascii="仿宋_GB2312"/>
                <w:sz w:val="21"/>
                <w:szCs w:val="21"/>
              </w:rPr>
              <w:t>（22）城市基础设施配套费、农民工工资保证金以及工伤保险等3项费用缴纳，不再作为施工许可办理前置条件，改由相关部门通过建立专项核查机制、调整收费时序、实行告知承诺制和加强事中事后监管等措施予以核缴，确保应收尽收</w:t>
            </w:r>
            <w:r>
              <w:rPr>
                <w:rFonts w:hint="eastAsia" w:ascii="仿宋_GB2312"/>
                <w:sz w:val="21"/>
                <w:szCs w:val="21"/>
                <w:lang w:eastAsia="zh-CN"/>
              </w:rPr>
              <w:t>；</w:t>
            </w:r>
          </w:p>
          <w:p>
            <w:pPr>
              <w:spacing w:line="320" w:lineRule="exact"/>
              <w:rPr>
                <w:rFonts w:hint="eastAsia" w:ascii="仿宋_GB2312"/>
                <w:sz w:val="21"/>
                <w:szCs w:val="21"/>
              </w:rPr>
            </w:pPr>
            <w:r>
              <w:rPr>
                <w:rFonts w:hint="eastAsia" w:ascii="仿宋_GB2312"/>
                <w:sz w:val="21"/>
                <w:szCs w:val="21"/>
              </w:rPr>
              <w:t>（23）调整规划开工验线核实事项办理时序，将开工验线调整至取得《施工许可证》后</w:t>
            </w:r>
            <w:r>
              <w:rPr>
                <w:rFonts w:hint="eastAsia" w:ascii="仿宋_GB2312"/>
                <w:sz w:val="21"/>
                <w:szCs w:val="21"/>
                <w:lang w:eastAsia="zh-CN"/>
              </w:rPr>
              <w:t>；</w:t>
            </w:r>
            <w:r>
              <w:rPr>
                <w:rFonts w:hint="eastAsia" w:ascii="仿宋_GB2312"/>
                <w:sz w:val="21"/>
                <w:szCs w:val="21"/>
              </w:rPr>
              <w:t>将规划开工验线作为建设项目监督执法的依据</w:t>
            </w:r>
            <w:r>
              <w:rPr>
                <w:rFonts w:hint="eastAsia" w:ascii="仿宋_GB2312"/>
                <w:sz w:val="21"/>
                <w:szCs w:val="21"/>
                <w:lang w:eastAsia="zh-CN"/>
              </w:rPr>
              <w:t>；</w:t>
            </w:r>
            <w:r>
              <w:rPr>
                <w:rFonts w:hint="eastAsia" w:ascii="仿宋_GB2312"/>
                <w:sz w:val="21"/>
                <w:szCs w:val="21"/>
              </w:rPr>
              <w:t>同时，</w:t>
            </w:r>
            <w:r>
              <w:rPr>
                <w:rFonts w:hint="eastAsia" w:ascii="仿宋_GB2312"/>
                <w:sz w:val="21"/>
                <w:szCs w:val="21"/>
                <w:lang w:eastAsia="zh-CN"/>
              </w:rPr>
              <w:t>加强</w:t>
            </w:r>
            <w:r>
              <w:rPr>
                <w:rFonts w:hint="eastAsia" w:ascii="仿宋_GB2312"/>
                <w:sz w:val="21"/>
                <w:szCs w:val="21"/>
              </w:rPr>
              <w:t>基础平口</w:t>
            </w:r>
            <w:r>
              <w:rPr>
                <w:rFonts w:hint="eastAsia" w:ascii="仿宋_GB2312"/>
                <w:sz w:val="21"/>
                <w:szCs w:val="21"/>
                <w:lang w:eastAsia="zh-CN"/>
              </w:rPr>
              <w:t>的监督与核验工作；</w:t>
            </w:r>
          </w:p>
          <w:p>
            <w:pPr>
              <w:spacing w:line="320" w:lineRule="exact"/>
              <w:rPr>
                <w:rFonts w:hint="eastAsia" w:ascii="仿宋_GB2312"/>
                <w:sz w:val="21"/>
                <w:szCs w:val="21"/>
              </w:rPr>
            </w:pPr>
            <w:r>
              <w:rPr>
                <w:rFonts w:hint="eastAsia" w:ascii="仿宋_GB2312"/>
                <w:sz w:val="21"/>
                <w:szCs w:val="21"/>
              </w:rPr>
              <w:t>（24）环境影响、节能、地震安全性等评价，不再作为项目审批核准前置要件，地震安全性评价在工程设计前完成即可，其他评价事项在开工前完成即可。</w:t>
            </w:r>
          </w:p>
          <w:p>
            <w:pPr>
              <w:spacing w:line="320" w:lineRule="exact"/>
              <w:rPr>
                <w:rFonts w:hint="eastAsia" w:ascii="仿宋_GB2312"/>
                <w:sz w:val="21"/>
                <w:szCs w:val="21"/>
              </w:rPr>
            </w:pPr>
            <w:r>
              <w:rPr>
                <w:rFonts w:hint="eastAsia" w:ascii="仿宋_GB2312"/>
                <w:sz w:val="21"/>
                <w:szCs w:val="21"/>
              </w:rPr>
              <w:t>（25）供水、排水、供电、燃气、通信等市政公用服务单位，通过工程建设项目审批管理平台获取信息后，在工程建设许可阶段，应当主动告知项目供水、排水、供电、燃气、通信等报装流程及技术指导意见。报装提前至施工许可证核发后办理，并在工程施工阶段完成相关设施建设，竣工验收后直接办理接入事宜。</w:t>
            </w:r>
          </w:p>
        </w:tc>
        <w:tc>
          <w:tcPr>
            <w:tcW w:w="1417"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市住建局、市资源规划局按职责分工牵头</w:t>
            </w:r>
          </w:p>
        </w:tc>
        <w:tc>
          <w:tcPr>
            <w:tcW w:w="1418"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市政府各有关部门、</w:t>
            </w:r>
            <w:r>
              <w:rPr>
                <w:rFonts w:hint="eastAsia" w:ascii="仿宋_GB2312" w:hAnsi="仿宋_GB2312" w:cs="仿宋_GB2312"/>
                <w:sz w:val="21"/>
                <w:szCs w:val="21"/>
                <w:shd w:val="clear" w:color="auto" w:fill="FFFFFF"/>
              </w:rPr>
              <w:t>各区县（市）政府</w:t>
            </w:r>
          </w:p>
        </w:tc>
        <w:tc>
          <w:tcPr>
            <w:tcW w:w="1240" w:type="dxa"/>
            <w:noWrap w:val="0"/>
            <w:vAlign w:val="center"/>
          </w:tcPr>
          <w:p>
            <w:pPr>
              <w:spacing w:line="320" w:lineRule="exact"/>
              <w:jc w:val="center"/>
              <w:rPr>
                <w:rFonts w:hint="eastAsia" w:ascii="仿宋_GB2312" w:hAnsi="仿宋" w:cs="宋体"/>
                <w:kern w:val="0"/>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6</w:t>
            </w:r>
          </w:p>
        </w:tc>
        <w:tc>
          <w:tcPr>
            <w:tcW w:w="872" w:type="dxa"/>
            <w:vMerge w:val="restart"/>
            <w:noWrap w:val="0"/>
            <w:vAlign w:val="center"/>
          </w:tcPr>
          <w:p>
            <w:pPr>
              <w:spacing w:line="320" w:lineRule="exact"/>
              <w:rPr>
                <w:rFonts w:hint="eastAsia" w:ascii="仿宋_GB2312" w:hAnsi="仿宋" w:cs="宋体"/>
                <w:kern w:val="0"/>
                <w:sz w:val="21"/>
                <w:szCs w:val="21"/>
              </w:rPr>
            </w:pPr>
            <w:r>
              <w:rPr>
                <w:rFonts w:hint="eastAsia" w:ascii="黑体" w:eastAsia="黑体"/>
                <w:sz w:val="21"/>
                <w:szCs w:val="21"/>
              </w:rPr>
              <w:t>统一审批流程</w:t>
            </w:r>
          </w:p>
        </w:tc>
        <w:tc>
          <w:tcPr>
            <w:tcW w:w="945" w:type="dxa"/>
            <w:noWrap w:val="0"/>
            <w:vAlign w:val="center"/>
          </w:tcPr>
          <w:p>
            <w:pPr>
              <w:spacing w:line="320" w:lineRule="exact"/>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规范审批事项</w:t>
            </w:r>
          </w:p>
        </w:tc>
        <w:tc>
          <w:tcPr>
            <w:tcW w:w="6478" w:type="dxa"/>
            <w:noWrap w:val="0"/>
            <w:vAlign w:val="top"/>
          </w:tcPr>
          <w:p>
            <w:pPr>
              <w:spacing w:line="320" w:lineRule="exact"/>
              <w:rPr>
                <w:rFonts w:hint="eastAsia" w:ascii="仿宋_GB2312"/>
                <w:sz w:val="21"/>
                <w:szCs w:val="21"/>
              </w:rPr>
            </w:pPr>
            <w:r>
              <w:rPr>
                <w:rFonts w:hint="eastAsia" w:ascii="仿宋_GB2312"/>
                <w:sz w:val="21"/>
                <w:szCs w:val="21"/>
              </w:rPr>
              <w:t>全面梳理工程建设项目审批事项，制定工程建设项目审批事项清单，统一审批事项名称、申请材料和审批时限，明确各项审批事项的法律依据、适用范围和前置条件，并实行动态管理，做到与国家和省政府审批事项清单一致。对超出省级政府审批事项清单范围的，须报省住建部门备案。</w:t>
            </w:r>
          </w:p>
        </w:tc>
        <w:tc>
          <w:tcPr>
            <w:tcW w:w="1417"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市住建局</w:t>
            </w:r>
          </w:p>
        </w:tc>
        <w:tc>
          <w:tcPr>
            <w:tcW w:w="1418"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市政府各有关部门</w:t>
            </w:r>
          </w:p>
        </w:tc>
        <w:tc>
          <w:tcPr>
            <w:tcW w:w="1240" w:type="dxa"/>
            <w:noWrap w:val="0"/>
            <w:vAlign w:val="center"/>
          </w:tcPr>
          <w:p>
            <w:pPr>
              <w:spacing w:line="320" w:lineRule="exact"/>
              <w:jc w:val="center"/>
              <w:rPr>
                <w:rFonts w:hint="eastAsia" w:ascii="仿宋_GB2312" w:hAnsi="仿宋" w:cs="宋体"/>
                <w:kern w:val="0"/>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7</w:t>
            </w:r>
          </w:p>
        </w:tc>
        <w:tc>
          <w:tcPr>
            <w:tcW w:w="872" w:type="dxa"/>
            <w:vMerge w:val="continue"/>
            <w:noWrap w:val="0"/>
            <w:vAlign w:val="center"/>
          </w:tcPr>
          <w:p>
            <w:pPr>
              <w:spacing w:line="320" w:lineRule="exact"/>
              <w:rPr>
                <w:rFonts w:hint="eastAsia" w:ascii="仿宋_GB2312" w:hAnsi="仿宋" w:cs="宋体"/>
                <w:kern w:val="0"/>
                <w:sz w:val="21"/>
                <w:szCs w:val="21"/>
              </w:rPr>
            </w:pPr>
          </w:p>
        </w:tc>
        <w:tc>
          <w:tcPr>
            <w:tcW w:w="945" w:type="dxa"/>
            <w:noWrap w:val="0"/>
            <w:vAlign w:val="center"/>
          </w:tcPr>
          <w:p>
            <w:pPr>
              <w:spacing w:line="320" w:lineRule="exact"/>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合理划分审批阶段</w:t>
            </w:r>
          </w:p>
        </w:tc>
        <w:tc>
          <w:tcPr>
            <w:tcW w:w="6478" w:type="dxa"/>
            <w:noWrap w:val="0"/>
            <w:vAlign w:val="top"/>
          </w:tcPr>
          <w:p>
            <w:pPr>
              <w:spacing w:line="320" w:lineRule="exact"/>
              <w:rPr>
                <w:rFonts w:hint="eastAsia" w:ascii="仿宋_GB2312"/>
                <w:sz w:val="21"/>
                <w:szCs w:val="21"/>
              </w:rPr>
            </w:pPr>
            <w:r>
              <w:rPr>
                <w:rFonts w:hint="eastAsia" w:ascii="仿宋_GB2312"/>
                <w:sz w:val="21"/>
                <w:szCs w:val="21"/>
              </w:rPr>
              <w:t>将工程建设项目审批流程划分为立项用地规划许可、工程建设许可、施工许可、竣工验收等4个阶段。其中，立项用地规划许可阶段主要包括项目审批（或备案）、选址意见书核发、用地预审、用地规划许可证核发等；工程建设许可阶段主要包括设计方案审查、建设工程规划许可证核发等；施工许可阶段主要包括施工图审核确认、施工许可证核发等；竣工验收阶段主要包括规划、土地、消防、人防、档案等验收及竣工验收备案等。其他行政许可、强制性评估、中介服务、市政公用服务以及备案等事项，纳入相关阶段办理或并行推进。</w:t>
            </w:r>
          </w:p>
          <w:p>
            <w:pPr>
              <w:spacing w:line="320" w:lineRule="exact"/>
              <w:rPr>
                <w:rFonts w:hint="eastAsia" w:ascii="仿宋_GB2312"/>
                <w:sz w:val="21"/>
                <w:szCs w:val="21"/>
              </w:rPr>
            </w:pPr>
            <w:r>
              <w:rPr>
                <w:rFonts w:hint="eastAsia" w:ascii="仿宋_GB2312"/>
                <w:sz w:val="21"/>
                <w:szCs w:val="21"/>
              </w:rPr>
              <w:t>项目策划生成由市发改委牵头负责，立项用地规划许可和工程建设许可阶段由市资源规划局牵头，施工许可和竣工验收阶段由市住建局牵头。牵头部门要协调相关部门，在限定时间内完成审批。对符合审批条件的工程建设项目，立项用地规划许可阶段应在1—25个工作日内完成审批；工程建设许可阶段应在3—40个工作日内完成审批；施工许可阶段应在11—22个工作日内完成审批；竣工验收阶段应在8—12个工作日之内完成验收。</w:t>
            </w:r>
          </w:p>
        </w:tc>
        <w:tc>
          <w:tcPr>
            <w:tcW w:w="1417" w:type="dxa"/>
            <w:noWrap w:val="0"/>
            <w:vAlign w:val="center"/>
          </w:tcPr>
          <w:p>
            <w:pPr>
              <w:spacing w:line="320" w:lineRule="exact"/>
              <w:rPr>
                <w:rFonts w:hint="eastAsia" w:ascii="仿宋_GB2312" w:hAnsi="仿宋" w:cs="宋体"/>
                <w:kern w:val="0"/>
                <w:sz w:val="21"/>
                <w:szCs w:val="21"/>
              </w:rPr>
            </w:pPr>
            <w:r>
              <w:rPr>
                <w:rFonts w:hint="eastAsia" w:ascii="仿宋_GB2312" w:hAnsi="仿宋_GB2312" w:cs="仿宋_GB2312"/>
                <w:sz w:val="21"/>
                <w:szCs w:val="21"/>
              </w:rPr>
              <w:t>市营商局、市住建局按职责分工牵头</w:t>
            </w:r>
          </w:p>
        </w:tc>
        <w:tc>
          <w:tcPr>
            <w:tcW w:w="1418" w:type="dxa"/>
            <w:noWrap w:val="0"/>
            <w:vAlign w:val="center"/>
          </w:tcPr>
          <w:p>
            <w:pPr>
              <w:spacing w:line="320" w:lineRule="exact"/>
              <w:rPr>
                <w:rFonts w:hint="eastAsia" w:ascii="仿宋_GB2312" w:hAnsi="仿宋" w:cs="宋体"/>
                <w:kern w:val="0"/>
                <w:sz w:val="21"/>
                <w:szCs w:val="21"/>
              </w:rPr>
            </w:pPr>
            <w:r>
              <w:rPr>
                <w:rFonts w:hint="eastAsia" w:ascii="仿宋_GB2312" w:hAnsi="仿宋_GB2312" w:cs="仿宋_GB2312"/>
                <w:sz w:val="21"/>
                <w:szCs w:val="21"/>
              </w:rPr>
              <w:t>市政府各有关部门</w:t>
            </w:r>
          </w:p>
        </w:tc>
        <w:tc>
          <w:tcPr>
            <w:tcW w:w="1240" w:type="dxa"/>
            <w:noWrap w:val="0"/>
            <w:vAlign w:val="center"/>
          </w:tcPr>
          <w:p>
            <w:pPr>
              <w:spacing w:line="320" w:lineRule="exact"/>
              <w:rPr>
                <w:rFonts w:hint="eastAsia" w:ascii="仿宋_GB2312" w:hAnsi="仿宋" w:cs="宋体"/>
                <w:kern w:val="0"/>
                <w:sz w:val="21"/>
                <w:szCs w:val="21"/>
              </w:rPr>
            </w:pPr>
            <w:r>
              <w:rPr>
                <w:rFonts w:hint="eastAsia" w:ascii="仿宋_GB2312" w:hAnsi="仿宋_GB2312" w:cs="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8</w:t>
            </w:r>
          </w:p>
        </w:tc>
        <w:tc>
          <w:tcPr>
            <w:tcW w:w="872" w:type="dxa"/>
            <w:vMerge w:val="restart"/>
            <w:noWrap w:val="0"/>
            <w:vAlign w:val="center"/>
          </w:tcPr>
          <w:p>
            <w:pPr>
              <w:spacing w:line="320" w:lineRule="exact"/>
              <w:rPr>
                <w:rFonts w:hint="eastAsia" w:ascii="仿宋_GB2312" w:hAnsi="仿宋" w:cs="宋体"/>
                <w:kern w:val="0"/>
                <w:sz w:val="21"/>
                <w:szCs w:val="21"/>
              </w:rPr>
            </w:pPr>
            <w:r>
              <w:rPr>
                <w:rFonts w:hint="eastAsia" w:ascii="黑体" w:eastAsia="黑体"/>
                <w:sz w:val="21"/>
                <w:szCs w:val="21"/>
              </w:rPr>
              <w:t>统一审批流程</w:t>
            </w:r>
          </w:p>
        </w:tc>
        <w:tc>
          <w:tcPr>
            <w:tcW w:w="945" w:type="dxa"/>
            <w:noWrap w:val="0"/>
            <w:vAlign w:val="center"/>
          </w:tcPr>
          <w:p>
            <w:pPr>
              <w:spacing w:line="320" w:lineRule="exact"/>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分类制定审批流程</w:t>
            </w:r>
          </w:p>
        </w:tc>
        <w:tc>
          <w:tcPr>
            <w:tcW w:w="6478" w:type="dxa"/>
            <w:noWrap w:val="0"/>
            <w:vAlign w:val="top"/>
          </w:tcPr>
          <w:p>
            <w:pPr>
              <w:spacing w:line="320" w:lineRule="exact"/>
              <w:rPr>
                <w:rFonts w:hint="eastAsia" w:ascii="仿宋_GB2312"/>
                <w:sz w:val="21"/>
                <w:szCs w:val="21"/>
              </w:rPr>
            </w:pPr>
            <w:r>
              <w:rPr>
                <w:rFonts w:hint="eastAsia" w:ascii="仿宋_GB2312"/>
                <w:sz w:val="21"/>
                <w:szCs w:val="21"/>
              </w:rPr>
              <w:t>以企业需求为导向，以申请人办理事项为核心，以信息技术为支撑，以资金来源、土地获取方式、项目管理方式等要素为划分依据，科学编制差异化、个性化、智能化行政审批流程体系。建立自有土地政府投资类、招拍挂备案工业厂房（仓储）类、自有土地划拨备案类、市政管线改造（占挖道）基础设施类等20个建设项目的审批流程。</w:t>
            </w:r>
          </w:p>
        </w:tc>
        <w:tc>
          <w:tcPr>
            <w:tcW w:w="1417"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市营商局</w:t>
            </w:r>
          </w:p>
        </w:tc>
        <w:tc>
          <w:tcPr>
            <w:tcW w:w="1418"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市发改委、市住建局、市资源规划局</w:t>
            </w:r>
          </w:p>
        </w:tc>
        <w:tc>
          <w:tcPr>
            <w:tcW w:w="1240"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9</w:t>
            </w:r>
          </w:p>
        </w:tc>
        <w:tc>
          <w:tcPr>
            <w:tcW w:w="872" w:type="dxa"/>
            <w:vMerge w:val="continue"/>
            <w:noWrap w:val="0"/>
            <w:vAlign w:val="center"/>
          </w:tcPr>
          <w:p>
            <w:pPr>
              <w:spacing w:line="320" w:lineRule="exact"/>
              <w:rPr>
                <w:rFonts w:hint="eastAsia" w:ascii="仿宋_GB2312" w:hAnsi="仿宋" w:cs="宋体"/>
                <w:kern w:val="0"/>
                <w:sz w:val="21"/>
                <w:szCs w:val="21"/>
              </w:rPr>
            </w:pPr>
          </w:p>
        </w:tc>
        <w:tc>
          <w:tcPr>
            <w:tcW w:w="945" w:type="dxa"/>
            <w:noWrap w:val="0"/>
            <w:vAlign w:val="center"/>
          </w:tcPr>
          <w:p>
            <w:pPr>
              <w:spacing w:line="320" w:lineRule="exact"/>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实行联合审图</w:t>
            </w:r>
          </w:p>
        </w:tc>
        <w:tc>
          <w:tcPr>
            <w:tcW w:w="6478" w:type="dxa"/>
            <w:noWrap w:val="0"/>
            <w:vAlign w:val="top"/>
          </w:tcPr>
          <w:p>
            <w:pPr>
              <w:spacing w:line="320" w:lineRule="exact"/>
              <w:rPr>
                <w:rFonts w:hint="eastAsia" w:ascii="仿宋_GB2312"/>
                <w:sz w:val="21"/>
                <w:szCs w:val="21"/>
              </w:rPr>
            </w:pPr>
            <w:r>
              <w:rPr>
                <w:rFonts w:hint="eastAsia" w:ascii="仿宋_GB2312"/>
                <w:sz w:val="21"/>
                <w:szCs w:val="21"/>
              </w:rPr>
              <w:t>将消防、人防、技防等分散的技术审查并入施工图设计文件审查，严格按照国家技术标准和规范开展“多图联审”。施工图技术审查后，应当按专业出具审查意见和结论。制定施工图设计文件联合审查管理办法，编制开展“多图联审”技术文件，明确推行多图联审的具体工作及审查内容、审查标准、审查方式和审查时限。</w:t>
            </w:r>
          </w:p>
        </w:tc>
        <w:tc>
          <w:tcPr>
            <w:tcW w:w="1417"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市住建局</w:t>
            </w:r>
          </w:p>
        </w:tc>
        <w:tc>
          <w:tcPr>
            <w:tcW w:w="1418"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市政府各有关部门、</w:t>
            </w:r>
            <w:r>
              <w:rPr>
                <w:rFonts w:hint="eastAsia" w:ascii="仿宋_GB2312" w:hAnsi="仿宋_GB2312" w:cs="仿宋_GB2312"/>
                <w:sz w:val="21"/>
                <w:szCs w:val="21"/>
                <w:shd w:val="clear" w:color="auto" w:fill="FFFFFF"/>
              </w:rPr>
              <w:t>各区县（市）政府</w:t>
            </w:r>
          </w:p>
        </w:tc>
        <w:tc>
          <w:tcPr>
            <w:tcW w:w="1240" w:type="dxa"/>
            <w:noWrap w:val="0"/>
            <w:vAlign w:val="center"/>
          </w:tcPr>
          <w:p>
            <w:pPr>
              <w:spacing w:line="320" w:lineRule="exact"/>
              <w:jc w:val="center"/>
              <w:rPr>
                <w:rFonts w:hint="eastAsia" w:ascii="仿宋_GB2312" w:hAnsi="仿宋" w:cs="宋体"/>
                <w:kern w:val="0"/>
                <w:sz w:val="21"/>
                <w:szCs w:val="21"/>
              </w:rPr>
            </w:pPr>
            <w:r>
              <w:rPr>
                <w:rFonts w:hint="eastAsia" w:ascii="仿宋_GB2312"/>
                <w:sz w:val="21"/>
                <w:szCs w:val="21"/>
                <w:lang w:val="en-US" w:eastAsia="zh-CN"/>
              </w:rPr>
              <w:t>2019年</w:t>
            </w:r>
            <w:r>
              <w:rPr>
                <w:rFonts w:hint="eastAsia" w:ascii="仿宋_GB2312"/>
                <w:sz w:val="21"/>
                <w:szCs w:val="21"/>
              </w:rPr>
              <w:t>8月底前完成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10</w:t>
            </w:r>
          </w:p>
        </w:tc>
        <w:tc>
          <w:tcPr>
            <w:tcW w:w="872" w:type="dxa"/>
            <w:vMerge w:val="continue"/>
            <w:noWrap w:val="0"/>
            <w:vAlign w:val="center"/>
          </w:tcPr>
          <w:p>
            <w:pPr>
              <w:spacing w:line="320" w:lineRule="exact"/>
              <w:rPr>
                <w:rFonts w:hint="eastAsia" w:ascii="仿宋_GB2312" w:hAnsi="仿宋" w:cs="宋体"/>
                <w:kern w:val="0"/>
                <w:sz w:val="21"/>
                <w:szCs w:val="21"/>
              </w:rPr>
            </w:pPr>
          </w:p>
        </w:tc>
        <w:tc>
          <w:tcPr>
            <w:tcW w:w="945" w:type="dxa"/>
            <w:noWrap w:val="0"/>
            <w:vAlign w:val="center"/>
          </w:tcPr>
          <w:p>
            <w:pPr>
              <w:spacing w:line="320" w:lineRule="exact"/>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实行联合验收</w:t>
            </w:r>
          </w:p>
        </w:tc>
        <w:tc>
          <w:tcPr>
            <w:tcW w:w="6478" w:type="dxa"/>
            <w:noWrap w:val="0"/>
            <w:vAlign w:val="top"/>
          </w:tcPr>
          <w:p>
            <w:pPr>
              <w:spacing w:line="320" w:lineRule="exact"/>
              <w:rPr>
                <w:rFonts w:hint="eastAsia" w:ascii="仿宋_GB2312"/>
                <w:sz w:val="21"/>
                <w:szCs w:val="21"/>
              </w:rPr>
            </w:pPr>
            <w:r>
              <w:rPr>
                <w:rFonts w:hint="eastAsia" w:ascii="仿宋_GB2312"/>
                <w:sz w:val="21"/>
                <w:szCs w:val="21"/>
              </w:rPr>
              <w:t>坚持“谁审批、谁监管、谁验收、谁负责”，制定工程建设项目联合竣工验收实施方案，统一竣工验收图纸和验收标准，明确联合竣工验收的参与部门、验收事项及验收流程。开展联合验收时，要充分运用“多测合一”成果，统一出具验收意见。同时，将联合竣工验收工作纳入工程建设项目审批管理平台，实现“同时受理、集中实施、统一验收、限时办结”。</w:t>
            </w:r>
          </w:p>
        </w:tc>
        <w:tc>
          <w:tcPr>
            <w:tcW w:w="1417"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市住建局</w:t>
            </w:r>
          </w:p>
        </w:tc>
        <w:tc>
          <w:tcPr>
            <w:tcW w:w="1418" w:type="dxa"/>
            <w:noWrap w:val="0"/>
            <w:vAlign w:val="center"/>
          </w:tcPr>
          <w:p>
            <w:pPr>
              <w:spacing w:line="320" w:lineRule="exact"/>
              <w:rPr>
                <w:rFonts w:hint="eastAsia" w:ascii="仿宋_GB2312" w:hAnsi="仿宋" w:cs="宋体"/>
                <w:kern w:val="0"/>
                <w:sz w:val="21"/>
                <w:szCs w:val="21"/>
              </w:rPr>
            </w:pPr>
            <w:r>
              <w:rPr>
                <w:rFonts w:hint="eastAsia" w:ascii="仿宋_GB2312"/>
                <w:sz w:val="21"/>
                <w:szCs w:val="21"/>
              </w:rPr>
              <w:t>市政府各有关部门、</w:t>
            </w:r>
            <w:r>
              <w:rPr>
                <w:rFonts w:hint="eastAsia" w:ascii="仿宋_GB2312" w:hAnsi="仿宋_GB2312" w:cs="仿宋_GB2312"/>
                <w:sz w:val="21"/>
                <w:szCs w:val="21"/>
                <w:shd w:val="clear" w:color="auto" w:fill="FFFFFF"/>
              </w:rPr>
              <w:t>各区县（市）政府</w:t>
            </w:r>
          </w:p>
        </w:tc>
        <w:tc>
          <w:tcPr>
            <w:tcW w:w="1240" w:type="dxa"/>
            <w:noWrap w:val="0"/>
            <w:vAlign w:val="center"/>
          </w:tcPr>
          <w:p>
            <w:pPr>
              <w:spacing w:line="320" w:lineRule="exact"/>
              <w:jc w:val="center"/>
              <w:rPr>
                <w:rFonts w:hint="eastAsia" w:ascii="仿宋_GB2312" w:hAnsi="仿宋" w:cs="宋体"/>
                <w:kern w:val="0"/>
                <w:sz w:val="21"/>
                <w:szCs w:val="21"/>
              </w:rPr>
            </w:pPr>
            <w:r>
              <w:rPr>
                <w:rFonts w:hint="eastAsia" w:ascii="仿宋_GB2312"/>
                <w:sz w:val="21"/>
                <w:szCs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11</w:t>
            </w:r>
          </w:p>
        </w:tc>
        <w:tc>
          <w:tcPr>
            <w:tcW w:w="872" w:type="dxa"/>
            <w:vMerge w:val="continue"/>
            <w:noWrap w:val="0"/>
            <w:vAlign w:val="center"/>
          </w:tcPr>
          <w:p>
            <w:pPr>
              <w:spacing w:line="320" w:lineRule="exact"/>
              <w:rPr>
                <w:rFonts w:hint="eastAsia" w:ascii="仿宋_GB2312" w:hAnsi="仿宋" w:cs="宋体"/>
                <w:kern w:val="0"/>
                <w:sz w:val="21"/>
                <w:szCs w:val="21"/>
              </w:rPr>
            </w:pPr>
          </w:p>
        </w:tc>
        <w:tc>
          <w:tcPr>
            <w:tcW w:w="945" w:type="dxa"/>
            <w:vMerge w:val="restart"/>
            <w:noWrap w:val="0"/>
            <w:vAlign w:val="center"/>
          </w:tcPr>
          <w:p>
            <w:pPr>
              <w:spacing w:line="320" w:lineRule="exact"/>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强化前期策划评估</w:t>
            </w:r>
          </w:p>
        </w:tc>
        <w:tc>
          <w:tcPr>
            <w:tcW w:w="6478" w:type="dxa"/>
            <w:noWrap w:val="0"/>
            <w:vAlign w:val="top"/>
          </w:tcPr>
          <w:p>
            <w:pPr>
              <w:spacing w:line="320" w:lineRule="exact"/>
              <w:rPr>
                <w:rFonts w:hint="eastAsia" w:ascii="仿宋_GB2312"/>
                <w:sz w:val="21"/>
                <w:szCs w:val="21"/>
              </w:rPr>
            </w:pPr>
            <w:r>
              <w:rPr>
                <w:rFonts w:hint="eastAsia" w:ascii="仿宋_GB2312"/>
                <w:sz w:val="21"/>
                <w:szCs w:val="21"/>
              </w:rPr>
              <w:t>1.推行区域综合评估。制定配套的区域评估细则、加强事中事后监管具体措施。对各类开发区、工业园区、新区和其他有条件的区域，由市政府相关部门统一组织，按区域对压覆重要矿产资源、环境影响评价、节能审查、地质灾害危险性评估、地震安全性评价、水资源论证等进行评估评价，并实现评估评价成果共享。区域内建设项目不再单独组织评估评审。对不符合或需要突破区域评估评价结果的，相关审批事项按照原程序办理。</w:t>
            </w: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市营商局</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市资源规划局、市生态环境局、市发改委、市应急局、市水务局</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12</w:t>
            </w:r>
          </w:p>
        </w:tc>
        <w:tc>
          <w:tcPr>
            <w:tcW w:w="872" w:type="dxa"/>
            <w:vMerge w:val="continue"/>
            <w:noWrap w:val="0"/>
            <w:vAlign w:val="center"/>
          </w:tcPr>
          <w:p>
            <w:pPr>
              <w:spacing w:line="320" w:lineRule="exact"/>
              <w:rPr>
                <w:rFonts w:hint="eastAsia" w:ascii="仿宋_GB2312" w:hAnsi="仿宋" w:cs="宋体"/>
                <w:kern w:val="0"/>
                <w:sz w:val="21"/>
                <w:szCs w:val="21"/>
              </w:rPr>
            </w:pPr>
          </w:p>
        </w:tc>
        <w:tc>
          <w:tcPr>
            <w:tcW w:w="945" w:type="dxa"/>
            <w:vMerge w:val="continue"/>
            <w:noWrap w:val="0"/>
            <w:vAlign w:val="center"/>
          </w:tcPr>
          <w:p>
            <w:pPr>
              <w:spacing w:line="320" w:lineRule="exact"/>
              <w:rPr>
                <w:rFonts w:hint="eastAsia" w:ascii="楷体_GB2312" w:hAnsi="楷体_GB2312" w:eastAsia="楷体_GB2312" w:cs="楷体_GB2312"/>
                <w:sz w:val="21"/>
                <w:szCs w:val="21"/>
              </w:rPr>
            </w:pPr>
          </w:p>
        </w:tc>
        <w:tc>
          <w:tcPr>
            <w:tcW w:w="6478" w:type="dxa"/>
            <w:noWrap w:val="0"/>
            <w:vAlign w:val="top"/>
          </w:tcPr>
          <w:p>
            <w:pPr>
              <w:spacing w:line="320" w:lineRule="exact"/>
              <w:rPr>
                <w:rFonts w:hint="eastAsia" w:ascii="仿宋_GB2312"/>
                <w:sz w:val="21"/>
                <w:szCs w:val="21"/>
              </w:rPr>
            </w:pPr>
            <w:r>
              <w:rPr>
                <w:rFonts w:hint="eastAsia" w:ascii="仿宋_GB2312"/>
                <w:sz w:val="21"/>
                <w:szCs w:val="21"/>
              </w:rPr>
              <w:t>2.强化项目协同策划生成机制。建立工程建设项目储备库，在工程建设项目策划生成阶段，相关审批部门、市政公共基础设施服务单位、各区政府要加强协同，对项目可行性及配套条件进行充分论证，提出审核意见和准入标准，并在选址前完成用地预审和征收工作，确定建设条件、出让条件（含人防结建、车位配建等），落实项目投资、产业准入类型、预选址、用地指标等建设内容，确保项目可落地、可实施。策划生成的项目，纳入哈尔滨市工程建设审批管理平台后，不得擅自改变建设条件，并严格按照前期确定的建设内容履行审批手续。</w:t>
            </w: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市发改委、市资源规划局按职责分工牵头</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市政府各有关部门、各区县（市）政府</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lang w:val="en-US" w:eastAsia="zh-CN"/>
              </w:rPr>
              <w:t>2019年</w:t>
            </w:r>
            <w:r>
              <w:rPr>
                <w:rFonts w:hint="eastAsia" w:ascii="仿宋_GB2312"/>
                <w:sz w:val="21"/>
                <w:szCs w:val="21"/>
              </w:rPr>
              <w:t>10月底前完成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13</w:t>
            </w:r>
          </w:p>
        </w:tc>
        <w:tc>
          <w:tcPr>
            <w:tcW w:w="872" w:type="dxa"/>
            <w:vMerge w:val="continue"/>
            <w:noWrap w:val="0"/>
            <w:vAlign w:val="center"/>
          </w:tcPr>
          <w:p>
            <w:pPr>
              <w:spacing w:line="320" w:lineRule="exact"/>
              <w:rPr>
                <w:rFonts w:hint="eastAsia" w:ascii="仿宋_GB2312" w:hAnsi="仿宋" w:cs="宋体"/>
                <w:kern w:val="0"/>
                <w:sz w:val="21"/>
                <w:szCs w:val="21"/>
              </w:rPr>
            </w:pPr>
          </w:p>
        </w:tc>
        <w:tc>
          <w:tcPr>
            <w:tcW w:w="945" w:type="dxa"/>
            <w:noWrap w:val="0"/>
            <w:vAlign w:val="center"/>
          </w:tcPr>
          <w:p>
            <w:pPr>
              <w:spacing w:line="320" w:lineRule="exact"/>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推行告知承诺制</w:t>
            </w:r>
          </w:p>
        </w:tc>
        <w:tc>
          <w:tcPr>
            <w:tcW w:w="6478" w:type="dxa"/>
            <w:noWrap w:val="0"/>
            <w:vAlign w:val="top"/>
          </w:tcPr>
          <w:p>
            <w:pPr>
              <w:spacing w:line="320" w:lineRule="exact"/>
              <w:rPr>
                <w:rFonts w:hint="eastAsia" w:ascii="仿宋_GB2312"/>
                <w:sz w:val="21"/>
                <w:szCs w:val="21"/>
              </w:rPr>
            </w:pPr>
            <w:r>
              <w:rPr>
                <w:rFonts w:hint="eastAsia" w:ascii="仿宋_GB2312"/>
                <w:sz w:val="21"/>
                <w:szCs w:val="21"/>
              </w:rPr>
              <w:t>对通过事中事后监管可纠正不符合审批条件的行为、且不会产生严重后果的审批事项，实行告知承诺制。审批部门要公布实行告知承诺制的审批事项清单及具体要求。对申请人按照要求作出书面承诺的，审批部门可根据申请人信用等情况直接作出审批决定；对已经实施区域评估范围内的工程建设项目，相应的审批事项也要实行告知承诺制。</w:t>
            </w: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市营商局、市住建局按职责分工牵头</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市政府各有关部门、各区县（市）政府</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14</w:t>
            </w:r>
          </w:p>
        </w:tc>
        <w:tc>
          <w:tcPr>
            <w:tcW w:w="872" w:type="dxa"/>
            <w:vMerge w:val="restart"/>
            <w:noWrap w:val="0"/>
            <w:vAlign w:val="center"/>
          </w:tcPr>
          <w:p>
            <w:pPr>
              <w:spacing w:line="320" w:lineRule="exact"/>
              <w:rPr>
                <w:rFonts w:hint="eastAsia" w:ascii="仿宋_GB2312" w:hAnsi="仿宋" w:cs="宋体"/>
                <w:kern w:val="0"/>
                <w:sz w:val="21"/>
                <w:szCs w:val="21"/>
              </w:rPr>
            </w:pPr>
            <w:r>
              <w:rPr>
                <w:rFonts w:hint="eastAsia" w:ascii="黑体" w:eastAsia="黑体"/>
                <w:sz w:val="21"/>
                <w:szCs w:val="21"/>
              </w:rPr>
              <w:t>统一信息数据平台</w:t>
            </w:r>
          </w:p>
        </w:tc>
        <w:tc>
          <w:tcPr>
            <w:tcW w:w="945" w:type="dxa"/>
            <w:noWrap w:val="0"/>
            <w:vAlign w:val="center"/>
          </w:tcPr>
          <w:p>
            <w:pPr>
              <w:spacing w:line="320" w:lineRule="exact"/>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建立审批管理平台</w:t>
            </w:r>
          </w:p>
        </w:tc>
        <w:tc>
          <w:tcPr>
            <w:tcW w:w="6478" w:type="dxa"/>
            <w:noWrap w:val="0"/>
            <w:vAlign w:val="top"/>
          </w:tcPr>
          <w:p>
            <w:pPr>
              <w:spacing w:line="320" w:lineRule="exact"/>
              <w:rPr>
                <w:rFonts w:hint="eastAsia" w:ascii="仿宋_GB2312"/>
                <w:sz w:val="21"/>
                <w:szCs w:val="21"/>
              </w:rPr>
            </w:pPr>
            <w:r>
              <w:rPr>
                <w:rFonts w:hint="eastAsia" w:ascii="仿宋_GB2312"/>
                <w:sz w:val="21"/>
                <w:szCs w:val="21"/>
              </w:rPr>
              <w:t>按照“横向到边、纵向到底”原则，建立工程建设项目审批管理平台，初步建成覆盖市、区县（市）政府各部门的审批管理系统。制定审批管理系统运行管理办法，完成与省级审批管理系统的对接。审批管理系统应具备“多规合一”业务协同、在线并联审批、统计分析、监督管理等功能，可在“一张蓝图”基础上开展审批。</w:t>
            </w: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市营商局</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市政府各有关部门、各区县（市）政府</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15</w:t>
            </w:r>
          </w:p>
        </w:tc>
        <w:tc>
          <w:tcPr>
            <w:tcW w:w="872" w:type="dxa"/>
            <w:vMerge w:val="continue"/>
            <w:noWrap w:val="0"/>
            <w:vAlign w:val="center"/>
          </w:tcPr>
          <w:p>
            <w:pPr>
              <w:spacing w:line="320" w:lineRule="exact"/>
              <w:rPr>
                <w:rFonts w:hint="eastAsia" w:ascii="仿宋_GB2312" w:hAnsi="仿宋" w:cs="宋体"/>
                <w:kern w:val="0"/>
                <w:sz w:val="21"/>
                <w:szCs w:val="21"/>
              </w:rPr>
            </w:pPr>
          </w:p>
        </w:tc>
        <w:tc>
          <w:tcPr>
            <w:tcW w:w="945" w:type="dxa"/>
            <w:noWrap w:val="0"/>
            <w:vAlign w:val="center"/>
          </w:tcPr>
          <w:p>
            <w:pPr>
              <w:spacing w:line="320" w:lineRule="exact"/>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实现系统平台互联互通</w:t>
            </w:r>
          </w:p>
        </w:tc>
        <w:tc>
          <w:tcPr>
            <w:tcW w:w="6478" w:type="dxa"/>
            <w:noWrap w:val="0"/>
            <w:vAlign w:val="top"/>
          </w:tcPr>
          <w:p>
            <w:pPr>
              <w:spacing w:line="320" w:lineRule="exact"/>
              <w:rPr>
                <w:rFonts w:hint="eastAsia" w:ascii="仿宋_GB2312"/>
                <w:sz w:val="21"/>
                <w:szCs w:val="21"/>
              </w:rPr>
            </w:pPr>
          </w:p>
          <w:p>
            <w:pPr>
              <w:spacing w:line="320" w:lineRule="exact"/>
              <w:rPr>
                <w:rFonts w:hint="eastAsia" w:ascii="仿宋_GB2312"/>
                <w:sz w:val="21"/>
                <w:szCs w:val="21"/>
              </w:rPr>
            </w:pPr>
            <w:r>
              <w:rPr>
                <w:rFonts w:hint="eastAsia" w:ascii="仿宋_GB2312"/>
                <w:sz w:val="21"/>
                <w:szCs w:val="21"/>
              </w:rPr>
              <w:t>推进工程建设项目审批管理系统与投资项目在线审批监管平台等审批信息系统的互联互通，通过投资项目在线审批监管平台统一赋码，实现统一受理、并联审批、实时流转、跟踪督办、电子归档。完成工程建设项目审批管理系统与全国一体化在线政务服务平台的对接。进一步优化电子证照库批文共享调用功能，实现存量批文及新增批文的电子证照生成及调用，保障审批过程中部门批文、证照共享。</w:t>
            </w:r>
          </w:p>
          <w:p>
            <w:pPr>
              <w:spacing w:line="320" w:lineRule="exact"/>
              <w:rPr>
                <w:rFonts w:hint="eastAsia" w:ascii="仿宋_GB2312"/>
                <w:sz w:val="21"/>
                <w:szCs w:val="21"/>
              </w:rPr>
            </w:pP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市营商局</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市政府各有关部门、各区县（市）政府</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rPr>
              <w:t>2019年12月底前完成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16</w:t>
            </w:r>
          </w:p>
        </w:tc>
        <w:tc>
          <w:tcPr>
            <w:tcW w:w="872" w:type="dxa"/>
            <w:vMerge w:val="restart"/>
            <w:noWrap w:val="0"/>
            <w:vAlign w:val="center"/>
          </w:tcPr>
          <w:p>
            <w:pPr>
              <w:spacing w:line="320" w:lineRule="exact"/>
              <w:rPr>
                <w:rFonts w:hint="eastAsia" w:ascii="仿宋_GB2312" w:hAnsi="仿宋" w:cs="宋体"/>
                <w:kern w:val="0"/>
                <w:sz w:val="21"/>
                <w:szCs w:val="21"/>
              </w:rPr>
            </w:pPr>
            <w:r>
              <w:rPr>
                <w:rFonts w:hint="eastAsia" w:ascii="黑体" w:eastAsia="黑体"/>
                <w:sz w:val="21"/>
                <w:szCs w:val="21"/>
              </w:rPr>
              <w:t>统一审批管理体系</w:t>
            </w:r>
          </w:p>
        </w:tc>
        <w:tc>
          <w:tcPr>
            <w:tcW w:w="945" w:type="dxa"/>
            <w:noWrap w:val="0"/>
            <w:vAlign w:val="center"/>
          </w:tcPr>
          <w:p>
            <w:pPr>
              <w:spacing w:line="320" w:lineRule="exact"/>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“一张蓝图”统筹项目实施</w:t>
            </w:r>
          </w:p>
        </w:tc>
        <w:tc>
          <w:tcPr>
            <w:tcW w:w="6478" w:type="dxa"/>
            <w:noWrap w:val="0"/>
            <w:vAlign w:val="top"/>
          </w:tcPr>
          <w:p>
            <w:pPr>
              <w:spacing w:line="320" w:lineRule="exact"/>
              <w:rPr>
                <w:rFonts w:hint="eastAsia" w:ascii="仿宋_GB2312"/>
                <w:sz w:val="21"/>
                <w:szCs w:val="21"/>
              </w:rPr>
            </w:pPr>
            <w:r>
              <w:rPr>
                <w:rFonts w:hint="eastAsia" w:ascii="仿宋_GB2312"/>
                <w:sz w:val="21"/>
                <w:szCs w:val="21"/>
              </w:rPr>
              <w:t>统筹整合各类规划，划定各类控制线，形成协调一致、管控全域的空间数据体系，构建“多规合一”的“一张蓝图”。建立“多规合一”协同机制，统筹各部门对工程建设项目提出的规划条件。全面梳理各类规划与空间管控要素，明确“多规合一”包含的规划目录、数据目录（各类空间规划图层信息等）、各类空间规划等事项完成的具体要求。整合空间管控数据，明确生态保护红线、永久基本农田、城镇开发边界等控制线，形成管控边界清晰、责任主体明确和管控规则明晰的空间规划图。完成差异图斑分析，制定消除空间规划矛盾和差异的工作计划，努力消除主要空间规划矛盾和差异，提高“一张蓝图”统筹项目实施效率，不断完善“一张蓝图”。</w:t>
            </w: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市资源规划局</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市政府各有关部门、各区县（市）政府</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17</w:t>
            </w:r>
          </w:p>
        </w:tc>
        <w:tc>
          <w:tcPr>
            <w:tcW w:w="872" w:type="dxa"/>
            <w:vMerge w:val="continue"/>
            <w:noWrap w:val="0"/>
            <w:vAlign w:val="center"/>
          </w:tcPr>
          <w:p>
            <w:pPr>
              <w:spacing w:line="320" w:lineRule="exact"/>
              <w:rPr>
                <w:rFonts w:hint="eastAsia" w:ascii="仿宋_GB2312" w:hAnsi="仿宋" w:cs="宋体"/>
                <w:kern w:val="0"/>
                <w:sz w:val="21"/>
                <w:szCs w:val="21"/>
              </w:rPr>
            </w:pPr>
          </w:p>
        </w:tc>
        <w:tc>
          <w:tcPr>
            <w:tcW w:w="945" w:type="dxa"/>
            <w:noWrap w:val="0"/>
            <w:vAlign w:val="center"/>
          </w:tcPr>
          <w:p>
            <w:pPr>
              <w:spacing w:line="320" w:lineRule="exact"/>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“一个窗口”提供综合服务</w:t>
            </w:r>
          </w:p>
        </w:tc>
        <w:tc>
          <w:tcPr>
            <w:tcW w:w="6478" w:type="dxa"/>
            <w:noWrap w:val="0"/>
            <w:vAlign w:val="top"/>
          </w:tcPr>
          <w:p>
            <w:pPr>
              <w:spacing w:line="320" w:lineRule="exact"/>
              <w:rPr>
                <w:rFonts w:hint="eastAsia" w:ascii="仿宋_GB2312"/>
                <w:sz w:val="21"/>
                <w:szCs w:val="21"/>
              </w:rPr>
            </w:pPr>
            <w:r>
              <w:rPr>
                <w:rFonts w:hint="eastAsia" w:ascii="仿宋_GB2312"/>
                <w:sz w:val="21"/>
                <w:szCs w:val="21"/>
              </w:rPr>
              <w:t>制定统一的线上线下“一窗受理”工作规程。整合各部门和各市政公用单位分散设立的服务窗口，设立统一的工程建设项目审批综合服务窗口，实现一窗受理、集成服务、一站办结。制定综合服务窗口工作制度和服务事项清单，公开服务标准和办事流程，实现“前台统一受理收件、后台分类审批、材料网上流转、窗口统一发件”的综合受理审批服务模式。推行“审批代办制”，制定咨询辅导等服务规定，为申请人提供工程建设项目审批咨询、指导、协调和代办等服务，最大限度减少企业办理审批耗费的人力、物力、精力。</w:t>
            </w:r>
          </w:p>
          <w:p>
            <w:pPr>
              <w:spacing w:line="320" w:lineRule="exact"/>
              <w:rPr>
                <w:rFonts w:hint="eastAsia" w:ascii="仿宋_GB2312"/>
                <w:sz w:val="21"/>
                <w:szCs w:val="21"/>
              </w:rPr>
            </w:pP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市营商局、市住建局、市资源规划局按职责分工牵头</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市政府各有关部门</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18</w:t>
            </w:r>
          </w:p>
        </w:tc>
        <w:tc>
          <w:tcPr>
            <w:tcW w:w="872" w:type="dxa"/>
            <w:vMerge w:val="continue"/>
            <w:noWrap w:val="0"/>
            <w:vAlign w:val="center"/>
          </w:tcPr>
          <w:p>
            <w:pPr>
              <w:spacing w:line="320" w:lineRule="exact"/>
              <w:rPr>
                <w:rFonts w:hint="eastAsia" w:ascii="仿宋_GB2312" w:hAnsi="仿宋" w:cs="宋体"/>
                <w:kern w:val="0"/>
                <w:sz w:val="21"/>
                <w:szCs w:val="21"/>
              </w:rPr>
            </w:pPr>
          </w:p>
        </w:tc>
        <w:tc>
          <w:tcPr>
            <w:tcW w:w="945" w:type="dxa"/>
            <w:noWrap w:val="0"/>
            <w:vAlign w:val="center"/>
          </w:tcPr>
          <w:p>
            <w:pPr>
              <w:spacing w:line="320" w:lineRule="exact"/>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“一张表单”整合申报材料</w:t>
            </w:r>
          </w:p>
        </w:tc>
        <w:tc>
          <w:tcPr>
            <w:tcW w:w="6478" w:type="dxa"/>
            <w:noWrap w:val="0"/>
            <w:vAlign w:val="top"/>
          </w:tcPr>
          <w:p>
            <w:pPr>
              <w:spacing w:line="320" w:lineRule="exact"/>
              <w:rPr>
                <w:rFonts w:hint="eastAsia" w:ascii="仿宋_GB2312"/>
                <w:sz w:val="21"/>
                <w:szCs w:val="21"/>
              </w:rPr>
            </w:pPr>
            <w:r>
              <w:rPr>
                <w:rFonts w:hint="eastAsia" w:ascii="仿宋_GB2312"/>
                <w:sz w:val="21"/>
                <w:szCs w:val="21"/>
              </w:rPr>
              <w:t>各审批阶段均实行“一份办事指南、一张申请表单、一套申报材料，完成多项审批”的运作模式。牵头部门应当制定各审批阶段的办事指南、申请表单、申报材料目录，供同一审批阶段内各审批部门使用。申报材料和信息在前一阶段已经提供或由前一阶段办结生成的审批结果信息，应在审批系统中实现共享，不得要求申请人重复提交。</w:t>
            </w:r>
          </w:p>
          <w:p>
            <w:pPr>
              <w:spacing w:line="320" w:lineRule="exact"/>
              <w:rPr>
                <w:rFonts w:hint="eastAsia" w:ascii="仿宋_GB2312"/>
                <w:sz w:val="21"/>
                <w:szCs w:val="21"/>
              </w:rPr>
            </w:pP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市住建局、市资源规划局按职责分工牵头</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市政府各有关部门</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19</w:t>
            </w:r>
          </w:p>
        </w:tc>
        <w:tc>
          <w:tcPr>
            <w:tcW w:w="872" w:type="dxa"/>
            <w:vMerge w:val="continue"/>
            <w:noWrap w:val="0"/>
            <w:vAlign w:val="center"/>
          </w:tcPr>
          <w:p>
            <w:pPr>
              <w:spacing w:line="320" w:lineRule="exact"/>
              <w:rPr>
                <w:rFonts w:hint="eastAsia" w:ascii="仿宋_GB2312" w:hAnsi="仿宋" w:cs="宋体"/>
                <w:kern w:val="0"/>
                <w:sz w:val="21"/>
                <w:szCs w:val="21"/>
              </w:rPr>
            </w:pPr>
          </w:p>
        </w:tc>
        <w:tc>
          <w:tcPr>
            <w:tcW w:w="945" w:type="dxa"/>
            <w:noWrap w:val="0"/>
            <w:vAlign w:val="center"/>
          </w:tcPr>
          <w:p>
            <w:pPr>
              <w:spacing w:line="320" w:lineRule="exact"/>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“一套机制”规范审批运行</w:t>
            </w:r>
          </w:p>
        </w:tc>
        <w:tc>
          <w:tcPr>
            <w:tcW w:w="6478" w:type="dxa"/>
            <w:noWrap w:val="0"/>
            <w:vAlign w:val="top"/>
          </w:tcPr>
          <w:p>
            <w:pPr>
              <w:spacing w:line="320" w:lineRule="exact"/>
              <w:rPr>
                <w:rFonts w:hint="eastAsia" w:ascii="仿宋_GB2312"/>
                <w:sz w:val="21"/>
                <w:szCs w:val="21"/>
              </w:rPr>
            </w:pPr>
            <w:r>
              <w:rPr>
                <w:rFonts w:hint="eastAsia" w:ascii="仿宋_GB2312"/>
                <w:sz w:val="21"/>
                <w:szCs w:val="21"/>
              </w:rPr>
              <w:t>建立健全工程建设项目审批配套制度，确保审批各阶段、各环节无缝衔接。建立并联审批协调机制，解决部门意见分歧；建立跟踪督办制度，确保按时限完成审批；建立审批事项体外运行责任追究制度，坚决杜绝在审批管理系统外办理审批事项。推动相关法律法规、规范性文件和标准规范的立改废释工作，建立依法推进改革的长效机制。</w:t>
            </w: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市营商局、市司法局、市住建局、市资源规划局按职责分工牵头</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市政府各有关部门</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rPr>
              <w:t>2019年12月底前完成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20</w:t>
            </w:r>
          </w:p>
        </w:tc>
        <w:tc>
          <w:tcPr>
            <w:tcW w:w="872" w:type="dxa"/>
            <w:vMerge w:val="restart"/>
            <w:noWrap w:val="0"/>
            <w:vAlign w:val="center"/>
          </w:tcPr>
          <w:p>
            <w:pPr>
              <w:spacing w:line="320" w:lineRule="exact"/>
              <w:rPr>
                <w:rFonts w:hint="eastAsia" w:ascii="仿宋_GB2312" w:hAnsi="仿宋" w:cs="宋体"/>
                <w:kern w:val="0"/>
                <w:sz w:val="21"/>
                <w:szCs w:val="21"/>
              </w:rPr>
            </w:pPr>
            <w:r>
              <w:rPr>
                <w:rFonts w:hint="eastAsia" w:ascii="黑体" w:eastAsia="黑体"/>
                <w:sz w:val="21"/>
                <w:szCs w:val="21"/>
              </w:rPr>
              <w:t>统一监管方式</w:t>
            </w:r>
          </w:p>
        </w:tc>
        <w:tc>
          <w:tcPr>
            <w:tcW w:w="945" w:type="dxa"/>
            <w:noWrap w:val="0"/>
            <w:vAlign w:val="center"/>
          </w:tcPr>
          <w:p>
            <w:pPr>
              <w:spacing w:line="320" w:lineRule="exact"/>
              <w:rPr>
                <w:rFonts w:hint="eastAsia" w:ascii="楷体_GB2312" w:hAnsi="楷体_GB2312" w:eastAsia="楷体_GB2312" w:cs="楷体_GB2312"/>
                <w:sz w:val="21"/>
                <w:szCs w:val="21"/>
              </w:rPr>
            </w:pPr>
            <w:r>
              <w:rPr>
                <w:rFonts w:hint="eastAsia" w:ascii="楷体_GB2312" w:hAnsi="楷体_GB2312" w:eastAsia="楷体_GB2312" w:cs="楷体_GB2312"/>
                <w:sz w:val="21"/>
                <w:szCs w:val="21"/>
              </w:rPr>
              <w:t>加强事中事后监管</w:t>
            </w:r>
          </w:p>
        </w:tc>
        <w:tc>
          <w:tcPr>
            <w:tcW w:w="6478" w:type="dxa"/>
            <w:noWrap w:val="0"/>
            <w:vAlign w:val="top"/>
          </w:tcPr>
          <w:p>
            <w:pPr>
              <w:spacing w:line="320" w:lineRule="exact"/>
              <w:rPr>
                <w:rFonts w:hint="eastAsia" w:ascii="仿宋_GB2312"/>
                <w:sz w:val="21"/>
                <w:szCs w:val="21"/>
              </w:rPr>
            </w:pPr>
            <w:r>
              <w:rPr>
                <w:rFonts w:hint="eastAsia" w:ascii="仿宋_GB2312"/>
                <w:sz w:val="21"/>
                <w:szCs w:val="21"/>
              </w:rPr>
              <w:t>以“双随机、一公开”为基本原则，以差异化分类监管为主要手段，以信用监管为基础，建立新型监管机制。制定审核、记录、抽查和惩戒等相关制度。加强对实行告知承诺制审批事项的监管，审批部门应当在规定时间内对承诺人履行承诺情况进行检查。对承诺人未履行承诺的，审批部门要依法撤销行政审批决定，并由承诺人承担违反承诺造成的所有经济损失和相关法律责任。同时，依法追究有关当事人责任。</w:t>
            </w: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市住建局</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市政府各有关部门、各区县（市）政府</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21</w:t>
            </w:r>
          </w:p>
        </w:tc>
        <w:tc>
          <w:tcPr>
            <w:tcW w:w="872" w:type="dxa"/>
            <w:vMerge w:val="continue"/>
            <w:noWrap w:val="0"/>
            <w:vAlign w:val="center"/>
          </w:tcPr>
          <w:p>
            <w:pPr>
              <w:spacing w:line="320" w:lineRule="exact"/>
              <w:rPr>
                <w:rFonts w:hint="eastAsia" w:ascii="仿宋_GB2312" w:hAnsi="仿宋" w:cs="宋体"/>
                <w:kern w:val="0"/>
                <w:sz w:val="21"/>
                <w:szCs w:val="21"/>
              </w:rPr>
            </w:pPr>
          </w:p>
        </w:tc>
        <w:tc>
          <w:tcPr>
            <w:tcW w:w="945" w:type="dxa"/>
            <w:noWrap w:val="0"/>
            <w:vAlign w:val="center"/>
          </w:tcPr>
          <w:p>
            <w:pPr>
              <w:spacing w:line="320" w:lineRule="exact"/>
              <w:rPr>
                <w:rFonts w:hint="eastAsia" w:ascii="楷体_GB2312" w:hAnsi="楷体_GB2312" w:eastAsia="楷体_GB2312" w:cs="楷体_GB2312"/>
                <w:kern w:val="0"/>
                <w:sz w:val="21"/>
                <w:szCs w:val="21"/>
              </w:rPr>
            </w:pPr>
            <w:r>
              <w:rPr>
                <w:rFonts w:hint="eastAsia" w:ascii="楷体_GB2312" w:hAnsi="楷体_GB2312" w:eastAsia="楷体_GB2312" w:cs="楷体_GB2312"/>
                <w:sz w:val="21"/>
                <w:szCs w:val="21"/>
              </w:rPr>
              <w:t>加强信用体系建设</w:t>
            </w:r>
          </w:p>
        </w:tc>
        <w:tc>
          <w:tcPr>
            <w:tcW w:w="6478" w:type="dxa"/>
            <w:noWrap w:val="0"/>
            <w:vAlign w:val="top"/>
          </w:tcPr>
          <w:p>
            <w:pPr>
              <w:spacing w:line="320" w:lineRule="exact"/>
              <w:jc w:val="left"/>
              <w:rPr>
                <w:rFonts w:hint="eastAsia" w:ascii="仿宋_GB2312" w:hAnsi="仿宋" w:cs="宋体"/>
                <w:kern w:val="0"/>
                <w:sz w:val="21"/>
                <w:szCs w:val="21"/>
              </w:rPr>
            </w:pPr>
            <w:r>
              <w:rPr>
                <w:rFonts w:hint="eastAsia" w:ascii="仿宋_GB2312"/>
                <w:sz w:val="21"/>
                <w:szCs w:val="21"/>
              </w:rPr>
              <w:t>在现有建筑市场诚信体系建设基础上，修订管理办法，进一步完善管理机制。建立参建主体红黑名单制度，实行信用分级分类和差异化管理，强化对失信企业和从业人员的行为监管。对不履行承诺、弄虚作假且情节严重的，</w:t>
            </w:r>
            <w:r>
              <w:rPr>
                <w:rFonts w:hint="eastAsia" w:ascii="仿宋_GB2312"/>
                <w:sz w:val="21"/>
                <w:szCs w:val="21"/>
                <w:lang w:eastAsia="zh-CN"/>
              </w:rPr>
              <w:t>依法依规作出处理</w:t>
            </w:r>
            <w:r>
              <w:rPr>
                <w:rFonts w:hint="eastAsia" w:ascii="仿宋_GB2312"/>
                <w:sz w:val="21"/>
                <w:szCs w:val="21"/>
              </w:rPr>
              <w:t>。及时向市、省信用信息平台推送信用信息。</w:t>
            </w: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市住建局</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市政府各有关部门、各区县（市）政府</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22</w:t>
            </w:r>
          </w:p>
        </w:tc>
        <w:tc>
          <w:tcPr>
            <w:tcW w:w="872" w:type="dxa"/>
            <w:vMerge w:val="continue"/>
            <w:noWrap w:val="0"/>
            <w:vAlign w:val="center"/>
          </w:tcPr>
          <w:p>
            <w:pPr>
              <w:spacing w:line="320" w:lineRule="exact"/>
              <w:rPr>
                <w:rFonts w:hint="eastAsia" w:ascii="仿宋_GB2312" w:hAnsi="仿宋" w:cs="宋体"/>
                <w:kern w:val="0"/>
                <w:sz w:val="21"/>
                <w:szCs w:val="21"/>
              </w:rPr>
            </w:pPr>
          </w:p>
        </w:tc>
        <w:tc>
          <w:tcPr>
            <w:tcW w:w="945" w:type="dxa"/>
            <w:vMerge w:val="restart"/>
            <w:noWrap w:val="0"/>
            <w:vAlign w:val="center"/>
          </w:tcPr>
          <w:p>
            <w:pPr>
              <w:spacing w:line="320" w:lineRule="exact"/>
              <w:rPr>
                <w:rFonts w:hint="eastAsia" w:ascii="楷体_GB2312" w:hAnsi="楷体_GB2312" w:eastAsia="楷体_GB2312" w:cs="楷体_GB2312"/>
                <w:kern w:val="0"/>
                <w:sz w:val="21"/>
                <w:szCs w:val="21"/>
              </w:rPr>
            </w:pPr>
            <w:r>
              <w:rPr>
                <w:rFonts w:hint="eastAsia" w:ascii="楷体_GB2312" w:hAnsi="楷体_GB2312" w:eastAsia="楷体_GB2312" w:cs="楷体_GB2312"/>
                <w:sz w:val="21"/>
                <w:szCs w:val="21"/>
              </w:rPr>
              <w:t>规范中介和市政公用服务</w:t>
            </w:r>
          </w:p>
        </w:tc>
        <w:tc>
          <w:tcPr>
            <w:tcW w:w="6478" w:type="dxa"/>
            <w:noWrap w:val="0"/>
            <w:vAlign w:val="top"/>
          </w:tcPr>
          <w:p>
            <w:pPr>
              <w:spacing w:line="320" w:lineRule="exact"/>
              <w:jc w:val="left"/>
              <w:rPr>
                <w:rFonts w:hint="eastAsia" w:ascii="仿宋_GB2312" w:hAnsi="仿宋" w:cs="宋体"/>
                <w:kern w:val="0"/>
                <w:sz w:val="21"/>
                <w:szCs w:val="21"/>
              </w:rPr>
            </w:pPr>
            <w:r>
              <w:rPr>
                <w:rFonts w:hint="eastAsia" w:ascii="仿宋_GB2312"/>
                <w:sz w:val="21"/>
                <w:szCs w:val="21"/>
              </w:rPr>
              <w:t>清理规范中介服务事项，健全中介服务市场体系，鼓励具有多种资质的综合性中介机构加快发展，进一步提升中介服务质量和效率。完善中介服务机构信用体系，依托工程建设项目审批管理系统建立中介服务网上交易平台，对中介服务行为实施全过程监管。</w:t>
            </w: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市住建局</w:t>
            </w:r>
          </w:p>
          <w:p>
            <w:pPr>
              <w:spacing w:line="320" w:lineRule="exact"/>
              <w:rPr>
                <w:rFonts w:hint="eastAsia" w:ascii="仿宋_GB2312"/>
                <w:sz w:val="21"/>
                <w:szCs w:val="21"/>
              </w:rPr>
            </w:pPr>
            <w:r>
              <w:rPr>
                <w:rFonts w:hint="eastAsia" w:ascii="仿宋_GB2312"/>
                <w:sz w:val="21"/>
                <w:szCs w:val="21"/>
              </w:rPr>
              <w:t>市市场监管局</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市政府各有关部门</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rPr>
              <w:t>2019年9月底前完成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23</w:t>
            </w:r>
          </w:p>
        </w:tc>
        <w:tc>
          <w:tcPr>
            <w:tcW w:w="872" w:type="dxa"/>
            <w:vMerge w:val="continue"/>
            <w:noWrap w:val="0"/>
            <w:vAlign w:val="top"/>
          </w:tcPr>
          <w:p>
            <w:pPr>
              <w:spacing w:line="320" w:lineRule="exact"/>
              <w:jc w:val="left"/>
              <w:rPr>
                <w:rFonts w:hint="eastAsia" w:ascii="仿宋_GB2312" w:hAnsi="仿宋" w:cs="宋体"/>
                <w:kern w:val="0"/>
                <w:sz w:val="21"/>
                <w:szCs w:val="21"/>
              </w:rPr>
            </w:pPr>
          </w:p>
        </w:tc>
        <w:tc>
          <w:tcPr>
            <w:tcW w:w="945" w:type="dxa"/>
            <w:vMerge w:val="continue"/>
            <w:noWrap w:val="0"/>
            <w:vAlign w:val="center"/>
          </w:tcPr>
          <w:p>
            <w:pPr>
              <w:spacing w:line="320" w:lineRule="exact"/>
              <w:rPr>
                <w:rFonts w:hint="eastAsia" w:ascii="楷体_GB2312" w:hAnsi="楷体_GB2312" w:eastAsia="楷体_GB2312" w:cs="楷体_GB2312"/>
                <w:kern w:val="0"/>
                <w:sz w:val="21"/>
                <w:szCs w:val="21"/>
              </w:rPr>
            </w:pPr>
          </w:p>
        </w:tc>
        <w:tc>
          <w:tcPr>
            <w:tcW w:w="6478" w:type="dxa"/>
            <w:noWrap w:val="0"/>
            <w:vAlign w:val="top"/>
          </w:tcPr>
          <w:p>
            <w:pPr>
              <w:spacing w:line="320" w:lineRule="exact"/>
              <w:jc w:val="left"/>
              <w:rPr>
                <w:rFonts w:hint="eastAsia" w:ascii="仿宋_GB2312" w:hAnsi="仿宋" w:cs="宋体"/>
                <w:kern w:val="0"/>
                <w:sz w:val="21"/>
                <w:szCs w:val="21"/>
              </w:rPr>
            </w:pPr>
            <w:r>
              <w:rPr>
                <w:rFonts w:hint="eastAsia" w:ascii="仿宋_GB2312"/>
                <w:sz w:val="21"/>
                <w:szCs w:val="21"/>
              </w:rPr>
              <w:t>对应由政府直接提供服务的公共服务事项以及政府履职所需服务事项，包括区域评估评价、施工图联合审查、航测图、规划控制线数据信息、建设项目选址及规划条件附图（控制性详细规划）制作、规划定线测量、规划开工验线测量及基础平口复测、竣工“多测合一”等技术服务事项，采取政府购买服务方式，交由具备条件的社会力量和事业单位承担，所需费用由市财政统一支付。</w:t>
            </w: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市发改委、资源规划局、住建局、财政局</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市政府各有关部门</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rPr>
              <w:t>2019年9月底前完成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24</w:t>
            </w:r>
          </w:p>
        </w:tc>
        <w:tc>
          <w:tcPr>
            <w:tcW w:w="872" w:type="dxa"/>
            <w:vMerge w:val="continue"/>
            <w:noWrap w:val="0"/>
            <w:vAlign w:val="top"/>
          </w:tcPr>
          <w:p>
            <w:pPr>
              <w:spacing w:line="320" w:lineRule="exact"/>
              <w:jc w:val="left"/>
              <w:rPr>
                <w:rFonts w:hint="eastAsia" w:ascii="仿宋_GB2312" w:hAnsi="仿宋" w:cs="宋体"/>
                <w:kern w:val="0"/>
                <w:sz w:val="21"/>
                <w:szCs w:val="21"/>
              </w:rPr>
            </w:pPr>
          </w:p>
        </w:tc>
        <w:tc>
          <w:tcPr>
            <w:tcW w:w="945" w:type="dxa"/>
            <w:vMerge w:val="continue"/>
            <w:noWrap w:val="0"/>
            <w:vAlign w:val="center"/>
          </w:tcPr>
          <w:p>
            <w:pPr>
              <w:spacing w:line="320" w:lineRule="exact"/>
              <w:rPr>
                <w:rFonts w:hint="eastAsia" w:ascii="楷体_GB2312" w:hAnsi="楷体_GB2312" w:eastAsia="楷体_GB2312" w:cs="楷体_GB2312"/>
                <w:kern w:val="0"/>
                <w:sz w:val="21"/>
                <w:szCs w:val="21"/>
              </w:rPr>
            </w:pPr>
          </w:p>
        </w:tc>
        <w:tc>
          <w:tcPr>
            <w:tcW w:w="6478" w:type="dxa"/>
            <w:noWrap w:val="0"/>
            <w:vAlign w:val="top"/>
          </w:tcPr>
          <w:p>
            <w:pPr>
              <w:spacing w:line="320" w:lineRule="exact"/>
              <w:jc w:val="left"/>
              <w:rPr>
                <w:rFonts w:hint="eastAsia" w:ascii="仿宋_GB2312" w:hAnsi="仿宋" w:cs="宋体"/>
                <w:kern w:val="0"/>
                <w:sz w:val="21"/>
                <w:szCs w:val="21"/>
              </w:rPr>
            </w:pPr>
            <w:r>
              <w:rPr>
                <w:rFonts w:hint="eastAsia" w:ascii="仿宋_GB2312"/>
                <w:sz w:val="21"/>
                <w:szCs w:val="21"/>
              </w:rPr>
              <w:t>供水、供电、燃气、热力、排水、通信等市政公用服务单位要全部入驻政务服务大厅，实行统一规范管理。建立健全中介服务和市政公用服务管理制度，明确服务标准和办事流程，规范服务收费，并实行服务承诺制。</w:t>
            </w: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市营商局</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市相关市政公用服务企业</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25</w:t>
            </w:r>
          </w:p>
        </w:tc>
        <w:tc>
          <w:tcPr>
            <w:tcW w:w="872" w:type="dxa"/>
            <w:vMerge w:val="restart"/>
            <w:noWrap w:val="0"/>
            <w:vAlign w:val="center"/>
          </w:tcPr>
          <w:p>
            <w:pPr>
              <w:spacing w:line="320" w:lineRule="exact"/>
              <w:jc w:val="center"/>
              <w:rPr>
                <w:rFonts w:hint="eastAsia" w:ascii="仿宋_GB2312" w:hAnsi="仿宋" w:cs="宋体"/>
                <w:kern w:val="0"/>
                <w:sz w:val="21"/>
                <w:szCs w:val="21"/>
              </w:rPr>
            </w:pPr>
            <w:r>
              <w:rPr>
                <w:rFonts w:hint="eastAsia" w:ascii="黑体" w:eastAsia="黑体"/>
                <w:sz w:val="21"/>
                <w:szCs w:val="21"/>
              </w:rPr>
              <w:t>统筹组织实施</w:t>
            </w:r>
          </w:p>
        </w:tc>
        <w:tc>
          <w:tcPr>
            <w:tcW w:w="945" w:type="dxa"/>
            <w:noWrap w:val="0"/>
            <w:vAlign w:val="center"/>
          </w:tcPr>
          <w:p>
            <w:pPr>
              <w:spacing w:line="320" w:lineRule="exact"/>
              <w:rPr>
                <w:rFonts w:hint="eastAsia" w:ascii="楷体_GB2312" w:hAnsi="楷体_GB2312" w:eastAsia="楷体_GB2312" w:cs="楷体_GB2312"/>
                <w:kern w:val="0"/>
                <w:sz w:val="21"/>
                <w:szCs w:val="21"/>
              </w:rPr>
            </w:pPr>
            <w:r>
              <w:rPr>
                <w:rFonts w:hint="eastAsia" w:ascii="楷体_GB2312" w:hAnsi="楷体_GB2312" w:eastAsia="楷体_GB2312" w:cs="楷体_GB2312"/>
                <w:sz w:val="21"/>
                <w:szCs w:val="21"/>
              </w:rPr>
              <w:t>加强沟通反馈和培训</w:t>
            </w:r>
          </w:p>
        </w:tc>
        <w:tc>
          <w:tcPr>
            <w:tcW w:w="6478" w:type="dxa"/>
            <w:noWrap w:val="0"/>
            <w:vAlign w:val="top"/>
          </w:tcPr>
          <w:p>
            <w:pPr>
              <w:spacing w:line="320" w:lineRule="exact"/>
              <w:jc w:val="left"/>
              <w:rPr>
                <w:rFonts w:hint="eastAsia" w:ascii="仿宋_GB2312" w:hAnsi="仿宋" w:cs="宋体"/>
                <w:kern w:val="0"/>
                <w:sz w:val="21"/>
                <w:szCs w:val="21"/>
              </w:rPr>
            </w:pPr>
            <w:r>
              <w:rPr>
                <w:rFonts w:hint="eastAsia" w:ascii="仿宋_GB2312"/>
                <w:sz w:val="21"/>
                <w:szCs w:val="21"/>
              </w:rPr>
              <w:t>建立市、区县（市）沟通反馈机制，及时研究解决改革中遇到的实际问题。采取集中培训、网络培训等方式，对相关负责人、工作人员和申请人进行业务培训，提高推动改革的能力和服务企业水平。</w:t>
            </w: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市住建局</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市政府各有关部门、</w:t>
            </w:r>
            <w:r>
              <w:rPr>
                <w:rFonts w:hint="eastAsia" w:ascii="仿宋_GB2312" w:hAnsi="仿宋_GB2312" w:cs="仿宋_GB2312"/>
                <w:sz w:val="21"/>
                <w:szCs w:val="21"/>
                <w:shd w:val="clear" w:color="auto" w:fill="FFFFFF"/>
              </w:rPr>
              <w:t>各区县（市）政府</w:t>
            </w:r>
          </w:p>
        </w:tc>
        <w:tc>
          <w:tcPr>
            <w:tcW w:w="1240" w:type="dxa"/>
            <w:noWrap w:val="0"/>
            <w:vAlign w:val="center"/>
          </w:tcPr>
          <w:p>
            <w:pPr>
              <w:spacing w:line="320" w:lineRule="exact"/>
              <w:jc w:val="center"/>
              <w:rPr>
                <w:rFonts w:hint="eastAsia" w:ascii="仿宋_GB2312"/>
                <w:sz w:val="21"/>
                <w:szCs w:val="21"/>
              </w:rPr>
            </w:pPr>
            <w:r>
              <w:rPr>
                <w:rFonts w:hint="eastAsia" w:ascii="仿宋_GB2312"/>
                <w:sz w:val="21"/>
                <w:szCs w:val="21"/>
              </w:rPr>
              <w:t>2019年12月底前完成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26</w:t>
            </w:r>
          </w:p>
        </w:tc>
        <w:tc>
          <w:tcPr>
            <w:tcW w:w="872" w:type="dxa"/>
            <w:vMerge w:val="continue"/>
            <w:noWrap w:val="0"/>
            <w:vAlign w:val="center"/>
          </w:tcPr>
          <w:p>
            <w:pPr>
              <w:spacing w:line="320" w:lineRule="exact"/>
              <w:rPr>
                <w:rFonts w:hint="eastAsia" w:ascii="仿宋_GB2312" w:hAnsi="仿宋" w:cs="宋体"/>
                <w:kern w:val="0"/>
                <w:sz w:val="21"/>
                <w:szCs w:val="21"/>
              </w:rPr>
            </w:pPr>
          </w:p>
        </w:tc>
        <w:tc>
          <w:tcPr>
            <w:tcW w:w="945" w:type="dxa"/>
            <w:noWrap w:val="0"/>
            <w:vAlign w:val="center"/>
          </w:tcPr>
          <w:p>
            <w:pPr>
              <w:spacing w:line="320" w:lineRule="exact"/>
              <w:rPr>
                <w:rFonts w:hint="eastAsia" w:ascii="楷体_GB2312" w:hAnsi="楷体_GB2312" w:eastAsia="楷体_GB2312" w:cs="楷体_GB2312"/>
                <w:kern w:val="0"/>
                <w:sz w:val="21"/>
                <w:szCs w:val="21"/>
              </w:rPr>
            </w:pPr>
            <w:r>
              <w:rPr>
                <w:rFonts w:hint="eastAsia" w:ascii="楷体_GB2312" w:hAnsi="楷体_GB2312" w:eastAsia="楷体_GB2312" w:cs="楷体_GB2312"/>
                <w:sz w:val="21"/>
                <w:szCs w:val="21"/>
              </w:rPr>
              <w:t>严格督促落实</w:t>
            </w:r>
          </w:p>
        </w:tc>
        <w:tc>
          <w:tcPr>
            <w:tcW w:w="6478" w:type="dxa"/>
            <w:noWrap w:val="0"/>
            <w:vAlign w:val="top"/>
          </w:tcPr>
          <w:p>
            <w:pPr>
              <w:spacing w:line="320" w:lineRule="exact"/>
              <w:jc w:val="left"/>
              <w:rPr>
                <w:rFonts w:hint="eastAsia" w:ascii="仿宋_GB2312" w:hAnsi="仿宋" w:cs="宋体"/>
                <w:kern w:val="0"/>
                <w:sz w:val="21"/>
                <w:szCs w:val="21"/>
              </w:rPr>
            </w:pPr>
            <w:r>
              <w:rPr>
                <w:rFonts w:hint="eastAsia" w:ascii="仿宋_GB2312"/>
                <w:sz w:val="21"/>
                <w:szCs w:val="21"/>
              </w:rPr>
              <w:t>建立专项督导制度，制定评估评价办法，引入第三方评估机构对改革进展进行全面评估。建立信息公开制度，改革方案、审批流程、审批事项清单、配套制度、评估评价标准、工作进度、评估评价结果和投诉举报核查情况，应当及时向社会公开，接受社会监督。</w:t>
            </w: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市营商局</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市政府各有关部门、</w:t>
            </w:r>
            <w:r>
              <w:rPr>
                <w:rFonts w:hint="eastAsia" w:ascii="仿宋_GB2312" w:hAnsi="仿宋_GB2312" w:cs="仿宋_GB2312"/>
                <w:sz w:val="21"/>
                <w:szCs w:val="21"/>
                <w:shd w:val="clear" w:color="auto" w:fill="FFFFFF"/>
              </w:rPr>
              <w:t>各区县（市）政府</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02" w:type="dxa"/>
            <w:noWrap w:val="0"/>
            <w:vAlign w:val="center"/>
          </w:tcPr>
          <w:p>
            <w:pPr>
              <w:spacing w:line="320" w:lineRule="exact"/>
              <w:jc w:val="center"/>
              <w:rPr>
                <w:rFonts w:hint="eastAsia" w:ascii="仿宋_GB2312" w:hAnsi="仿宋" w:cs="宋体"/>
                <w:kern w:val="0"/>
                <w:sz w:val="21"/>
                <w:szCs w:val="21"/>
              </w:rPr>
            </w:pPr>
            <w:r>
              <w:rPr>
                <w:rFonts w:hint="eastAsia" w:ascii="仿宋_GB2312" w:hAnsi="仿宋" w:cs="宋体"/>
                <w:kern w:val="0"/>
                <w:sz w:val="21"/>
                <w:szCs w:val="21"/>
              </w:rPr>
              <w:t>27</w:t>
            </w:r>
          </w:p>
        </w:tc>
        <w:tc>
          <w:tcPr>
            <w:tcW w:w="872" w:type="dxa"/>
            <w:vMerge w:val="continue"/>
            <w:noWrap w:val="0"/>
            <w:vAlign w:val="center"/>
          </w:tcPr>
          <w:p>
            <w:pPr>
              <w:spacing w:line="320" w:lineRule="exact"/>
              <w:rPr>
                <w:rFonts w:hint="eastAsia" w:ascii="仿宋_GB2312" w:hAnsi="仿宋" w:cs="宋体"/>
                <w:kern w:val="0"/>
                <w:sz w:val="21"/>
                <w:szCs w:val="21"/>
              </w:rPr>
            </w:pPr>
          </w:p>
        </w:tc>
        <w:tc>
          <w:tcPr>
            <w:tcW w:w="945" w:type="dxa"/>
            <w:noWrap w:val="0"/>
            <w:vAlign w:val="center"/>
          </w:tcPr>
          <w:p>
            <w:pPr>
              <w:spacing w:line="320" w:lineRule="exact"/>
              <w:rPr>
                <w:rFonts w:hint="eastAsia" w:ascii="楷体_GB2312" w:hAnsi="楷体_GB2312" w:eastAsia="楷体_GB2312" w:cs="楷体_GB2312"/>
                <w:kern w:val="0"/>
                <w:sz w:val="21"/>
                <w:szCs w:val="21"/>
              </w:rPr>
            </w:pPr>
            <w:r>
              <w:rPr>
                <w:rFonts w:hint="eastAsia" w:ascii="楷体_GB2312" w:hAnsi="楷体_GB2312" w:eastAsia="楷体_GB2312" w:cs="楷体_GB2312"/>
                <w:sz w:val="21"/>
                <w:szCs w:val="21"/>
              </w:rPr>
              <w:t>做好宣传引导</w:t>
            </w:r>
          </w:p>
        </w:tc>
        <w:tc>
          <w:tcPr>
            <w:tcW w:w="6478" w:type="dxa"/>
            <w:noWrap w:val="0"/>
            <w:vAlign w:val="top"/>
          </w:tcPr>
          <w:p>
            <w:pPr>
              <w:spacing w:line="320" w:lineRule="exact"/>
              <w:jc w:val="left"/>
              <w:rPr>
                <w:rFonts w:hint="eastAsia" w:ascii="仿宋_GB2312" w:hAnsi="仿宋" w:cs="宋体"/>
                <w:kern w:val="0"/>
                <w:sz w:val="21"/>
                <w:szCs w:val="21"/>
              </w:rPr>
            </w:pPr>
            <w:r>
              <w:rPr>
                <w:rFonts w:hint="eastAsia" w:ascii="仿宋_GB2312"/>
                <w:sz w:val="21"/>
                <w:szCs w:val="21"/>
              </w:rPr>
              <w:t>通过报刊、广播、电视、互联网等媒介，广泛宣传工程建设项目审批制度改革的政策措施、工作进展和阶段成果，及时回应群众关切，为顺利推进改革工作营造良好的舆论环境。</w:t>
            </w:r>
          </w:p>
        </w:tc>
        <w:tc>
          <w:tcPr>
            <w:tcW w:w="1417" w:type="dxa"/>
            <w:noWrap w:val="0"/>
            <w:vAlign w:val="center"/>
          </w:tcPr>
          <w:p>
            <w:pPr>
              <w:spacing w:line="320" w:lineRule="exact"/>
              <w:rPr>
                <w:rFonts w:hint="eastAsia" w:ascii="仿宋_GB2312"/>
                <w:sz w:val="21"/>
                <w:szCs w:val="21"/>
              </w:rPr>
            </w:pPr>
            <w:r>
              <w:rPr>
                <w:rFonts w:hint="eastAsia" w:ascii="仿宋_GB2312"/>
                <w:sz w:val="21"/>
                <w:szCs w:val="21"/>
              </w:rPr>
              <w:t>市营商局</w:t>
            </w:r>
          </w:p>
        </w:tc>
        <w:tc>
          <w:tcPr>
            <w:tcW w:w="1418" w:type="dxa"/>
            <w:noWrap w:val="0"/>
            <w:vAlign w:val="center"/>
          </w:tcPr>
          <w:p>
            <w:pPr>
              <w:spacing w:line="320" w:lineRule="exact"/>
              <w:rPr>
                <w:rFonts w:hint="eastAsia" w:ascii="仿宋_GB2312"/>
                <w:sz w:val="21"/>
                <w:szCs w:val="21"/>
              </w:rPr>
            </w:pPr>
            <w:r>
              <w:rPr>
                <w:rFonts w:hint="eastAsia" w:ascii="仿宋_GB2312"/>
                <w:sz w:val="21"/>
                <w:szCs w:val="21"/>
              </w:rPr>
              <w:t>市政府各有关部门、</w:t>
            </w:r>
            <w:r>
              <w:rPr>
                <w:rFonts w:hint="eastAsia" w:ascii="仿宋_GB2312" w:hAnsi="仿宋_GB2312" w:cs="仿宋_GB2312"/>
                <w:sz w:val="21"/>
                <w:szCs w:val="21"/>
                <w:shd w:val="clear" w:color="auto" w:fill="FFFFFF"/>
              </w:rPr>
              <w:t>各区县（市）政府</w:t>
            </w:r>
          </w:p>
        </w:tc>
        <w:tc>
          <w:tcPr>
            <w:tcW w:w="1240" w:type="dxa"/>
            <w:noWrap w:val="0"/>
            <w:vAlign w:val="center"/>
          </w:tcPr>
          <w:p>
            <w:pPr>
              <w:spacing w:line="320" w:lineRule="exact"/>
              <w:rPr>
                <w:rFonts w:hint="eastAsia" w:ascii="仿宋_GB2312"/>
                <w:sz w:val="21"/>
                <w:szCs w:val="21"/>
              </w:rPr>
            </w:pPr>
            <w:r>
              <w:rPr>
                <w:rFonts w:hint="eastAsia" w:ascii="仿宋_GB2312"/>
                <w:sz w:val="21"/>
                <w:szCs w:val="21"/>
              </w:rPr>
              <w:t>持续推进</w:t>
            </w: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sz w:val="44"/>
          <w:szCs w:val="44"/>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403F7"/>
    <w:rsid w:val="42040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2019-08-06T03:38:00Z</dcterms:created>
  <dc:creator>子焉</dc:creator>
  <cp:lastModifiedBy>子焉</cp:lastModifiedBy>
  <dcterms:modified xsi:type="dcterms:W3CDTF">2019-08-06T03:39:04Z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