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附件 </w:t>
      </w:r>
    </w:p>
    <w:p>
      <w:pPr>
        <w:spacing w:line="600" w:lineRule="exact"/>
        <w:jc w:val="center"/>
        <w:rPr>
          <w:rFonts w:hint="eastAsia" w:ascii="黑体" w:eastAsia="黑体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哈尔滨市老年人照顾服务项目清单</w:t>
      </w:r>
      <w:bookmarkEnd w:id="0"/>
      <w:r>
        <w:rPr>
          <w:rFonts w:hint="eastAsia" w:ascii="黑体" w:eastAsia="黑体"/>
        </w:rPr>
        <w:t xml:space="preserve"> </w:t>
      </w:r>
    </w:p>
    <w:p>
      <w:pPr>
        <w:autoSpaceDE w:val="0"/>
        <w:spacing w:line="400" w:lineRule="exact"/>
        <w:ind w:left="-304" w:leftChars="-95" w:right="-141" w:rightChars="-44" w:firstLine="640" w:firstLineChars="200"/>
        <w:jc w:val="center"/>
        <w:rPr>
          <w:rFonts w:hint="eastAsia" w:ascii="黑体" w:hAnsi="宋体" w:eastAsia="黑体" w:cs="方正小标宋简体"/>
        </w:rPr>
      </w:pPr>
      <w:r>
        <w:rPr>
          <w:rFonts w:hint="eastAsia" w:ascii="黑体" w:hAnsi="宋体" w:eastAsia="黑体" w:cs="方正小标宋简体"/>
        </w:rPr>
        <w:t>清单1.居家社区养老服务项目清单</w:t>
      </w:r>
    </w:p>
    <w:p>
      <w:pPr>
        <w:autoSpaceDE w:val="0"/>
        <w:spacing w:line="500" w:lineRule="exact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</w:rPr>
        <w:t>第一项 生活帮助服务项目</w:t>
      </w:r>
    </w:p>
    <w:tbl>
      <w:tblPr>
        <w:tblStyle w:val="5"/>
        <w:tblW w:w="88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390"/>
        <w:gridCol w:w="5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服务类别</w:t>
            </w: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2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家庭保洁服务</w:t>
            </w: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室内保洁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玻璃清洁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除尘除螨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2</w:t>
            </w:r>
          </w:p>
        </w:tc>
        <w:tc>
          <w:tcPr>
            <w:tcW w:w="2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家电清洗维修服务</w:t>
            </w: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空调清洗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电脑清洗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吸油烟机清洗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燃气灶具清洗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洗衣机清洗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冰箱清洗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饮水机清洗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全车内饰全部清洗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沙发保洁清洗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电脑维修、保养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冰箱维修、保养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洗衣机维修、保养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电视机维修、保养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吸油烟机维修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燃气灶具维修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3</w:t>
            </w:r>
          </w:p>
        </w:tc>
        <w:tc>
          <w:tcPr>
            <w:tcW w:w="2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室内维修服务</w:t>
            </w: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下水管道疏通维修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马桶水箱维修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电线线路布线维修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卫生间综合维修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家具拆装维修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厨房、卫生间返烟返味处理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自来水管路安装维修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灯具安装维修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4</w:t>
            </w:r>
          </w:p>
        </w:tc>
        <w:tc>
          <w:tcPr>
            <w:tcW w:w="2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居家照护</w:t>
            </w: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上门助浴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接至机构助浴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陪浴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上门理发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制作家庭餐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推拿按摩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搀扶、背负上下楼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5</w:t>
            </w:r>
          </w:p>
        </w:tc>
        <w:tc>
          <w:tcPr>
            <w:tcW w:w="2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家庭便利服务</w:t>
            </w: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送餐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送花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送蛋糕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上门配送蔬菜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搬家运输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技术开锁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更换锁芯锁体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家电及手机应用指导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6</w:t>
            </w:r>
          </w:p>
        </w:tc>
        <w:tc>
          <w:tcPr>
            <w:tcW w:w="2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跑腿代办服务</w:t>
            </w: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预订机票车票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商品代购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同城快递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接送人、物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预订酒店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代人祭扫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7</w:t>
            </w:r>
          </w:p>
        </w:tc>
        <w:tc>
          <w:tcPr>
            <w:tcW w:w="2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助医服务</w:t>
            </w: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预约挂号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陪医就诊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预约专家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8</w:t>
            </w:r>
          </w:p>
        </w:tc>
        <w:tc>
          <w:tcPr>
            <w:tcW w:w="2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病人护理</w:t>
            </w: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住院护理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居家护理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9</w:t>
            </w:r>
          </w:p>
        </w:tc>
        <w:tc>
          <w:tcPr>
            <w:tcW w:w="2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健康关爱服务</w:t>
            </w: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上门检测血压、血糖、心率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建立健康档案及管理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健康数据检测及指导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养生保健指导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营养健康咨询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就医用药提醒及指导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10</w:t>
            </w:r>
          </w:p>
        </w:tc>
        <w:tc>
          <w:tcPr>
            <w:tcW w:w="2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精神慰藉服务</w:t>
            </w: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心理疏导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精神慰藉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主动关怀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11</w:t>
            </w:r>
          </w:p>
        </w:tc>
        <w:tc>
          <w:tcPr>
            <w:tcW w:w="2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特色服务</w:t>
            </w: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有偿回收旧衣物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有偿回收旧家电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接送宠物就医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24小时送药服务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 xml:space="preserve">居家老年人陪护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61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医院老年人陪护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autoSpaceDE w:val="0"/>
        <w:spacing w:line="500" w:lineRule="exact"/>
        <w:jc w:val="center"/>
        <w:rPr>
          <w:rFonts w:hint="eastAsia" w:ascii="宋体" w:hAnsi="宋体" w:eastAsia="宋体" w:cs="仿宋_GB2312"/>
          <w:b/>
          <w:bCs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</w:rPr>
        <w:t xml:space="preserve"> </w:t>
      </w:r>
    </w:p>
    <w:p>
      <w:pPr>
        <w:autoSpaceDE w:val="0"/>
        <w:spacing w:line="500" w:lineRule="exact"/>
        <w:jc w:val="center"/>
        <w:rPr>
          <w:rFonts w:hint="eastAsia" w:ascii="宋体" w:hAnsi="宋体" w:eastAsia="宋体" w:cs="仿宋_GB2312"/>
          <w:b/>
          <w:bCs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</w:rPr>
        <w:t>第二项 老年人数据信息管理类服务项目</w:t>
      </w:r>
    </w:p>
    <w:tbl>
      <w:tblPr>
        <w:tblStyle w:val="5"/>
        <w:tblW w:w="88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685"/>
        <w:gridCol w:w="5319"/>
      </w:tblGrid>
      <w:tr>
        <w:tblPrEx>
          <w:tblLayout w:type="fixed"/>
        </w:tblPrEx>
        <w:trPr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ind w:right="-141" w:rightChars="-44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ind w:left="-304" w:leftChars="-95" w:right="-141" w:rightChars="-44" w:firstLine="56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服务类别</w:t>
            </w:r>
          </w:p>
        </w:tc>
        <w:tc>
          <w:tcPr>
            <w:tcW w:w="5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老年人数据信息采集</w:t>
            </w:r>
          </w:p>
        </w:tc>
        <w:tc>
          <w:tcPr>
            <w:tcW w:w="5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以街道和社区为单位，通过公益助老行活动、发放爱心手环等形式，采集老年人基础信息。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老年人数据信息分析</w:t>
            </w:r>
          </w:p>
        </w:tc>
        <w:tc>
          <w:tcPr>
            <w:tcW w:w="5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为老年人提供健康数据分析服务，为各级政府相关部门提供决策依据，为养老服务产业提供市场导引依据。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为老年人建立健康档案</w:t>
            </w:r>
          </w:p>
        </w:tc>
        <w:tc>
          <w:tcPr>
            <w:tcW w:w="5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为老年人建立基本信息和健康信息档案，为主动关怀等服务提供数据支撑。</w:t>
            </w:r>
          </w:p>
        </w:tc>
      </w:tr>
    </w:tbl>
    <w:p>
      <w:pPr>
        <w:autoSpaceDE w:val="0"/>
        <w:spacing w:line="500" w:lineRule="exact"/>
        <w:jc w:val="center"/>
        <w:rPr>
          <w:rFonts w:hint="eastAsia" w:ascii="宋体" w:hAnsi="宋体" w:eastAsia="宋体" w:cs="仿宋_GB2312"/>
          <w:b/>
          <w:bCs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</w:rPr>
        <w:t xml:space="preserve"> </w:t>
      </w:r>
    </w:p>
    <w:p>
      <w:pPr>
        <w:autoSpaceDE w:val="0"/>
        <w:spacing w:line="500" w:lineRule="exact"/>
        <w:jc w:val="center"/>
        <w:rPr>
          <w:rFonts w:hint="eastAsia" w:ascii="宋体" w:hAnsi="宋体" w:eastAsia="宋体" w:cs="仿宋_GB2312"/>
          <w:b/>
          <w:bCs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</w:rPr>
        <w:t>第三项 民政办事流程咨询服务项目</w:t>
      </w:r>
    </w:p>
    <w:tbl>
      <w:tblPr>
        <w:tblStyle w:val="5"/>
        <w:tblW w:w="88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95"/>
        <w:gridCol w:w="46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ind w:right="-141" w:rightChars="-44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ind w:left="-304" w:leftChars="-95" w:right="-141" w:rightChars="-44" w:firstLine="56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服务类别</w:t>
            </w:r>
          </w:p>
        </w:tc>
        <w:tc>
          <w:tcPr>
            <w:tcW w:w="4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民政服务咨询</w:t>
            </w:r>
          </w:p>
        </w:tc>
        <w:tc>
          <w:tcPr>
            <w:tcW w:w="4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民政相关服务的政策解答、办事流程、服务地址、咨询电话等，记录和反馈相关信息。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民政服务咨询数据统计分析</w:t>
            </w:r>
          </w:p>
        </w:tc>
        <w:tc>
          <w:tcPr>
            <w:tcW w:w="4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通过数据统计分析，为民政部门协调内部资源、提高办事效率、畅通民意提供大数据服务。</w:t>
            </w:r>
          </w:p>
        </w:tc>
      </w:tr>
    </w:tbl>
    <w:p>
      <w:pPr>
        <w:autoSpaceDE w:val="0"/>
        <w:spacing w:line="500" w:lineRule="exact"/>
        <w:jc w:val="center"/>
        <w:rPr>
          <w:rFonts w:hint="eastAsia" w:ascii="宋体" w:hAnsi="宋体" w:eastAsia="宋体" w:cs="仿宋_GB2312"/>
          <w:b/>
          <w:bCs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</w:rPr>
        <w:t xml:space="preserve"> </w:t>
      </w:r>
    </w:p>
    <w:p>
      <w:pPr>
        <w:autoSpaceDE w:val="0"/>
        <w:spacing w:line="500" w:lineRule="exact"/>
        <w:jc w:val="center"/>
        <w:rPr>
          <w:rFonts w:hint="eastAsia" w:ascii="宋体" w:hAnsi="宋体" w:eastAsia="宋体" w:cs="仿宋_GB2312"/>
          <w:b/>
          <w:bCs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</w:rPr>
        <w:t>第四项 养老服务评估服务项目</w:t>
      </w:r>
    </w:p>
    <w:tbl>
      <w:tblPr>
        <w:tblStyle w:val="5"/>
        <w:tblW w:w="88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95"/>
        <w:gridCol w:w="46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服务类别</w:t>
            </w:r>
          </w:p>
        </w:tc>
        <w:tc>
          <w:tcPr>
            <w:tcW w:w="4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养老机构等级评估</w:t>
            </w:r>
          </w:p>
        </w:tc>
        <w:tc>
          <w:tcPr>
            <w:tcW w:w="4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按照标准化流程，对养老机构进行评估打分，为养老机构在建设、运营等方面提供指导，为政府相关部门提供客观详实的数据服务。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老年人能力等级评估</w:t>
            </w:r>
          </w:p>
        </w:tc>
        <w:tc>
          <w:tcPr>
            <w:tcW w:w="4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对有需求的老年人的身体状况进行评估，并将评估结果报送民政部门，为政府决策提供依据，为老年人能力的评定提供客观数据支撑。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政府购买养老服务项目评估</w:t>
            </w:r>
          </w:p>
        </w:tc>
        <w:tc>
          <w:tcPr>
            <w:tcW w:w="4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针对政府购买服务项目的服务过程，提供服务评估，为政府相关部门提供客观评定依据。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12349助老公益服务平台加盟企业服务质量评估</w:t>
            </w:r>
          </w:p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对12349加盟企业服务时间、服务质量、服务价格等方面进行跟踪评估，为规范加盟企业、提升为老服务水平提供指导。</w:t>
            </w:r>
          </w:p>
        </w:tc>
      </w:tr>
    </w:tbl>
    <w:p>
      <w:pPr>
        <w:autoSpaceDE w:val="0"/>
        <w:spacing w:line="500" w:lineRule="exact"/>
        <w:jc w:val="center"/>
        <w:rPr>
          <w:rFonts w:hint="eastAsia" w:ascii="宋体" w:hAnsi="宋体" w:eastAsia="宋体" w:cs="仿宋_GB2312"/>
          <w:b/>
          <w:bCs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</w:rPr>
        <w:t xml:space="preserve"> </w:t>
      </w:r>
    </w:p>
    <w:p>
      <w:pPr>
        <w:autoSpaceDE w:val="0"/>
        <w:spacing w:line="500" w:lineRule="exact"/>
        <w:jc w:val="center"/>
        <w:rPr>
          <w:rFonts w:hint="eastAsia" w:ascii="宋体" w:hAnsi="宋体" w:eastAsia="宋体" w:cs="仿宋_GB2312"/>
          <w:b/>
          <w:bCs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</w:rPr>
        <w:t>第五项  养老产业孵化服务项目</w:t>
      </w:r>
    </w:p>
    <w:tbl>
      <w:tblPr>
        <w:tblStyle w:val="5"/>
        <w:tblW w:w="88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95"/>
        <w:gridCol w:w="46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服务类别</w:t>
            </w:r>
          </w:p>
        </w:tc>
        <w:tc>
          <w:tcPr>
            <w:tcW w:w="4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服务项目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涉老企业、社会组织指导服务</w:t>
            </w:r>
          </w:p>
        </w:tc>
        <w:tc>
          <w:tcPr>
            <w:tcW w:w="4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为全市涉老企业、养老机构、社会组织提供政策解读、资金引导、资源整合、人才培养、运营托管等服务。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公益创投指导服务</w:t>
            </w:r>
          </w:p>
        </w:tc>
        <w:tc>
          <w:tcPr>
            <w:tcW w:w="4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为社会组织提供公益创投方面政策导向、需求分析、团队建设、运营管理等方面服务。</w:t>
            </w:r>
          </w:p>
        </w:tc>
      </w:tr>
    </w:tbl>
    <w:p>
      <w:pPr>
        <w:autoSpaceDE w:val="0"/>
        <w:spacing w:line="500" w:lineRule="exact"/>
        <w:jc w:val="center"/>
        <w:rPr>
          <w:rFonts w:hint="eastAsia" w:ascii="宋体" w:hAnsi="宋体" w:eastAsia="宋体" w:cs="仿宋_GB2312"/>
          <w:b/>
          <w:bCs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</w:rPr>
        <w:t xml:space="preserve"> </w:t>
      </w:r>
    </w:p>
    <w:p>
      <w:pPr>
        <w:autoSpaceDE w:val="0"/>
        <w:spacing w:line="500" w:lineRule="exact"/>
        <w:jc w:val="center"/>
        <w:rPr>
          <w:rFonts w:hint="eastAsia" w:ascii="宋体" w:hAnsi="宋体" w:eastAsia="宋体" w:cs="仿宋_GB2312"/>
          <w:b/>
          <w:bCs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</w:rPr>
        <w:t>第六项  旅居养老服务项目</w:t>
      </w:r>
    </w:p>
    <w:tbl>
      <w:tblPr>
        <w:tblStyle w:val="5"/>
        <w:tblW w:w="88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95"/>
        <w:gridCol w:w="4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服务类别</w:t>
            </w:r>
          </w:p>
        </w:tc>
        <w:tc>
          <w:tcPr>
            <w:tcW w:w="4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服务项目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为老年人提供线上订单服务</w:t>
            </w:r>
          </w:p>
        </w:tc>
        <w:tc>
          <w:tcPr>
            <w:tcW w:w="4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通过黑龙江天鹅颐养联盟旅居养老服务平台、哈尔滨市12349智慧旅居养老服务平台，为老年人提供线上预定、咨询、支付等服务。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为养老机构提供中介服务</w:t>
            </w:r>
          </w:p>
        </w:tc>
        <w:tc>
          <w:tcPr>
            <w:tcW w:w="4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按照老年人需求，将老年人推介给可提供旅居养老服务的养老机构，提供全过程服务。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为景区、景点提供转介服务</w:t>
            </w:r>
          </w:p>
        </w:tc>
        <w:tc>
          <w:tcPr>
            <w:tcW w:w="4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为景区、景点提供老年人需求信息、需求信息分析等服务和反馈。</w:t>
            </w:r>
          </w:p>
        </w:tc>
      </w:tr>
    </w:tbl>
    <w:p>
      <w:pPr>
        <w:autoSpaceDE w:val="0"/>
        <w:spacing w:line="500" w:lineRule="exact"/>
        <w:jc w:val="center"/>
        <w:rPr>
          <w:rFonts w:hint="eastAsia" w:ascii="宋体" w:hAnsi="宋体" w:eastAsia="宋体" w:cs="仿宋_GB2312"/>
          <w:b/>
          <w:bCs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</w:rPr>
        <w:t xml:space="preserve"> </w:t>
      </w:r>
    </w:p>
    <w:p>
      <w:pPr>
        <w:autoSpaceDE w:val="0"/>
        <w:spacing w:line="500" w:lineRule="exact"/>
        <w:jc w:val="center"/>
        <w:rPr>
          <w:rFonts w:hint="eastAsia" w:ascii="宋体" w:hAnsi="宋体" w:eastAsia="宋体" w:cs="仿宋_GB2312"/>
          <w:b/>
          <w:bCs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</w:rPr>
        <w:t>第七项 为老服务云数据远程监管服务项目</w:t>
      </w:r>
    </w:p>
    <w:tbl>
      <w:tblPr>
        <w:tblStyle w:val="5"/>
        <w:tblW w:w="88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95"/>
        <w:gridCol w:w="47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服务类别</w:t>
            </w:r>
          </w:p>
        </w:tc>
        <w:tc>
          <w:tcPr>
            <w:tcW w:w="4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服务项目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养老机构远程监管服务</w:t>
            </w:r>
          </w:p>
        </w:tc>
        <w:tc>
          <w:tcPr>
            <w:tcW w:w="4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为养老机构提供远程监控和监管服务，及时发现老年人活动情况及服务和管理情况。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日间照料中心远程监管服务</w:t>
            </w:r>
          </w:p>
        </w:tc>
        <w:tc>
          <w:tcPr>
            <w:tcW w:w="4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为日间照料中心提供远程监控和监管服务，及时发现老年人活动情况及服务和管理情况。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为老服务远程监管服务</w:t>
            </w:r>
          </w:p>
        </w:tc>
        <w:tc>
          <w:tcPr>
            <w:tcW w:w="4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向提供为老服务的社会组织的为老服务提供远程监管、远程指导服务。</w:t>
            </w:r>
          </w:p>
        </w:tc>
      </w:tr>
    </w:tbl>
    <w:p>
      <w:pPr>
        <w:autoSpaceDE w:val="0"/>
        <w:spacing w:line="500" w:lineRule="exact"/>
        <w:jc w:val="center"/>
        <w:rPr>
          <w:rFonts w:hint="eastAsia" w:ascii="宋体" w:hAnsi="宋体" w:eastAsia="宋体" w:cs="仿宋_GB2312"/>
          <w:b/>
          <w:bCs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</w:rPr>
        <w:t xml:space="preserve"> </w:t>
      </w:r>
    </w:p>
    <w:p>
      <w:pPr>
        <w:autoSpaceDE w:val="0"/>
        <w:spacing w:line="500" w:lineRule="exact"/>
        <w:jc w:val="center"/>
        <w:rPr>
          <w:rFonts w:hint="eastAsia" w:ascii="宋体" w:hAnsi="宋体" w:eastAsia="宋体" w:cs="仿宋_GB2312"/>
          <w:b/>
          <w:bCs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sz w:val="28"/>
          <w:szCs w:val="28"/>
        </w:rPr>
        <w:t>第八项  老年人健康及行为管理服务项目</w:t>
      </w:r>
    </w:p>
    <w:tbl>
      <w:tblPr>
        <w:tblStyle w:val="5"/>
        <w:tblW w:w="87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95"/>
        <w:gridCol w:w="45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服务类别</w:t>
            </w:r>
          </w:p>
        </w:tc>
        <w:tc>
          <w:tcPr>
            <w:tcW w:w="4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老年人健康管理服务</w:t>
            </w:r>
          </w:p>
        </w:tc>
        <w:tc>
          <w:tcPr>
            <w:tcW w:w="4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配备健康管理类可穿戴设备、便携式健康监测设备、自助式健康检测设备、智能养老监护设备，满足老年人多样化、个性化健康养老服务需求。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90" w:lineRule="atLeas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90" w:lineRule="atLeas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老年人行为管理服务</w:t>
            </w:r>
          </w:p>
        </w:tc>
        <w:tc>
          <w:tcPr>
            <w:tcW w:w="4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90" w:lineRule="atLeas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通过健康数据检测及分析，为老年人提供防跌倒、防中风和高血压等预警和健康指导，同时通过智能监护检测设备，实时掌握老人健康状况。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家庭医生团队签约服务</w:t>
            </w:r>
          </w:p>
        </w:tc>
        <w:tc>
          <w:tcPr>
            <w:tcW w:w="4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每年为60周岁以上失独老人以及65周岁以上老年人至少提供一次免费健康体检和健康指导，并逐步增加免费体检项目。实施就医优惠服务、预约就诊、优先转诊、转诊绿色通道等。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精准定位服务</w:t>
            </w:r>
          </w:p>
        </w:tc>
        <w:tc>
          <w:tcPr>
            <w:tcW w:w="4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对老年人进行实时精准定位，在老年人遇到突发情况时，能够及时获取老年人的位置信息，实现最高效率的紧急救助；对有精神障碍失能、半失能等老年人，设定电子围栏，超出电子围栏设定范围系统会及时提醒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5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远程关爱服务</w:t>
            </w:r>
          </w:p>
        </w:tc>
        <w:tc>
          <w:tcPr>
            <w:tcW w:w="4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通过智能终端设备及软件(APP)，实现对老年人的行为管理，建立子女和老年人之间亲情关爱体系，让子女更加了解老年人的实时健康信息、生活信息及动态信息。</w:t>
            </w:r>
          </w:p>
        </w:tc>
      </w:tr>
    </w:tbl>
    <w:p>
      <w:pPr>
        <w:autoSpaceDE w:val="0"/>
        <w:spacing w:line="500" w:lineRule="exact"/>
        <w:ind w:left="-304" w:leftChars="-95" w:right="-141" w:rightChars="-44" w:firstLine="64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 </w:t>
      </w:r>
    </w:p>
    <w:p>
      <w:pPr>
        <w:autoSpaceDE w:val="0"/>
        <w:spacing w:line="500" w:lineRule="exact"/>
        <w:ind w:left="-304" w:leftChars="-95" w:right="-141" w:rightChars="-44" w:firstLine="640" w:firstLineChars="200"/>
        <w:rPr>
          <w:rFonts w:hint="eastAsia"/>
        </w:rPr>
      </w:pPr>
      <w:r>
        <w:rPr>
          <w:rFonts w:hint="eastAsia" w:ascii="仿宋" w:hAnsi="仿宋" w:eastAsia="仿宋"/>
        </w:rPr>
        <w:t xml:space="preserve">      </w:t>
      </w:r>
      <w:r>
        <w:rPr>
          <w:rFonts w:hint="eastAsia" w:ascii="黑体" w:hAnsi="宋体" w:eastAsia="黑体"/>
        </w:rPr>
        <w:t>清单2.老年人基本公共文体服务项目清单</w:t>
      </w:r>
    </w:p>
    <w:tbl>
      <w:tblPr>
        <w:tblStyle w:val="5"/>
        <w:tblW w:w="87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748"/>
        <w:gridCol w:w="51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服务类别</w:t>
            </w: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服务项目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27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公共图书馆</w:t>
            </w: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场馆免费向老年人开放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提供学习资料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提供培训资料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提供大字阅读设备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提供触屏读报设备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提供免费饮水服务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提供免费老年常见病应急药物服务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2</w:t>
            </w:r>
          </w:p>
        </w:tc>
        <w:tc>
          <w:tcPr>
            <w:tcW w:w="27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群众艺术馆（文化馆）</w:t>
            </w: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场馆免费向老年人开放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提供辅导艺术创作服务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提供指导文化活动服务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提供培训文艺能人服务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提供辅导文艺团队服务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提供与养老院、敬老院结对子服务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提供到养老院、敬老院开展各类文化活动服务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提供免费饮水服务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提供免费老年常见病应急药物服务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3</w:t>
            </w:r>
          </w:p>
        </w:tc>
        <w:tc>
          <w:tcPr>
            <w:tcW w:w="27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乡镇（街道）、村（社区）文化服务</w:t>
            </w: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提供文化活动室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设立图书室、图书角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组织开展文化活动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4</w:t>
            </w:r>
          </w:p>
        </w:tc>
        <w:tc>
          <w:tcPr>
            <w:tcW w:w="27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老年大学分校</w:t>
            </w: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组织教育培训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组织开展教学活动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5</w:t>
            </w:r>
          </w:p>
        </w:tc>
        <w:tc>
          <w:tcPr>
            <w:tcW w:w="2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公共体育场馆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提供免费科学健身指导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提供免费健身器材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提供免费体育活动场所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定期组织老年人健身活动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6</w:t>
            </w:r>
          </w:p>
        </w:tc>
        <w:tc>
          <w:tcPr>
            <w:tcW w:w="27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乡镇（街道）、村（社区）体育服务</w:t>
            </w: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提供免费体育活动场所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提供免费健身器材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定期组织老年人健身活动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7</w:t>
            </w:r>
          </w:p>
        </w:tc>
        <w:tc>
          <w:tcPr>
            <w:tcW w:w="27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公共博物馆（含文物建筑、遗址类博物馆）免费开放服务（财政发放免费开放资金的博物馆、纪念馆）</w:t>
            </w: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免费向老年人开放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提供免费饮水服务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提供免费使用轮椅服务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提供免费老年常见病应急药物服务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为10人以上老年人（60周岁以上）团队提供免费讲解服务</w:t>
            </w:r>
          </w:p>
        </w:tc>
      </w:tr>
    </w:tbl>
    <w:p>
      <w:pPr>
        <w:autoSpaceDE w:val="0"/>
        <w:spacing w:line="500" w:lineRule="exact"/>
        <w:rPr>
          <w:rFonts w:ascii="仿宋_GB2312"/>
        </w:rPr>
      </w:pPr>
      <w:r>
        <w:rPr>
          <w:rFonts w:hint="eastAsia" w:ascii="仿宋_GB2312"/>
        </w:rPr>
        <w:t xml:space="preserve"> </w:t>
      </w:r>
    </w:p>
    <w:p>
      <w:pPr>
        <w:autoSpaceDE w:val="0"/>
        <w:spacing w:line="500" w:lineRule="exact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autoSpaceDE w:val="0"/>
        <w:spacing w:line="500" w:lineRule="exact"/>
        <w:jc w:val="center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清单3.养老服务支持配套政策项目清单</w:t>
      </w:r>
    </w:p>
    <w:tbl>
      <w:tblPr>
        <w:tblStyle w:val="5"/>
        <w:tblW w:w="88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748"/>
        <w:gridCol w:w="52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政策类别</w:t>
            </w:r>
          </w:p>
        </w:tc>
        <w:tc>
          <w:tcPr>
            <w:tcW w:w="5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政策服务项目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2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养老服务技能培训</w:t>
            </w:r>
          </w:p>
        </w:tc>
        <w:tc>
          <w:tcPr>
            <w:tcW w:w="52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依托符合条件的养老培训机构或企业，对有意愿从事养老服务行业的劳动者开展就业技能培训，对养老服务企业、机构在岗的养老护理员开展岗位技能提升培训或高技能人才培训，对有意愿或已在养老服务行业创业的劳动者开展创业培训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2</w:t>
            </w:r>
          </w:p>
        </w:tc>
        <w:tc>
          <w:tcPr>
            <w:tcW w:w="2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异地就医结算管理</w:t>
            </w:r>
          </w:p>
        </w:tc>
        <w:tc>
          <w:tcPr>
            <w:tcW w:w="52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对于城乡居民基本医疗保险中异地长期居住、异地转诊的老年人，在办理异地定点医疗机构就医手续后，可申请办理异地就医联网结算。异地就医的老年人就医时按参保地政策直接结算，定点医疗机构提供相应的结算清单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3</w:t>
            </w:r>
          </w:p>
        </w:tc>
        <w:tc>
          <w:tcPr>
            <w:tcW w:w="2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基本医疗保险定点</w:t>
            </w:r>
          </w:p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医药机构协议管理</w:t>
            </w:r>
          </w:p>
        </w:tc>
        <w:tc>
          <w:tcPr>
            <w:tcW w:w="52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取消定点医药机构资格审查，完善基本医疗保险协议管理，鼓励和引导各种所有制性质、级别和类别的医药机构公平参与竞争。</w:t>
            </w:r>
          </w:p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包括社会办医在内的医疗机构取得《医疗机构执业许可证》的同时，即可申请医保、新农合定点医疗机构。不得将医疗机构所有制性质作为医保定点的前置条件，不得以医保定点机构数量已满等非医疗服务能力方面的因素为由，拒绝将社会办医疗机构纳入医保定点。</w:t>
            </w:r>
          </w:p>
        </w:tc>
      </w:tr>
    </w:tbl>
    <w:p>
      <w:pPr>
        <w:autoSpaceDE w:val="0"/>
        <w:spacing w:line="500" w:lineRule="exact"/>
        <w:ind w:right="-141" w:rightChars="-44" w:firstLine="134" w:firstLineChars="56"/>
        <w:jc w:val="lef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 xml:space="preserve"> </w:t>
      </w:r>
    </w:p>
    <w:p>
      <w:pPr>
        <w:autoSpaceDE w:val="0"/>
        <w:spacing w:line="500" w:lineRule="exact"/>
        <w:ind w:right="-141" w:rightChars="-44" w:firstLine="134" w:firstLineChars="56"/>
        <w:jc w:val="lef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 xml:space="preserve"> </w:t>
      </w:r>
    </w:p>
    <w:p>
      <w:pPr>
        <w:autoSpaceDE w:val="0"/>
        <w:spacing w:line="500" w:lineRule="exact"/>
        <w:jc w:val="center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清单4.老年人基本公共卫生服务项目清单</w:t>
      </w:r>
    </w:p>
    <w:tbl>
      <w:tblPr>
        <w:tblStyle w:val="5"/>
        <w:tblW w:w="88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748"/>
        <w:gridCol w:w="52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服务类别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服务项目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１</w:t>
            </w:r>
          </w:p>
        </w:tc>
        <w:tc>
          <w:tcPr>
            <w:tcW w:w="2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城乡居民健康档案管理</w:t>
            </w:r>
          </w:p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为辖区内常住老年人（包括居住半年以上的户籍及非户籍居民）开展城乡居民健康档案管理。居民健康档案内容包括个人基本信息、健康体检、重点人群健康管理记录和其他医疗卫生服务记录。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２</w:t>
            </w:r>
          </w:p>
        </w:tc>
        <w:tc>
          <w:tcPr>
            <w:tcW w:w="2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老年人健康管理服务</w:t>
            </w:r>
          </w:p>
        </w:tc>
        <w:tc>
          <w:tcPr>
            <w:tcW w:w="5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每年为辖区内65周岁以上老年人提供至少1次健康管理服务，包括生活方式和健康状况评估、体格检查、辅助检查和健康指导,在社区卫生服务中心提供优先就诊和出诊服务。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3</w:t>
            </w:r>
          </w:p>
        </w:tc>
        <w:tc>
          <w:tcPr>
            <w:tcW w:w="2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中医药健康管理</w:t>
            </w:r>
          </w:p>
        </w:tc>
        <w:tc>
          <w:tcPr>
            <w:tcW w:w="5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1.重点人群中医药健康管理。针对社区老年人人群制定中医药养生保健方案，指导开展具有中医药特色的养生保健活动，并在居（村）民健康档案中予以记录；</w:t>
            </w:r>
          </w:p>
          <w:p>
            <w:pPr>
              <w:autoSpaceDE w:val="0"/>
              <w:spacing w:line="500" w:lineRule="exact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每年为60周岁以上失独老人以及65岁以上老年人提供至少1次中医药健康管理服务，并在居民健康档案中予以记录。</w:t>
            </w:r>
          </w:p>
          <w:p>
            <w:pPr>
              <w:autoSpaceDE w:val="0"/>
              <w:spacing w:line="500" w:lineRule="exact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2.重点慢病管理。开展不少于4种慢性病患者健康管理服务，针对社区相关危险因素进行群体/个体中医药行为干预措施，并在居（村）民健康档案中予以记录。</w:t>
            </w:r>
          </w:p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3.中医健康宣讲。对老年人开展养生保健知识宣教，每年提供不少于6种有中医药内容的文字资料；播放不少于3种有中医药内容的音像资料，每周播放不少于3次；机构宣传栏每年至少宣传4次中医药健康教育内容；开展公众中医药健康咨询活动，每年不少于2次；定期举办健康知识讲座，每年举办中医药健康知识讲座不少于4次。</w:t>
            </w:r>
          </w:p>
        </w:tc>
      </w:tr>
    </w:tbl>
    <w:p>
      <w:pPr>
        <w:autoSpaceDE w:val="0"/>
        <w:spacing w:line="500" w:lineRule="exact"/>
        <w:ind w:right="-141" w:rightChars="-44"/>
        <w:jc w:val="left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autoSpaceDE w:val="0"/>
        <w:spacing w:line="500" w:lineRule="exact"/>
        <w:ind w:right="-141" w:rightChars="-44"/>
        <w:jc w:val="left"/>
        <w:rPr>
          <w:rFonts w:hint="eastAsia" w:ascii="仿宋_GB2312"/>
        </w:rPr>
      </w:pPr>
      <w:r>
        <w:rPr>
          <w:rFonts w:hint="eastAsia" w:ascii="仿宋_GB2312"/>
        </w:rPr>
        <w:t xml:space="preserve">  </w:t>
      </w:r>
    </w:p>
    <w:p>
      <w:pPr>
        <w:autoSpaceDE w:val="0"/>
        <w:spacing w:line="500" w:lineRule="exact"/>
        <w:jc w:val="center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清单5.老年人公共交通便利出行服务项目清单</w:t>
      </w:r>
    </w:p>
    <w:tbl>
      <w:tblPr>
        <w:tblStyle w:val="5"/>
        <w:tblW w:w="88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748"/>
        <w:gridCol w:w="52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服务类别</w:t>
            </w:r>
          </w:p>
        </w:tc>
        <w:tc>
          <w:tcPr>
            <w:tcW w:w="5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服务项目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2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城市公共交通服务</w:t>
            </w:r>
          </w:p>
        </w:tc>
        <w:tc>
          <w:tcPr>
            <w:tcW w:w="5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1.65周岁以上的老年人免费乘坐城市交通工具，60周岁以上未满65周岁的老年人享受半价优惠。</w:t>
            </w:r>
          </w:p>
          <w:p>
            <w:pPr>
              <w:autoSpaceDE w:val="0"/>
              <w:spacing w:line="500" w:lineRule="exact"/>
              <w:jc w:val="left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2.落实《城市公共汽车和电车客运管理规定》和《城市公共汽电车客运服务规范》（GB/T22484-2016）的相关规定，在规定位置设置老年人专用座位并提供必要的服务。</w:t>
            </w:r>
          </w:p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3.加强运营安全，在车辆运营过程中重点关照老年人乘车安全。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老年人铁路出行服务</w:t>
            </w:r>
          </w:p>
        </w:tc>
        <w:tc>
          <w:tcPr>
            <w:tcW w:w="5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1.重点旅客可通过拨打“12306”电话或登录“12306”官方网站预约所有铁路客运站的进出站免费帮扶项目。同时，在哈尔滨、哈尔滨西、哈尔滨东等主要客运站设置进出站无障碍通道（直梯）和无障碍购票窗口，重点旅客可自助服务。</w:t>
            </w:r>
          </w:p>
          <w:p>
            <w:pPr>
              <w:autoSpaceDE w:val="0"/>
              <w:spacing w:line="500" w:lineRule="exact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2.哈尔滨铁路局辖区内，所有客运营业站候车室设老、幼、病、残、孕旅客共用的重点旅客候车区或专座，粘贴规范图形标识。</w:t>
            </w:r>
          </w:p>
          <w:p>
            <w:pPr>
              <w:autoSpaceDE w:val="0"/>
              <w:spacing w:line="500" w:lineRule="exact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3.哈尔滨铁路局辖区内，所有客运营业站配备轮椅、担架等辅助器具，免费提供给重点旅客使用。</w:t>
            </w:r>
          </w:p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4.车站、列车对需要依靠辅助器材出行的重点旅客，根据需求提供必要帮助，实行岗位间、站车间链接式服务。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老年人机场照顾服务</w:t>
            </w:r>
          </w:p>
        </w:tc>
        <w:tc>
          <w:tcPr>
            <w:tcW w:w="5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1.协助办理乘机手续。</w:t>
            </w:r>
          </w:p>
          <w:p>
            <w:pPr>
              <w:autoSpaceDE w:val="0"/>
              <w:spacing w:line="500" w:lineRule="exact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2.优先通过安全检查。</w:t>
            </w:r>
          </w:p>
          <w:p>
            <w:pPr>
              <w:autoSpaceDE w:val="0"/>
              <w:spacing w:line="500" w:lineRule="exact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3.优先登机。</w:t>
            </w:r>
          </w:p>
          <w:p>
            <w:pPr>
              <w:autoSpaceDE w:val="0"/>
              <w:spacing w:line="500" w:lineRule="exact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4.帮助提拿行李。</w:t>
            </w:r>
          </w:p>
          <w:p>
            <w:pPr>
              <w:autoSpaceDE w:val="0"/>
              <w:spacing w:line="500" w:lineRule="exact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5.按照航空公司要求，提供轮椅、担架和无人陪伴服务。</w:t>
            </w:r>
          </w:p>
          <w:p>
            <w:pPr>
              <w:autoSpaceDE w:val="0"/>
              <w:spacing w:line="500" w:lineRule="exact"/>
              <w:jc w:val="left"/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6.对不符合航空公司轮椅和无人陪伴申请条件的老年人，在不影响乘机安全和旅客自身健康的情况下，提供轮椅协助老年人到登机口。</w:t>
            </w:r>
          </w:p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7.乘坐机场巴士、长途客运车优先上车。</w:t>
            </w:r>
          </w:p>
        </w:tc>
      </w:tr>
    </w:tbl>
    <w:p>
      <w:pPr>
        <w:autoSpaceDE w:val="0"/>
        <w:spacing w:line="500" w:lineRule="exact"/>
        <w:ind w:right="-141" w:rightChars="-44"/>
        <w:jc w:val="lef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 xml:space="preserve"> </w:t>
      </w:r>
    </w:p>
    <w:p>
      <w:pPr>
        <w:autoSpaceDE w:val="0"/>
        <w:spacing w:line="500" w:lineRule="exact"/>
        <w:ind w:right="-141" w:rightChars="-44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 xml:space="preserve">  </w:t>
      </w:r>
    </w:p>
    <w:p>
      <w:pPr>
        <w:autoSpaceDE w:val="0"/>
        <w:spacing w:line="500" w:lineRule="exact"/>
        <w:jc w:val="center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清单6.老年人法律援助服务项目清单</w:t>
      </w:r>
    </w:p>
    <w:tbl>
      <w:tblPr>
        <w:tblStyle w:val="5"/>
        <w:tblW w:w="88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95"/>
        <w:gridCol w:w="47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服务类别</w:t>
            </w:r>
          </w:p>
        </w:tc>
        <w:tc>
          <w:tcPr>
            <w:tcW w:w="4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0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服务项目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31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开展法律维权服务</w:t>
            </w:r>
          </w:p>
        </w:tc>
        <w:tc>
          <w:tcPr>
            <w:tcW w:w="4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开展法律咨询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1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开展法律援助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1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ind w:right="-141" w:rightChars="-44" w:firstLine="134" w:firstLineChars="56"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维护赡养、财产和婚姻等权益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减免老年人经济困难审查</w:t>
            </w:r>
          </w:p>
        </w:tc>
        <w:tc>
          <w:tcPr>
            <w:tcW w:w="4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老年人因经济困难请求给予社会保险待遇或者最低生活保障待遇，请求发给抚恤金、救济金，请求给付赡养费、扶养费，可以向法律援助机构申请法律援助，并且对请求抚恤金、救济金、赡养费、扶养费的不再审查其经济困难条件。对无固定生活来源的老年人申请法律援助，免除经济困难审查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扩大法律援助补充事项范围</w:t>
            </w:r>
          </w:p>
        </w:tc>
        <w:tc>
          <w:tcPr>
            <w:tcW w:w="4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老年人因经济困难申请涉及劳动保障、婚姻家庭、食品药品、教育医疗等与民生紧密相关的事项纳入法律援助补充事项范围。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“12348”法律服务热线</w:t>
            </w:r>
          </w:p>
        </w:tc>
        <w:tc>
          <w:tcPr>
            <w:tcW w:w="4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加强“12348”法律服务热线建设，有条件的地方开设针对老年人等群体的维权专线，充分发挥解答法律咨询、宣传法律知识、指导群众依法维权的作用。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5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法律援助“快速通道”</w:t>
            </w:r>
          </w:p>
        </w:tc>
        <w:tc>
          <w:tcPr>
            <w:tcW w:w="4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开辟法律援助“快速通道”，有条件的地方对老年人符合条件的法律援助申请实行当日受理、审查，并快速办理。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防风险提示</w:t>
            </w:r>
          </w:p>
        </w:tc>
        <w:tc>
          <w:tcPr>
            <w:tcW w:w="4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提高老年人自身防范意识，增强明辨诈骗伎俩的能力，维护老年人合法权益。</w:t>
            </w:r>
          </w:p>
        </w:tc>
      </w:tr>
    </w:tbl>
    <w:p>
      <w:pPr>
        <w:autoSpaceDE w:val="0"/>
        <w:spacing w:line="500" w:lineRule="exact"/>
      </w:pPr>
      <w:r>
        <w:rPr>
          <w:rFonts w:hint="eastAsia" w:ascii="仿宋_GB231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rPr>
        <w:rStyle w:val="4"/>
        <w:rFonts w:hint="eastAsia" w:ascii="宋体" w:hAnsi="宋体" w:eastAsia="宋体"/>
        <w:sz w:val="28"/>
        <w:szCs w:val="28"/>
      </w:rPr>
    </w:pPr>
    <w:r>
      <w:rPr>
        <w:rStyle w:val="4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4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4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4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E4588"/>
    <w:rsid w:val="01E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2018-11-27T06:44:00Z</dcterms:created>
  <dc:creator>Administrator</dc:creator>
  <cp:lastModifiedBy>Administrator</cp:lastModifiedBy>
  <dcterms:modified xsi:type="dcterms:W3CDTF">2018-11-27T06:47:48Z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