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709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方正黑体_GBK" w:cs="方正黑体_GBK"/>
          <w:color w:val="auto"/>
          <w:sz w:val="32"/>
          <w:szCs w:val="32"/>
          <w:lang w:eastAsia="zh-CN"/>
        </w:rPr>
      </w:pPr>
      <w:bookmarkStart w:id="0" w:name="_GoBack"/>
      <w:r>
        <w:rPr>
          <w:rFonts w:hint="eastAsia" w:ascii="宋体" w:hAnsi="宋体" w:eastAsia="方正黑体_GBK" w:cs="方正黑体_GBK"/>
          <w:color w:val="auto"/>
          <w:sz w:val="32"/>
          <w:szCs w:val="32"/>
        </w:rPr>
        <w:t>附件</w:t>
      </w:r>
      <w:r>
        <w:rPr>
          <w:rFonts w:hint="eastAsia" w:ascii="宋体" w:hAnsi="宋体" w:eastAsia="方正黑体_GBK" w:cs="方正黑体_GBK"/>
          <w:color w:val="auto"/>
          <w:sz w:val="32"/>
          <w:szCs w:val="32"/>
          <w:lang w:val="en-US" w:eastAsia="zh-CN"/>
        </w:rPr>
        <w:t>3</w:t>
      </w:r>
    </w:p>
    <w:bookmarkEnd w:id="0"/>
    <w:p w14:paraId="347FED5A">
      <w:pPr>
        <w:pStyle w:val="6"/>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textAlignment w:val="auto"/>
        <w:rPr>
          <w:rFonts w:ascii="宋体" w:hAnsi="宋体"/>
          <w:color w:val="auto"/>
        </w:rPr>
      </w:pPr>
    </w:p>
    <w:p w14:paraId="7A538194">
      <w:pPr>
        <w:keepNext w:val="0"/>
        <w:keepLines w:val="0"/>
        <w:pageBreakBefore w:val="0"/>
        <w:widowControl w:val="0"/>
        <w:kinsoku/>
        <w:wordWrap/>
        <w:overflowPunct w:val="0"/>
        <w:topLinePunct w:val="0"/>
        <w:autoSpaceDE/>
        <w:autoSpaceDN/>
        <w:bidi w:val="0"/>
        <w:adjustRightInd/>
        <w:snapToGrid/>
        <w:spacing w:line="640" w:lineRule="exact"/>
        <w:jc w:val="center"/>
        <w:textAlignment w:val="auto"/>
        <w:rPr>
          <w:rFonts w:ascii="宋体" w:hAnsi="宋体" w:eastAsia="方正小标宋_GBK"/>
          <w:color w:val="auto"/>
          <w:sz w:val="44"/>
          <w:szCs w:val="44"/>
        </w:rPr>
      </w:pPr>
      <w:r>
        <w:rPr>
          <w:rFonts w:hint="eastAsia" w:ascii="宋体" w:hAnsi="宋体" w:eastAsia="方正小标宋_GBK"/>
          <w:color w:val="auto"/>
          <w:sz w:val="44"/>
          <w:szCs w:val="44"/>
        </w:rPr>
        <w:t>矿产资源储量评审备案现场核查内容</w:t>
      </w:r>
    </w:p>
    <w:p w14:paraId="41F82AE0">
      <w:pPr>
        <w:keepNext w:val="0"/>
        <w:keepLines w:val="0"/>
        <w:pageBreakBefore w:val="0"/>
        <w:widowControl w:val="0"/>
        <w:kinsoku/>
        <w:wordWrap/>
        <w:overflowPunct w:val="0"/>
        <w:topLinePunct w:val="0"/>
        <w:autoSpaceDE/>
        <w:autoSpaceDN/>
        <w:bidi w:val="0"/>
        <w:adjustRightInd/>
        <w:snapToGrid/>
        <w:spacing w:line="560" w:lineRule="exact"/>
        <w:ind w:left="0" w:leftChars="0"/>
        <w:jc w:val="both"/>
        <w:textAlignment w:val="auto"/>
        <w:rPr>
          <w:rFonts w:ascii="宋体" w:hAnsi="宋体" w:eastAsia="方正仿宋_GBK"/>
          <w:color w:val="auto"/>
          <w:sz w:val="32"/>
          <w:szCs w:val="32"/>
        </w:rPr>
      </w:pPr>
    </w:p>
    <w:p w14:paraId="3E8538E1">
      <w:pPr>
        <w:keepNext w:val="0"/>
        <w:keepLines w:val="0"/>
        <w:pageBreakBefore w:val="0"/>
        <w:widowControl w:val="0"/>
        <w:kinsoku/>
        <w:wordWrap/>
        <w:overflowPunct w:val="0"/>
        <w:topLinePunct w:val="0"/>
        <w:autoSpaceDE/>
        <w:autoSpaceDN/>
        <w:bidi w:val="0"/>
        <w:spacing w:line="560" w:lineRule="exact"/>
        <w:ind w:left="0" w:leftChars="0" w:firstLine="640" w:firstLineChars="200"/>
        <w:jc w:val="both"/>
        <w:textAlignment w:val="auto"/>
        <w:rPr>
          <w:rFonts w:hint="eastAsia" w:ascii="宋体" w:hAnsi="宋体" w:eastAsia="方正黑体_GBK" w:cs="方正黑体_GBK"/>
          <w:color w:val="auto"/>
          <w:sz w:val="32"/>
          <w:szCs w:val="32"/>
        </w:rPr>
      </w:pPr>
      <w:r>
        <w:rPr>
          <w:rFonts w:hint="eastAsia" w:ascii="宋体" w:hAnsi="宋体" w:eastAsia="方正黑体_GBK" w:cs="方正黑体_GBK"/>
          <w:color w:val="auto"/>
          <w:sz w:val="32"/>
          <w:szCs w:val="32"/>
        </w:rPr>
        <w:t>一、非油气矿产现场核查内容</w:t>
      </w:r>
    </w:p>
    <w:p w14:paraId="0564FC53">
      <w:pPr>
        <w:keepNext w:val="0"/>
        <w:keepLines w:val="0"/>
        <w:pageBreakBefore w:val="0"/>
        <w:widowControl w:val="0"/>
        <w:kinsoku/>
        <w:wordWrap/>
        <w:overflowPunct w:val="0"/>
        <w:topLinePunct w:val="0"/>
        <w:autoSpaceDE/>
        <w:autoSpaceDN/>
        <w:bidi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1.矿区（山）的地理、交通、采选（冶）设备及排水设施等情况是否与矿产资源储量报告所述一致。</w:t>
      </w:r>
    </w:p>
    <w:p w14:paraId="0913B4D2">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2.矿区（山）的地形地貌情况与送审的地形图、地质填图是否吻合。</w:t>
      </w:r>
    </w:p>
    <w:p w14:paraId="5A6FF6A4">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3.槽探、井探、坑探、钻探等新增工程现场及岩矿心情况是否与矿产资源储量报告及有关资料描述一致。</w:t>
      </w:r>
    </w:p>
    <w:p w14:paraId="755841ED">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4.按规范要求应标记或保留的相关工程标识是否正确标记或保留；核查野外工作验收结果的真实性情况。</w:t>
      </w:r>
    </w:p>
    <w:p w14:paraId="05E37923">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5.有关分析化验测试结果的真实性情况。</w:t>
      </w:r>
    </w:p>
    <w:p w14:paraId="2FF0E9D6">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6.单位论证工业指标或开展预可行性研究、可行性研究、与之相应的技术经济评价的，核实相应报告的内容和结论的真实性情况。</w:t>
      </w:r>
    </w:p>
    <w:p w14:paraId="096498F0">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7.现场质询主要勘查施工人员及报告编制人员，了解勘查施工及报告编制的真实性情况。</w:t>
      </w:r>
    </w:p>
    <w:p w14:paraId="385BADAF">
      <w:pPr>
        <w:pStyle w:val="6"/>
        <w:keepNext w:val="0"/>
        <w:keepLines w:val="0"/>
        <w:pageBreakBefore w:val="0"/>
        <w:widowControl w:val="0"/>
        <w:kinsoku/>
        <w:wordWrap/>
        <w:topLinePunct w:val="0"/>
        <w:autoSpaceDE/>
        <w:autoSpaceDN/>
        <w:bidi w:val="0"/>
        <w:spacing w:after="0" w:line="560" w:lineRule="exact"/>
        <w:ind w:left="0" w:leftChars="0" w:firstLine="640"/>
        <w:jc w:val="both"/>
        <w:textAlignment w:val="auto"/>
        <w:rPr>
          <w:rFonts w:hint="eastAsia" w:ascii="宋体" w:hAnsi="宋体" w:eastAsia="方正仿宋_GBK" w:cs="方正仿宋_GBK"/>
          <w:color w:val="auto"/>
          <w:sz w:val="32"/>
          <w:szCs w:val="32"/>
        </w:rPr>
      </w:pPr>
      <w:r>
        <w:rPr>
          <w:rFonts w:hint="eastAsia" w:ascii="宋体" w:hAnsi="宋体" w:eastAsia="方正黑体_GBK" w:cs="方正黑体_GBK"/>
          <w:color w:val="auto"/>
          <w:kern w:val="2"/>
          <w:sz w:val="32"/>
          <w:szCs w:val="32"/>
          <w:lang w:val="en-US" w:eastAsia="zh-CN" w:bidi="ar-SA"/>
        </w:rPr>
        <w:t>二、油气矿产现场核查内容</w:t>
      </w:r>
    </w:p>
    <w:p w14:paraId="5DEED7C7">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1.核查矿产资源储量区块的地理、交通、地形地貌是否与储量报告描述吻合。</w:t>
      </w:r>
    </w:p>
    <w:p w14:paraId="2BA28406">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2.抽查与矿产资源储量有关的原始资料，包括地震资料及目的层构造图、测井资料及解释成果、岩心资料是否与矿产资源储量报告及相关材料描述一致。</w:t>
      </w:r>
    </w:p>
    <w:p w14:paraId="697EAA22">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3.核查有关分析化验资料的合规性、真实性情况。</w:t>
      </w:r>
    </w:p>
    <w:p w14:paraId="613838CC">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4.核查矿产资源储量区块勘探开发情况是否与储量报告描述一致。</w:t>
      </w:r>
    </w:p>
    <w:p w14:paraId="3C1AF8B7">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firstLineChars="20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5.核查油气井试油（气）情况是否与矿产资源储量报告描述一致，矿产资源储量起算标准及是否符合规范要求。</w:t>
      </w:r>
    </w:p>
    <w:p w14:paraId="50A1E204">
      <w:pPr>
        <w:keepNext w:val="0"/>
        <w:keepLines w:val="0"/>
        <w:pageBreakBefore w:val="0"/>
        <w:widowControl w:val="0"/>
        <w:kinsoku/>
        <w:wordWrap/>
        <w:overflowPunct w:val="0"/>
        <w:topLinePunct w:val="0"/>
        <w:autoSpaceDE/>
        <w:autoSpaceDN/>
        <w:bidi w:val="0"/>
        <w:adjustRightInd w:val="0"/>
        <w:snapToGrid w:val="0"/>
        <w:spacing w:line="560" w:lineRule="exact"/>
        <w:ind w:left="0" w:leftChars="0" w:firstLine="640"/>
        <w:jc w:val="both"/>
        <w:textAlignment w:val="auto"/>
        <w:rPr>
          <w:rFonts w:hint="eastAsia" w:ascii="宋体" w:hAnsi="宋体" w:eastAsia="方正仿宋_GBK" w:cs="方正仿宋_GBK"/>
          <w:color w:val="auto"/>
          <w:sz w:val="32"/>
          <w:szCs w:val="32"/>
        </w:rPr>
      </w:pPr>
      <w:r>
        <w:rPr>
          <w:rFonts w:hint="eastAsia" w:ascii="宋体" w:hAnsi="宋体" w:eastAsia="方正仿宋_GBK" w:cs="方正仿宋_GBK"/>
          <w:color w:val="auto"/>
          <w:sz w:val="32"/>
          <w:szCs w:val="32"/>
        </w:rPr>
        <w:t>6.核查矿产资源储量落实程度是否符合规范要求。</w:t>
      </w:r>
    </w:p>
    <w:p w14:paraId="5CFFD9EF">
      <w:pPr>
        <w:pStyle w:val="2"/>
        <w:keepNext w:val="0"/>
        <w:keepLines w:val="0"/>
        <w:pageBreakBefore w:val="0"/>
        <w:widowControl w:val="0"/>
        <w:kinsoku/>
        <w:wordWrap/>
        <w:topLinePunct w:val="0"/>
        <w:autoSpaceDE/>
        <w:autoSpaceDN/>
        <w:bidi w:val="0"/>
        <w:spacing w:before="0" w:line="560" w:lineRule="exact"/>
        <w:ind w:left="0" w:leftChars="0" w:firstLine="640" w:firstLineChars="200"/>
        <w:jc w:val="both"/>
        <w:textAlignment w:val="auto"/>
        <w:rPr>
          <w:rFonts w:hint="eastAsia" w:ascii="宋体" w:hAnsi="宋体"/>
          <w:sz w:val="32"/>
          <w:szCs w:val="32"/>
        </w:rPr>
      </w:pPr>
      <w:r>
        <w:rPr>
          <w:rFonts w:hint="eastAsia" w:ascii="宋体" w:hAnsi="宋体" w:eastAsia="方正仿宋_GBK" w:cs="方正仿宋_GBK"/>
          <w:color w:val="auto"/>
          <w:sz w:val="32"/>
          <w:szCs w:val="32"/>
        </w:rPr>
        <w:t>7.油气开发可行性（开发概念设计、开发方案）研究内容和结论的真实性情况。</w:t>
      </w:r>
    </w:p>
    <w:p w14:paraId="758A8D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黑体_GBK">
    <w:altName w:val="Arial Unicode MS"/>
    <w:panose1 w:val="02000000000000000000"/>
    <w:charset w:val="86"/>
    <w:family w:val="script"/>
    <w:pitch w:val="default"/>
    <w:sig w:usb0="00000000" w:usb1="0000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94E12"/>
    <w:rsid w:val="00A52C09"/>
    <w:rsid w:val="00D82FD6"/>
    <w:rsid w:val="01536DBF"/>
    <w:rsid w:val="022C7B12"/>
    <w:rsid w:val="03BC22B9"/>
    <w:rsid w:val="0C467C6A"/>
    <w:rsid w:val="0CA6496E"/>
    <w:rsid w:val="10921A09"/>
    <w:rsid w:val="121137A1"/>
    <w:rsid w:val="12D022AA"/>
    <w:rsid w:val="136127B7"/>
    <w:rsid w:val="1537759A"/>
    <w:rsid w:val="153C3939"/>
    <w:rsid w:val="17FD1E9F"/>
    <w:rsid w:val="1CC22BF1"/>
    <w:rsid w:val="1F0E1CBE"/>
    <w:rsid w:val="1F58042A"/>
    <w:rsid w:val="213D138A"/>
    <w:rsid w:val="22094286"/>
    <w:rsid w:val="22BB7C8F"/>
    <w:rsid w:val="231B2E11"/>
    <w:rsid w:val="2601208F"/>
    <w:rsid w:val="29577E17"/>
    <w:rsid w:val="2CFA0498"/>
    <w:rsid w:val="349E08A1"/>
    <w:rsid w:val="38432C50"/>
    <w:rsid w:val="39DE65F6"/>
    <w:rsid w:val="3A6601D7"/>
    <w:rsid w:val="3AFC62EC"/>
    <w:rsid w:val="3B4F08B0"/>
    <w:rsid w:val="3D127E6A"/>
    <w:rsid w:val="3F177889"/>
    <w:rsid w:val="3F40706E"/>
    <w:rsid w:val="3F497A86"/>
    <w:rsid w:val="41C76C15"/>
    <w:rsid w:val="4203305D"/>
    <w:rsid w:val="43216D23"/>
    <w:rsid w:val="43D0489B"/>
    <w:rsid w:val="47386EEB"/>
    <w:rsid w:val="4F93087E"/>
    <w:rsid w:val="4FBE45A7"/>
    <w:rsid w:val="5211551B"/>
    <w:rsid w:val="535B0538"/>
    <w:rsid w:val="546C6AFA"/>
    <w:rsid w:val="588160DB"/>
    <w:rsid w:val="58E334A1"/>
    <w:rsid w:val="59A92571"/>
    <w:rsid w:val="5B911EDF"/>
    <w:rsid w:val="5E363C42"/>
    <w:rsid w:val="5FB755C2"/>
    <w:rsid w:val="60463B73"/>
    <w:rsid w:val="60DA0424"/>
    <w:rsid w:val="61A61E78"/>
    <w:rsid w:val="62C4078E"/>
    <w:rsid w:val="62C44114"/>
    <w:rsid w:val="62DB4B3C"/>
    <w:rsid w:val="63953142"/>
    <w:rsid w:val="64D83671"/>
    <w:rsid w:val="68B8200E"/>
    <w:rsid w:val="69D5490E"/>
    <w:rsid w:val="69FD491B"/>
    <w:rsid w:val="6FBC7B07"/>
    <w:rsid w:val="73E94E12"/>
    <w:rsid w:val="774B7559"/>
    <w:rsid w:val="779265EB"/>
    <w:rsid w:val="79D9203D"/>
    <w:rsid w:val="79F726CE"/>
    <w:rsid w:val="7BF24AAC"/>
    <w:rsid w:val="7E20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uiPriority w:val="0"/>
    <w:pPr>
      <w:spacing w:before="89"/>
      <w:ind w:left="121"/>
      <w:jc w:val="left"/>
    </w:pPr>
    <w:rPr>
      <w:rFonts w:ascii="宋体" w:hAnsi="宋体" w:eastAsia="宋体"/>
      <w:kern w:val="0"/>
      <w:sz w:val="29"/>
      <w:szCs w:val="29"/>
      <w:lang w:eastAsia="en-US"/>
    </w:rPr>
  </w:style>
  <w:style w:type="paragraph" w:styleId="3">
    <w:name w:val="toc 5"/>
    <w:basedOn w:val="1"/>
    <w:next w:val="1"/>
    <w:qFormat/>
    <w:uiPriority w:val="0"/>
    <w:pPr>
      <w:ind w:left="1680" w:leftChars="800"/>
    </w:pPr>
    <w:rPr>
      <w:rFonts w:ascii="Times New Roman" w:hAnsi="Times New Roman" w:eastAsia="宋体" w:cs="Times New Roman"/>
    </w:rPr>
  </w:style>
  <w:style w:type="paragraph" w:styleId="4">
    <w:name w:val="Body Text Indent"/>
    <w:basedOn w:val="1"/>
    <w:qFormat/>
    <w:uiPriority w:val="0"/>
    <w:pPr>
      <w:ind w:firstLine="780"/>
    </w:pPr>
    <w:rPr>
      <w:rFonts w:eastAsia="仿宋_GB2312"/>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next w:val="1"/>
    <w:qFormat/>
    <w:uiPriority w:val="0"/>
    <w:pPr>
      <w:spacing w:after="120"/>
      <w:ind w:left="420" w:leftChars="200"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云南省林业厅</Company>
  <Pages>2</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2024-11-22T03:01:00Z</dcterms:created>
  <dc:creator>李品娥</dc:creator>
  <cp:lastModifiedBy>李品娥</cp:lastModifiedBy>
  <dcterms:modified xsi:type="dcterms:W3CDTF">2024-11-22T03:01:17Z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5C3675972CB142068DF5D91A4D650B83_11</vt:lpwstr>
  </property>
</Properties>
</file>