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洪人社发〔2019〕182号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南昌市人力资源和社会保障局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关于调整无雇工的个体工商户和灵活就业人员参加养老保险缴费基数和缴费档次的通知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eastAsia="仿宋_GB2312"/>
          <w:sz w:val="32"/>
        </w:rPr>
      </w:pPr>
      <w:r>
        <w:rPr>
          <w:rFonts w:hint="eastAsia" w:ascii="宋体" w:hAnsi="宋体" w:eastAsia="仿宋_GB2312"/>
          <w:color w:val="000000"/>
          <w:sz w:val="32"/>
        </w:rPr>
        <w:t>各县区（开发区、新区）人力资源和社会保障局、各有关参保个人：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rPr>
      </w:pPr>
      <w:r>
        <w:rPr>
          <w:rFonts w:hint="eastAsia" w:ascii="宋体" w:hAnsi="宋体" w:eastAsia="仿宋_GB2312"/>
          <w:color w:val="000000"/>
          <w:sz w:val="32"/>
        </w:rPr>
        <w:t>根据《江西省人力资源和社会保障厅等四部门关于贯彻落实＜降低社会保险费率综合实施方案＞的通知》（赣人社发〔2019〕21号）和《江西省人力资源和社会保障厅等四部门关于确定2019年度社会保险使用的城镇单位就业人员月平均工资的通知》（赣人社字〔2019〕187号）文件精神，我市对无雇工的个体工商户和灵活就业人员参加养老保险政策进行了调整，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rPr>
      </w:pPr>
      <w:r>
        <w:rPr>
          <w:rFonts w:hint="eastAsia" w:ascii="黑体" w:hAnsi="黑体" w:eastAsia="黑体" w:cs="黑体"/>
          <w:b w:val="0"/>
          <w:bCs/>
          <w:color w:val="000000"/>
          <w:sz w:val="32"/>
        </w:rPr>
        <w:t>一、关于调整养老保险缴费基数政策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rPr>
      </w:pPr>
      <w:r>
        <w:rPr>
          <w:rFonts w:hint="eastAsia" w:ascii="宋体" w:hAnsi="宋体" w:eastAsia="仿宋_GB2312"/>
          <w:color w:val="000000"/>
          <w:sz w:val="32"/>
        </w:rPr>
        <w:t>我市无雇工的个体工商户和灵活就业人员缴纳养老保险以全省上年度城镇非私营单位就业人员平均工资和上年度城镇私营单位就业人员平均工资加权计算的全口径城镇单位就业人员平均工资，核定个人缴费基数档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rPr>
      </w:pPr>
      <w:r>
        <w:rPr>
          <w:rFonts w:hint="eastAsia" w:ascii="黑体" w:hAnsi="黑体" w:eastAsia="黑体" w:cs="黑体"/>
          <w:b w:val="0"/>
          <w:bCs/>
          <w:color w:val="000000"/>
          <w:sz w:val="32"/>
        </w:rPr>
        <w:t>二、关于调整养老保险缴费档次政策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rPr>
      </w:pPr>
      <w:r>
        <w:rPr>
          <w:rFonts w:hint="eastAsia" w:ascii="宋体" w:hAnsi="宋体" w:eastAsia="仿宋_GB2312"/>
          <w:color w:val="000000"/>
          <w:sz w:val="32"/>
        </w:rPr>
        <w:t>我市无雇工的个体工商户和灵活就业人员缴纳企业职工养老保</w:t>
      </w:r>
      <w:r>
        <w:rPr>
          <w:rFonts w:eastAsia="仿宋_GB2312"/>
          <w:sz w:val="32"/>
        </w:rPr>
        <mc:AlternateContent>
          <mc:Choice Requires="wps">
            <w:drawing>
              <wp:anchor distT="0" distB="0" distL="114300" distR="114300" simplePos="0" relativeHeight="251659264" behindDoc="0" locked="0" layoutInCell="1" allowOverlap="1">
                <wp:simplePos x="0" y="0"/>
                <wp:positionH relativeFrom="page">
                  <wp:posOffset>1282700</wp:posOffset>
                </wp:positionH>
                <wp:positionV relativeFrom="paragraph">
                  <wp:posOffset>9525000</wp:posOffset>
                </wp:positionV>
                <wp:extent cx="939800" cy="203200"/>
                <wp:effectExtent l="0" t="0" r="635" b="14605"/>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00" w:lineRule="exact"/>
                              <w:jc w:val="center"/>
                            </w:pPr>
                            <w:r>
                              <w:rPr>
                                <w:rFonts w:hint="eastAsia" w:ascii="宋体" w:hAnsi="宋体" w:eastAsia="宋体"/>
                                <w:b/>
                                <w:color w:val="000000"/>
                                <w:sz w:val="24"/>
                              </w:rPr>
                              <w:t>244</w:t>
                            </w:r>
                          </w:p>
                        </w:txbxContent>
                      </wps:txbx>
                      <wps:bodyPr lIns="25400" tIns="0" rIns="25400" bIns="0">
                        <a:noAutofit/>
                      </wps:bodyPr>
                    </wps:wsp>
                  </a:graphicData>
                </a:graphic>
              </wp:anchor>
            </w:drawing>
          </mc:Choice>
          <mc:Fallback>
            <w:pict>
              <v:shape id="文本框 2" o:spid="_x0000_s1026" o:spt="202" type="#_x0000_t202" style="position:absolute;left:0pt;margin-left:101pt;margin-top:750pt;height:16pt;width:74pt;mso-position-horizontal-relative:page;z-index:251659264;mso-width-relative:page;mso-height-relative:page;" filled="f" stroked="f" coordsize="21600,21600" o:gfxdata="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SFGpNgAAAANAQAADwAAAAAAAAAB&#10;ACAAAAAiAAAAZHJzL2Rvd25yZXYueG1sUEsBAhQAFAAAAAgAh07iQGX/4QjXAQAAngMAAA4AAAAA&#10;AAAAAQAgAAAAJwEAAGRycy9lMm9Eb2MueG1sUEsFBgAAAAAGAAYAWQEAAHAFAAAAAA==&#10;">
                <v:fill on="f" focussize="0,0"/>
                <v:stroke on="f" weight="0.5pt"/>
                <v:imagedata o:title=""/>
                <o:lock v:ext="edit" aspectratio="f"/>
                <v:textbox inset="2pt,0mm,2pt,0mm">
                  <w:txbxContent>
                    <w:p>
                      <w:pPr>
                        <w:spacing w:line="300" w:lineRule="exact"/>
                        <w:jc w:val="center"/>
                      </w:pPr>
                      <w:r>
                        <w:rPr>
                          <w:rFonts w:hint="eastAsia" w:ascii="宋体" w:hAnsi="宋体" w:eastAsia="宋体"/>
                          <w:b/>
                          <w:color w:val="000000"/>
                          <w:sz w:val="24"/>
                        </w:rPr>
                        <w:t>244</w:t>
                      </w:r>
                    </w:p>
                  </w:txbxContent>
                </v:textbox>
              </v:shape>
            </w:pict>
          </mc:Fallback>
        </mc:AlternateContent>
      </w:r>
      <w:r>
        <w:rPr>
          <w:rFonts w:hint="eastAsia" w:ascii="宋体" w:hAnsi="宋体" w:eastAsia="仿宋_GB2312"/>
          <w:color w:val="000000"/>
          <w:sz w:val="32"/>
        </w:rPr>
        <w:t>险设立九个缴费基数档次。为保证缴费经办的平稳运行，原5档缴费档次保持不变，新增1.5档、2.5档、3.5档、4.5档。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rPr>
      </w:pPr>
      <w:r>
        <w:rPr>
          <w:rFonts w:hint="eastAsia" w:ascii="黑体" w:hAnsi="黑体" w:eastAsia="黑体" w:cs="黑体"/>
          <w:b w:val="0"/>
          <w:bCs/>
          <w:color w:val="000000"/>
          <w:sz w:val="32"/>
        </w:rPr>
        <w:t>三、调整后的全市2019年无雇工的个体工商户和灵活就业人员参加城镇职工基本养老保险缴费基数和缴费额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olor w:val="000000"/>
          <w:sz w:val="32"/>
        </w:rPr>
      </w:pPr>
      <w:r>
        <w:rPr>
          <w:rFonts w:hint="eastAsia" w:ascii="宋体" w:hAnsi="宋体" w:eastAsia="仿宋_GB2312"/>
          <w:color w:val="000000"/>
          <w:sz w:val="32"/>
        </w:rPr>
        <w:t>政策调整后，2019年我市无雇工的个体工商户和灵活就业人员城镇职工基本养老保险缴费基数共九档，具体如下表：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olor w:val="000000"/>
          <w:sz w:val="32"/>
        </w:rPr>
      </w:pPr>
    </w:p>
    <w:tbl>
      <w:tblPr>
        <w:tblStyle w:val="6"/>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933"/>
        <w:gridCol w:w="1935"/>
        <w:gridCol w:w="1936"/>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档次</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缴费基数</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月缴费额（元）</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年缴费额（元）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第1档</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2840</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568</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6816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第1.5档</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3315</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663</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7956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第2档</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3790</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758</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9096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第2.5档</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4260</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852</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10224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第3档</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4735</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947</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11364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第3.5档</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7105</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1421</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17052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第4档</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9470</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1894</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22728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第4.5档</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11840</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2368</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28416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第5档</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14210</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2842</w:t>
            </w:r>
          </w:p>
        </w:tc>
        <w:tc>
          <w:tcPr>
            <w:tcW w:w="19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rPr>
            </w:pPr>
            <w:r>
              <w:rPr>
                <w:rFonts w:hint="eastAsia" w:ascii="宋体" w:hAnsi="宋体" w:eastAsia="仿宋_GB2312"/>
                <w:color w:val="000000"/>
                <w:sz w:val="32"/>
              </w:rPr>
              <w:t>34104</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rPr>
      </w:pPr>
      <w:r>
        <w:rPr>
          <w:rFonts w:hint="eastAsia" w:ascii="宋体" w:hAnsi="宋体" w:eastAsia="仿宋_GB2312"/>
          <w:color w:val="000000"/>
          <w:sz w:val="32"/>
        </w:rPr>
        <w:t>本通知下发前，已缴纳2019年全年养老保险费的人员，已缴费用不再重新核定，按照其实际缴费额计算指数。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sz w:val="32"/>
        </w:rPr>
      </w:pPr>
      <w:r>
        <w:rPr>
          <w:rFonts w:hint="eastAsia" w:ascii="宋体" w:hAnsi="宋体" w:eastAsia="仿宋_GB2312"/>
          <w:color w:val="000000"/>
          <w:sz w:val="32"/>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3320"/>
        <w:jc w:val="left"/>
        <w:textAlignment w:val="auto"/>
        <w:rPr>
          <w:rFonts w:hint="eastAsia" w:ascii="宋体" w:hAnsi="宋体" w:eastAsia="宋体"/>
          <w:color w:val="000000"/>
          <w:sz w:val="30"/>
        </w:rPr>
      </w:pPr>
    </w:p>
    <w:p>
      <w:pPr>
        <w:keepNext w:val="0"/>
        <w:keepLines w:val="0"/>
        <w:pageBreakBefore w:val="0"/>
        <w:widowControl w:val="0"/>
        <w:kinsoku/>
        <w:wordWrap/>
        <w:overflowPunct/>
        <w:topLinePunct w:val="0"/>
        <w:autoSpaceDE/>
        <w:autoSpaceDN/>
        <w:bidi w:val="0"/>
        <w:adjustRightInd/>
        <w:snapToGrid/>
        <w:spacing w:line="560" w:lineRule="exact"/>
        <w:ind w:firstLine="3320"/>
        <w:jc w:val="left"/>
        <w:textAlignment w:val="auto"/>
        <w:rPr>
          <w:rFonts w:hint="eastAsia" w:ascii="宋体" w:hAnsi="宋体" w:eastAsia="宋体"/>
          <w:color w:val="000000"/>
          <w:sz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theme="minorBidi"/>
          <w:color w:val="000000"/>
          <w:sz w:val="32"/>
        </w:rPr>
      </w:pPr>
      <w:r>
        <w:rPr>
          <w:rFonts w:hint="eastAsia" w:ascii="宋体" w:hAnsi="宋体" w:eastAsia="仿宋_GB2312" w:cstheme="minorBidi"/>
          <w:color w:val="000000"/>
          <w:sz w:val="32"/>
          <w:lang w:val="en-US" w:eastAsia="zh-CN"/>
        </w:rPr>
        <w:t xml:space="preserve">                    </w:t>
      </w:r>
      <w:r>
        <w:rPr>
          <w:rFonts w:hint="eastAsia" w:ascii="宋体" w:hAnsi="宋体" w:eastAsia="仿宋_GB2312" w:cstheme="minorBidi"/>
          <w:color w:val="000000"/>
          <w:sz w:val="32"/>
        </w:rPr>
        <w:t>南昌市人力资源和社会保障局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theme="minorBidi"/>
          <w:color w:val="000000"/>
          <w:sz w:val="32"/>
        </w:rPr>
      </w:pPr>
      <w:r>
        <w:rPr>
          <w:rFonts w:hint="eastAsia" w:ascii="宋体" w:hAnsi="宋体" w:eastAsia="仿宋_GB2312" w:cstheme="minorBidi"/>
          <w:color w:val="000000"/>
          <w:sz w:val="32"/>
          <w:lang w:val="en-US" w:eastAsia="zh-CN"/>
        </w:rPr>
        <w:t xml:space="preserve">                     </w:t>
      </w:r>
      <w:r>
        <w:rPr>
          <w:rFonts w:hint="eastAsia" w:ascii="宋体" w:hAnsi="宋体" w:eastAsia="仿宋_GB2312" w:cstheme="minorBidi"/>
          <w:color w:val="000000"/>
          <w:sz w:val="32"/>
        </w:rPr>
        <w:t>2019年6月27日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仿宋_GB2312" w:cstheme="minorBidi"/>
          <w:color w:val="000000"/>
          <w:sz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theme="minorBidi"/>
          <w:color w:val="000000"/>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u w:val="none"/>
        </w:rPr>
      </w:pPr>
    </w:p>
    <w:p>
      <w:pPr>
        <w:keepNext w:val="0"/>
        <w:keepLines w:val="0"/>
        <w:pageBreakBefore w:val="0"/>
        <w:widowControl w:val="0"/>
        <w:kinsoku/>
        <w:wordWrap/>
        <w:overflowPunct/>
        <w:topLinePunct w:val="0"/>
        <w:autoSpaceDE/>
        <w:autoSpaceDN/>
        <w:bidi w:val="0"/>
        <w:adjustRightInd/>
        <w:snapToGrid/>
        <w:spacing w:line="520" w:lineRule="exact"/>
        <w:ind w:firstLine="272" w:firstLineChars="100"/>
        <w:textAlignment w:val="auto"/>
        <w:rPr>
          <w:rFonts w:hint="default" w:ascii="仿宋_GB2312" w:hAnsi="仿宋_GB2312" w:eastAsia="仿宋_GB2312" w:cs="仿宋_GB2312"/>
          <w:sz w:val="28"/>
          <w:szCs w:val="28"/>
          <w:u w:val="none"/>
          <w:lang w:val="en-US" w:eastAsia="zh-CN"/>
        </w:rPr>
      </w:pPr>
      <w:r>
        <w:rPr>
          <w:rFonts w:ascii="仿宋_GB2312" w:eastAsia="仿宋_GB2312"/>
          <w:spacing w:val="-4"/>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52070</wp:posOffset>
                </wp:positionV>
                <wp:extent cx="5486400" cy="0"/>
                <wp:effectExtent l="0" t="4445" r="0" b="5080"/>
                <wp:wrapNone/>
                <wp:docPr id="4" name="直线 4"/>
                <wp:cNvGraphicFramePr/>
                <a:graphic xmlns:a="http://schemas.openxmlformats.org/drawingml/2006/main">
                  <a:graphicData uri="http://schemas.microsoft.com/office/word/2010/wordprocessingShape">
                    <wps:wsp>
                      <wps:cNvCnPr/>
                      <wps:spPr>
                        <a:xfrm>
                          <a:off x="0" y="0"/>
                          <a:ext cx="54864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15pt;margin-top:4.1pt;height:0pt;width:432pt;z-index:251660288;mso-width-relative:page;mso-height-relative:page;" filled="f" stroked="t" coordsize="21600,21600" o:gfxdata="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Wuf57RAAAABQEA&#10;AA8AAAAAAAAAAQAgAAAAIgAAAGRycy9kb3ducmV2LnhtbFBLAQIUABQAAAAIAIdO4kDBccF+6AEA&#10;ANsDAAAOAAAAAAAAAAEAIAAAACABAABkcnMvZTJvRG9jLnhtbFBLBQYAAAAABgAGAFkBAAB6BQAA&#10;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28"/>
          <w:szCs w:val="28"/>
          <w:u w:val="none"/>
        </w:rPr>
        <w:t>南昌市</w:t>
      </w:r>
      <w:r>
        <w:rPr>
          <w:rFonts w:hint="eastAsia" w:ascii="仿宋_GB2312" w:hAnsi="仿宋_GB2312" w:eastAsia="仿宋_GB2312" w:cs="仿宋_GB2312"/>
          <w:sz w:val="28"/>
          <w:szCs w:val="28"/>
          <w:u w:val="none"/>
          <w:lang w:val="en-US" w:eastAsia="zh-CN"/>
        </w:rPr>
        <w:t>人力资源和</w:t>
      </w:r>
      <w:r>
        <w:rPr>
          <w:rFonts w:hint="eastAsia" w:ascii="仿宋_GB2312" w:hAnsi="仿宋_GB2312" w:eastAsia="仿宋_GB2312" w:cs="仿宋_GB2312"/>
          <w:sz w:val="28"/>
          <w:szCs w:val="28"/>
          <w:u w:val="none"/>
        </w:rPr>
        <w:t xml:space="preserve">社会保障局办公室 </w:t>
      </w:r>
      <w:r>
        <w:rPr>
          <w:rFonts w:hint="eastAsia" w:ascii="仿宋_GB2312" w:hAnsi="仿宋_GB2312" w:eastAsia="仿宋_GB2312" w:cs="仿宋_GB2312"/>
          <w:sz w:val="28"/>
          <w:szCs w:val="28"/>
          <w:u w:val="none"/>
          <w:lang w:val="en-US" w:eastAsia="zh-CN"/>
        </w:rPr>
        <w:t xml:space="preserve">       2019</w:t>
      </w:r>
      <w:r>
        <w:rPr>
          <w:rFonts w:hint="eastAsia" w:ascii="仿宋_GB2312" w:hAnsi="仿宋_GB2312" w:eastAsia="仿宋_GB2312" w:cs="仿宋_GB2312"/>
          <w:sz w:val="28"/>
          <w:szCs w:val="28"/>
          <w:u w:val="none"/>
        </w:rPr>
        <w:t>年</w:t>
      </w:r>
      <w:r>
        <w:rPr>
          <w:rFonts w:hint="eastAsia" w:ascii="仿宋_GB2312" w:hAnsi="仿宋_GB2312" w:eastAsia="仿宋_GB2312" w:cs="仿宋_GB2312"/>
          <w:sz w:val="28"/>
          <w:szCs w:val="28"/>
          <w:u w:val="none"/>
          <w:lang w:val="en-US" w:eastAsia="zh-CN"/>
        </w:rPr>
        <w:t>6</w:t>
      </w:r>
      <w:r>
        <w:rPr>
          <w:rFonts w:hint="eastAsia" w:ascii="仿宋_GB2312" w:hAnsi="仿宋_GB2312" w:eastAsia="仿宋_GB2312" w:cs="仿宋_GB2312"/>
          <w:sz w:val="28"/>
          <w:szCs w:val="28"/>
          <w:u w:val="none"/>
        </w:rPr>
        <w:t>月</w:t>
      </w:r>
      <w:r>
        <w:rPr>
          <w:rFonts w:hint="eastAsia" w:ascii="仿宋_GB2312" w:hAnsi="仿宋_GB2312" w:eastAsia="仿宋_GB2312" w:cs="仿宋_GB2312"/>
          <w:sz w:val="28"/>
          <w:szCs w:val="28"/>
          <w:u w:val="none"/>
          <w:lang w:val="en-US" w:eastAsia="zh-CN"/>
        </w:rPr>
        <w:t>27</w:t>
      </w:r>
      <w:r>
        <w:rPr>
          <w:rFonts w:hint="eastAsia" w:ascii="仿宋_GB2312" w:hAnsi="仿宋_GB2312" w:eastAsia="仿宋_GB2312" w:cs="仿宋_GB2312"/>
          <w:sz w:val="28"/>
          <w:szCs w:val="28"/>
          <w:u w:val="none"/>
        </w:rPr>
        <w:t>日印发</w:t>
      </w:r>
      <w:r>
        <w:rPr>
          <w:rFonts w:hint="eastAsia" w:ascii="仿宋_GB2312" w:hAnsi="仿宋_GB2312" w:eastAsia="仿宋_GB2312" w:cs="仿宋_GB2312"/>
          <w:sz w:val="28"/>
          <w:szCs w:val="28"/>
          <w:u w:val="none"/>
          <w:lang w:val="en-US" w:eastAsia="zh-CN"/>
        </w:rPr>
        <w:t xml:space="preserve">   </w:t>
      </w:r>
    </w:p>
    <w:p>
      <w:pPr>
        <w:pStyle w:val="3"/>
        <w:keepNext w:val="0"/>
        <w:keepLines w:val="0"/>
        <w:pageBreakBefore w:val="0"/>
        <w:wordWrap/>
        <w:overflowPunct/>
        <w:topLinePunct w:val="0"/>
        <w:bidi w:val="0"/>
        <w:spacing w:line="520" w:lineRule="exact"/>
        <w:ind w:right="21"/>
        <w:jc w:val="both"/>
        <w:rPr>
          <w:rFonts w:hint="eastAsia" w:ascii="宋体" w:hAnsi="宋体" w:eastAsia="仿宋_GB2312" w:cstheme="minorBidi"/>
          <w:color w:val="000000"/>
          <w:sz w:val="32"/>
        </w:rPr>
      </w:pPr>
      <w:r>
        <w:rPr>
          <w:rFonts w:ascii="仿宋_GB2312" w:eastAsia="仿宋_GB2312"/>
          <w:spacing w:val="-4"/>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51435</wp:posOffset>
                </wp:positionV>
                <wp:extent cx="5486400" cy="0"/>
                <wp:effectExtent l="0" t="4445" r="0" b="5080"/>
                <wp:wrapNone/>
                <wp:docPr id="5"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pt;margin-top:4.05pt;height:0pt;width:432pt;z-index:251661312;mso-width-relative:page;mso-height-relative:page;" filled="f" stroked="t" coordsize="21600,21600" o:gfxdata="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YcTP0gAAAAUB&#10;AAAPAAAAAAAAAAEAIAAAACIAAABkcnMvZG93bnJldi54bWxQSwECFAAUAAAACACHTuJAnF38TOgB&#10;AADbAwAADgAAAAAAAAABACAAAAAhAQAAZHJzL2Uyb0RvYy54bWxQSwUGAAAAAAYABgBZAQAAewUA&#10;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  </w:t>
      </w:r>
    </w:p>
    <w:sectPr>
      <w:footerReference r:id="rId3" w:type="default"/>
      <w:type w:val="continuous"/>
      <w:pgSz w:w="11906" w:h="16840"/>
      <w:pgMar w:top="2098" w:right="1531" w:bottom="1984" w:left="1531" w:header="85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7A8304-E0B0-46B7-9F92-C2EB1211BF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46F740F-54E3-4823-973B-90471FE91CC0}"/>
  </w:font>
  <w:font w:name="仿宋_GB2312">
    <w:panose1 w:val="02010609030101010101"/>
    <w:charset w:val="86"/>
    <w:family w:val="auto"/>
    <w:pitch w:val="default"/>
    <w:sig w:usb0="00000001" w:usb1="080E0000" w:usb2="00000000" w:usb3="00000000" w:csb0="00040000" w:csb1="00000000"/>
    <w:embedRegular r:id="rId3" w:fontKey="{F67E4342-266E-4D50-94B9-94A0C8818B28}"/>
  </w:font>
  <w:font w:name="方正小标宋简体">
    <w:panose1 w:val="02000000000000000000"/>
    <w:charset w:val="86"/>
    <w:family w:val="auto"/>
    <w:pitch w:val="default"/>
    <w:sig w:usb0="00000001" w:usb1="080E0000" w:usb2="00000000" w:usb3="00000000" w:csb0="00040000" w:csb1="00000000"/>
    <w:embedRegular r:id="rId4" w:fontKey="{0D5999A7-2C62-40A1-9135-797295C8ED5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2NzA4NTNiZjI1NzJhMjIxZmRhYzE0NDgwZTljMTUifQ=="/>
  </w:docVars>
  <w:rsids>
    <w:rsidRoot w:val="00BD0BC8"/>
    <w:rsid w:val="000D6051"/>
    <w:rsid w:val="009F0BE0"/>
    <w:rsid w:val="00BA6D97"/>
    <w:rsid w:val="00BD0BC8"/>
    <w:rsid w:val="0B7C44D7"/>
    <w:rsid w:val="1C5D5C5E"/>
    <w:rsid w:val="2A0B4A54"/>
    <w:rsid w:val="2FAD2601"/>
    <w:rsid w:val="48B63990"/>
    <w:rsid w:val="49F41101"/>
    <w:rsid w:val="4D096C71"/>
    <w:rsid w:val="4F0911AA"/>
    <w:rsid w:val="54D758A7"/>
    <w:rsid w:val="5788223D"/>
    <w:rsid w:val="5936030B"/>
    <w:rsid w:val="5E8A398A"/>
    <w:rsid w:val="6CD16BC4"/>
    <w:rsid w:val="6EB81B34"/>
    <w:rsid w:val="74630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2023-10-26T08:16:00Z</dcterms:created>
  <dc:creator>INTSIG</dc:creator>
  <dc:description>Intsig Word Converter</dc:description>
  <cp:lastModifiedBy>芸芸的天空</cp:lastModifiedBy>
  <dcterms:modified xsi:type="dcterms:W3CDTF">2024-01-22T08:05:12Z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41BDB96A253840078A574620584C2AE0_13</vt:lpwstr>
  </property>
</Properties>
</file>