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E367127">
      <w:pPr>
        <w:keepNext w:val="0"/>
        <w:keepLines w:val="0"/>
        <w:pageBreakBefore w:val="0"/>
        <w:widowControl w:val="0"/>
        <w:kinsoku/>
        <w:wordWrap/>
        <w:overflowPunct/>
        <w:topLinePunct w:val="0"/>
        <w:autoSpaceDE/>
        <w:autoSpaceDN/>
        <w:bidi w:val="0"/>
        <w:adjustRightInd w:val="0"/>
        <w:snapToGrid w:val="0"/>
        <w:spacing w:line="560" w:lineRule="exact"/>
        <w:ind w:firstLine="0" w:firstLineChars="0"/>
        <w:textAlignment w:val="auto"/>
        <w:outlineLvl w:val="0"/>
        <w:rPr>
          <w:rFonts w:hint="eastAsia" w:ascii="宋体" w:hAnsi="宋体" w:eastAsia="方正黑体_GBK" w:cs="方正黑体_GBK"/>
          <w:bCs/>
          <w:color w:val="000000"/>
          <w:kern w:val="0"/>
          <w:sz w:val="32"/>
          <w:szCs w:val="32"/>
          <w:lang w:val="en-US" w:eastAsia="zh-CN" w:bidi="ar"/>
        </w:rPr>
      </w:pPr>
      <w:r>
        <w:rPr>
          <w:rFonts w:hint="eastAsia" w:ascii="宋体" w:hAnsi="宋体" w:eastAsia="方正黑体_GBK" w:cs="方正黑体_GBK"/>
          <w:bCs/>
          <w:color w:val="000000"/>
          <w:kern w:val="0"/>
          <w:sz w:val="32"/>
          <w:szCs w:val="32"/>
          <w:lang w:val="en-US" w:eastAsia="zh-CN" w:bidi="ar"/>
        </w:rPr>
        <w:t>附件9</w:t>
      </w:r>
    </w:p>
    <w:p w14:paraId="5E2B93B1">
      <w:pPr>
        <w:keepNext w:val="0"/>
        <w:keepLines w:val="0"/>
        <w:pageBreakBefore w:val="0"/>
        <w:widowControl w:val="0"/>
        <w:kinsoku/>
        <w:wordWrap/>
        <w:overflowPunct/>
        <w:topLinePunct w:val="0"/>
        <w:autoSpaceDE/>
        <w:autoSpaceDN/>
        <w:bidi w:val="0"/>
        <w:adjustRightInd/>
        <w:snapToGrid/>
        <w:spacing w:line="400" w:lineRule="exact"/>
        <w:ind w:firstLine="0"/>
        <w:textAlignment w:val="auto"/>
        <w:rPr>
          <w:rFonts w:ascii="宋体" w:hAnsi="宋体" w:cs="Times New Roman"/>
          <w:color w:val="000000"/>
        </w:rPr>
      </w:pPr>
    </w:p>
    <w:p w14:paraId="30A48BE5">
      <w:pPr>
        <w:keepNext w:val="0"/>
        <w:keepLines w:val="0"/>
        <w:pageBreakBefore w:val="0"/>
        <w:widowControl w:val="0"/>
        <w:kinsoku/>
        <w:wordWrap/>
        <w:overflowPunct/>
        <w:topLinePunct w:val="0"/>
        <w:autoSpaceDE/>
        <w:autoSpaceDN/>
        <w:bidi w:val="0"/>
        <w:adjustRightInd/>
        <w:snapToGrid/>
        <w:spacing w:line="600" w:lineRule="exact"/>
        <w:ind w:firstLine="0" w:firstLineChars="0"/>
        <w:jc w:val="center"/>
        <w:textAlignment w:val="auto"/>
        <w:rPr>
          <w:rFonts w:ascii="宋体" w:hAnsi="宋体" w:eastAsia="方正小标宋_GBK" w:cs="Times New Roman"/>
          <w:bCs/>
          <w:kern w:val="2"/>
          <w:sz w:val="44"/>
          <w:szCs w:val="32"/>
          <w:lang w:val="en-US" w:eastAsia="zh-CN" w:bidi="ar-SA"/>
        </w:rPr>
      </w:pPr>
      <w:r>
        <w:rPr>
          <w:rFonts w:hint="eastAsia" w:ascii="宋体" w:hAnsi="宋体" w:eastAsia="方正小标宋_GBK" w:cs="Times New Roman"/>
          <w:bCs/>
          <w:kern w:val="2"/>
          <w:sz w:val="44"/>
          <w:szCs w:val="32"/>
          <w:lang w:val="en-US" w:eastAsia="zh-CN" w:bidi="ar-SA"/>
        </w:rPr>
        <w:t>云南省绿色矿山名录动态管理要求</w:t>
      </w:r>
    </w:p>
    <w:p w14:paraId="5076150E">
      <w:pPr>
        <w:keepNext w:val="0"/>
        <w:keepLines w:val="0"/>
        <w:pageBreakBefore w:val="0"/>
        <w:widowControl w:val="0"/>
        <w:kinsoku/>
        <w:wordWrap/>
        <w:overflowPunct/>
        <w:topLinePunct w:val="0"/>
        <w:autoSpaceDE/>
        <w:autoSpaceDN/>
        <w:bidi w:val="0"/>
        <w:adjustRightInd/>
        <w:snapToGrid/>
        <w:spacing w:line="560" w:lineRule="exact"/>
        <w:ind w:firstLine="420" w:firstLineChars="200"/>
        <w:textAlignment w:val="auto"/>
        <w:rPr>
          <w:rFonts w:ascii="宋体" w:hAnsi="宋体" w:cs="Times New Roman"/>
          <w:color w:val="000000"/>
        </w:rPr>
      </w:pPr>
    </w:p>
    <w:p w14:paraId="54677380">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_GBK" w:cs="方正仿宋_GBK"/>
          <w:color w:val="000000"/>
          <w:sz w:val="32"/>
          <w:szCs w:val="32"/>
        </w:rPr>
      </w:pPr>
      <w:r>
        <w:rPr>
          <w:rFonts w:hint="eastAsia" w:ascii="宋体" w:hAnsi="宋体" w:eastAsia="方正仿宋_GBK" w:cs="方正仿宋_GBK"/>
          <w:color w:val="000000"/>
          <w:sz w:val="32"/>
          <w:szCs w:val="32"/>
        </w:rPr>
        <w:t>为推动绿色矿山名录动态管理，持续提升建设水平，规范我省绿色矿山进入名录后的监管、移出、重新纳入等，明确以下要求。</w:t>
      </w:r>
    </w:p>
    <w:p w14:paraId="35D6418B">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outlineLvl w:val="0"/>
        <w:rPr>
          <w:rFonts w:ascii="宋体" w:hAnsi="宋体" w:eastAsia="方正黑体_GBK" w:cs="Times New Roman"/>
          <w:bCs/>
          <w:kern w:val="44"/>
          <w:sz w:val="32"/>
          <w:szCs w:val="44"/>
          <w:lang w:val="en-US" w:eastAsia="zh-CN" w:bidi="ar-SA"/>
        </w:rPr>
      </w:pPr>
      <w:r>
        <w:rPr>
          <w:rFonts w:hint="eastAsia" w:ascii="宋体" w:hAnsi="宋体" w:eastAsia="方正黑体_GBK" w:cs="Times New Roman"/>
          <w:bCs/>
          <w:kern w:val="44"/>
          <w:sz w:val="32"/>
          <w:szCs w:val="44"/>
          <w:lang w:val="en-US" w:eastAsia="zh-CN" w:bidi="ar-SA"/>
        </w:rPr>
        <w:t>一、管理部门职责</w:t>
      </w:r>
    </w:p>
    <w:p w14:paraId="04378D6C">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_GBK" w:cs="方正仿宋_GBK"/>
          <w:color w:val="000000"/>
          <w:sz w:val="32"/>
          <w:szCs w:val="32"/>
        </w:rPr>
      </w:pPr>
      <w:r>
        <w:rPr>
          <w:rFonts w:hint="eastAsia" w:ascii="宋体" w:hAnsi="宋体" w:eastAsia="方正仿宋_GBK" w:cs="方正仿宋_GBK"/>
          <w:color w:val="000000"/>
          <w:sz w:val="32"/>
          <w:szCs w:val="32"/>
        </w:rPr>
        <w:t>（一）各级自然资源主管部门会同相关部门建立监督检查机制，加强绿色矿山建设全过程监管，健全绿色矿山名录动态管理机制。</w:t>
      </w:r>
    </w:p>
    <w:p w14:paraId="32FDB828">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_GBK" w:cs="方正仿宋_GBK"/>
          <w:color w:val="000000"/>
          <w:sz w:val="32"/>
          <w:szCs w:val="32"/>
        </w:rPr>
      </w:pPr>
      <w:r>
        <w:rPr>
          <w:rFonts w:hint="eastAsia" w:ascii="宋体" w:hAnsi="宋体" w:eastAsia="方正仿宋_GBK" w:cs="方正仿宋_GBK"/>
          <w:color w:val="000000"/>
          <w:sz w:val="32"/>
          <w:szCs w:val="32"/>
        </w:rPr>
        <w:t>（二）省级自然资源主管部门牵头会同有关主管部门建立健全省级绿色矿山名录，依职责负责本行政区域内绿色矿山的监督管理，开展绿色矿山实地核查。</w:t>
      </w:r>
    </w:p>
    <w:p w14:paraId="6A303D98">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_GBK" w:cs="方正仿宋_GBK"/>
          <w:color w:val="000000"/>
          <w:sz w:val="32"/>
          <w:szCs w:val="32"/>
        </w:rPr>
      </w:pPr>
      <w:r>
        <w:rPr>
          <w:rFonts w:hint="eastAsia" w:ascii="宋体" w:hAnsi="宋体" w:eastAsia="方正仿宋_GBK" w:cs="方正仿宋_GBK"/>
          <w:color w:val="000000"/>
          <w:sz w:val="32"/>
          <w:szCs w:val="32"/>
        </w:rPr>
        <w:t>（三）</w:t>
      </w:r>
      <w:bookmarkStart w:id="0" w:name="_Hlk166783060"/>
      <w:r>
        <w:rPr>
          <w:rFonts w:hint="eastAsia" w:ascii="宋体" w:hAnsi="宋体" w:eastAsia="方正仿宋_GBK" w:cs="方正仿宋_GBK"/>
          <w:color w:val="000000"/>
          <w:sz w:val="32"/>
          <w:szCs w:val="32"/>
        </w:rPr>
        <w:t>国家级绿色矿山原则上从省级绿色矿山中择优推荐，遴选工作根据自然资源部有关要求组织开展。</w:t>
      </w:r>
      <w:bookmarkEnd w:id="0"/>
    </w:p>
    <w:p w14:paraId="21667FF4">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_GBK" w:cs="方正仿宋_GBK"/>
          <w:color w:val="000000"/>
          <w:sz w:val="32"/>
          <w:szCs w:val="32"/>
        </w:rPr>
      </w:pPr>
      <w:r>
        <w:rPr>
          <w:rFonts w:hint="eastAsia" w:ascii="宋体" w:hAnsi="宋体" w:eastAsia="方正仿宋_GBK" w:cs="方正仿宋_GBK"/>
          <w:color w:val="000000"/>
          <w:sz w:val="32"/>
          <w:szCs w:val="32"/>
        </w:rPr>
        <w:t>省级自然资源主管部门会同相关部门，组织本行政区域内的绿色矿山遴选推荐工作，经县级自然资源主管部门初审、州（市）级自然资源主管部门复审、矿山自评、第三方评估、省级复核、社会公示后，将符合标准要求的矿山纳入省级绿色矿山名录，并按有关要求择优向自然资源部推荐。对矿区范围、开采方式、开采矿种、开采规模等发生重大变化的绿色矿山企业，要及时组织实地核查，明确其是否符合绿色矿山标准。</w:t>
      </w:r>
    </w:p>
    <w:p w14:paraId="2234A277">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outlineLvl w:val="0"/>
        <w:rPr>
          <w:rFonts w:ascii="宋体" w:hAnsi="宋体" w:eastAsia="方正黑体_GBK" w:cs="Times New Roman"/>
          <w:bCs/>
          <w:kern w:val="44"/>
          <w:sz w:val="32"/>
          <w:szCs w:val="44"/>
          <w:lang w:val="en-US" w:eastAsia="zh-CN" w:bidi="ar-SA"/>
        </w:rPr>
      </w:pPr>
      <w:r>
        <w:rPr>
          <w:rFonts w:hint="eastAsia" w:ascii="宋体" w:hAnsi="宋体" w:eastAsia="方正黑体_GBK" w:cs="Times New Roman"/>
          <w:bCs/>
          <w:kern w:val="44"/>
          <w:sz w:val="32"/>
          <w:szCs w:val="44"/>
          <w:lang w:val="en-US" w:eastAsia="zh-CN" w:bidi="ar-SA"/>
        </w:rPr>
        <w:t>二、矿山企业职责</w:t>
      </w:r>
    </w:p>
    <w:p w14:paraId="44FA245E">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_GBK" w:cs="方正仿宋_GBK"/>
          <w:color w:val="000000"/>
          <w:sz w:val="32"/>
          <w:szCs w:val="32"/>
        </w:rPr>
      </w:pPr>
      <w:r>
        <w:rPr>
          <w:rFonts w:hint="eastAsia" w:ascii="宋体" w:hAnsi="宋体" w:eastAsia="方正仿宋_GBK" w:cs="方正仿宋_GBK"/>
          <w:color w:val="000000"/>
          <w:sz w:val="32"/>
          <w:szCs w:val="32"/>
        </w:rPr>
        <w:t>绿色矿山企业要积极巩固绿色矿山建设成效，主动接受相关部门的监督指导，主动展示科学开采、高效利用、节能减排、科技创新、矿地和谐等方面的绿色矿山建设经验、做法和成效，树立良好企业形象。</w:t>
      </w:r>
    </w:p>
    <w:p w14:paraId="6FC1DE6E">
      <w:pPr>
        <w:keepNext w:val="0"/>
        <w:keepLines w:val="0"/>
        <w:pageBreakBefore w:val="0"/>
        <w:widowControl w:val="0"/>
        <w:kinsoku/>
        <w:wordWrap/>
        <w:overflowPunct/>
        <w:topLinePunct w:val="0"/>
        <w:autoSpaceDE/>
        <w:autoSpaceDN/>
        <w:bidi w:val="0"/>
        <w:adjustRightInd/>
        <w:snapToGrid/>
        <w:spacing w:line="580" w:lineRule="exact"/>
        <w:ind w:firstLine="640" w:firstLineChars="200"/>
        <w:jc w:val="both"/>
        <w:textAlignment w:val="auto"/>
        <w:outlineLvl w:val="0"/>
        <w:rPr>
          <w:rFonts w:ascii="宋体" w:hAnsi="宋体" w:eastAsia="方正黑体_GBK" w:cs="Times New Roman"/>
          <w:bCs/>
          <w:kern w:val="44"/>
          <w:sz w:val="32"/>
          <w:szCs w:val="44"/>
          <w:lang w:val="en-US" w:eastAsia="zh-CN" w:bidi="ar-SA"/>
        </w:rPr>
      </w:pPr>
      <w:r>
        <w:rPr>
          <w:rFonts w:hint="eastAsia" w:ascii="宋体" w:hAnsi="宋体" w:eastAsia="方正黑体_GBK" w:cs="Times New Roman"/>
          <w:bCs/>
          <w:kern w:val="44"/>
          <w:sz w:val="32"/>
          <w:szCs w:val="44"/>
          <w:lang w:val="en-US" w:eastAsia="zh-CN" w:bidi="ar-SA"/>
        </w:rPr>
        <w:t>三、名录管理要求</w:t>
      </w:r>
    </w:p>
    <w:p w14:paraId="1D5F22B0">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_GBK" w:cs="方正仿宋_GBK"/>
          <w:color w:val="000000"/>
          <w:sz w:val="32"/>
          <w:szCs w:val="32"/>
        </w:rPr>
      </w:pPr>
      <w:r>
        <w:rPr>
          <w:rFonts w:hint="eastAsia" w:ascii="宋体" w:hAnsi="宋体" w:eastAsia="方正仿宋_GBK" w:cs="方正仿宋_GBK"/>
          <w:color w:val="000000"/>
          <w:sz w:val="32"/>
          <w:szCs w:val="32"/>
        </w:rPr>
        <w:t>（一）省级自然资源主管部门会同相关部门，充分利用信息化技术，采用大数据对比分析、卫片检查、信息公示核查以及无人机航拍等手段，每年定期开展绿色矿山实地抽查核查，核查比例不低于10%。</w:t>
      </w:r>
    </w:p>
    <w:p w14:paraId="6B18D709">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_GBK" w:cs="方正仿宋_GBK"/>
          <w:color w:val="000000"/>
          <w:sz w:val="32"/>
          <w:szCs w:val="32"/>
        </w:rPr>
      </w:pPr>
      <w:r>
        <w:rPr>
          <w:rFonts w:hint="eastAsia" w:ascii="宋体" w:hAnsi="宋体" w:eastAsia="方正仿宋_GBK" w:cs="方正仿宋_GBK"/>
          <w:color w:val="000000"/>
          <w:sz w:val="32"/>
          <w:szCs w:val="32"/>
        </w:rPr>
        <w:t>（二）经实地核查发现不符合绿色矿山建设标准但能够限期整改的，明确整改期限及措施要求，整改期限原则上不超过六个月，期满完成整改经复核满足绿色矿山建设标准的，可保留名录。经复核超期未完成整改、整改不满足绿色矿山建设标准的，按程序移出各级绿色矿山名录。</w:t>
      </w:r>
    </w:p>
    <w:p w14:paraId="74528728">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宋体" w:hAnsi="宋体" w:eastAsia="方正仿宋_GBK" w:cs="方正仿宋_GBK"/>
          <w:color w:val="000000"/>
          <w:sz w:val="32"/>
          <w:szCs w:val="32"/>
        </w:rPr>
      </w:pPr>
      <w:r>
        <w:rPr>
          <w:rFonts w:hint="eastAsia" w:ascii="宋体" w:hAnsi="宋体" w:eastAsia="方正仿宋_GBK" w:cs="方正仿宋_GBK"/>
          <w:color w:val="000000"/>
          <w:sz w:val="32"/>
          <w:szCs w:val="32"/>
        </w:rPr>
        <w:t>（三）发现绿色矿山存在以下问题之一的，移出绿色矿山名录。</w:t>
      </w:r>
    </w:p>
    <w:p w14:paraId="0CEAAF6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1.《采矿许可证》《安全生产许可证》《营业执照》证照不齐、过期未及时延续或被吊销的；</w:t>
      </w:r>
    </w:p>
    <w:p w14:paraId="1F2757B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2.受到行政处罚后在履行期限内未执行到位的；</w:t>
      </w:r>
    </w:p>
    <w:p w14:paraId="2FF8BD0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3.关闭、因企业自身原因未正常生产运营的；</w:t>
      </w:r>
    </w:p>
    <w:p w14:paraId="7224140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宋体" w:hAnsi="宋体" w:eastAsia="方正仿宋_GBK" w:cs="方正仿宋_GBK"/>
          <w:color w:val="000000"/>
          <w:sz w:val="32"/>
          <w:szCs w:val="32"/>
        </w:rPr>
      </w:pPr>
      <w:r>
        <w:rPr>
          <w:rFonts w:hint="eastAsia" w:ascii="宋体" w:hAnsi="宋体" w:eastAsia="方正仿宋_GBK" w:cs="方正仿宋_GBK"/>
          <w:color w:val="000000"/>
          <w:sz w:val="32"/>
          <w:szCs w:val="32"/>
        </w:rPr>
        <w:t>4.违法开采特别是越界开采、擅自改变开采方式的；</w:t>
      </w:r>
    </w:p>
    <w:p w14:paraId="256CE72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宋体" w:hAnsi="宋体" w:eastAsia="方正仿宋_GBK" w:cs="方正仿宋_GBK"/>
          <w:color w:val="000000"/>
          <w:sz w:val="32"/>
          <w:szCs w:val="32"/>
        </w:rPr>
      </w:pPr>
      <w:r>
        <w:rPr>
          <w:rFonts w:hint="eastAsia" w:ascii="宋体" w:hAnsi="宋体" w:eastAsia="方正仿宋_GBK" w:cs="方正仿宋_GBK"/>
          <w:color w:val="000000"/>
          <w:sz w:val="32"/>
          <w:szCs w:val="32"/>
        </w:rPr>
        <w:t>5.发生较大及以上安全生产事故或环境事件的，发生土壤和地下水严重污染的；</w:t>
      </w:r>
    </w:p>
    <w:p w14:paraId="0DE47CE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宋体" w:hAnsi="宋体" w:eastAsia="方正仿宋_GBK" w:cs="方正仿宋_GBK"/>
          <w:color w:val="000000"/>
          <w:sz w:val="32"/>
          <w:szCs w:val="32"/>
        </w:rPr>
      </w:pPr>
      <w:r>
        <w:rPr>
          <w:rFonts w:hint="eastAsia" w:ascii="宋体" w:hAnsi="宋体" w:eastAsia="方正仿宋_GBK" w:cs="方正仿宋_GBK"/>
          <w:color w:val="000000"/>
          <w:sz w:val="32"/>
          <w:szCs w:val="32"/>
        </w:rPr>
        <w:t>6.未落实国土空间规划和用途管制的；</w:t>
      </w:r>
    </w:p>
    <w:p w14:paraId="0AEE800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宋体" w:hAnsi="宋体" w:eastAsia="方正仿宋_GBK" w:cs="方正仿宋_GBK"/>
          <w:color w:val="000000"/>
          <w:sz w:val="32"/>
          <w:szCs w:val="32"/>
        </w:rPr>
      </w:pPr>
      <w:r>
        <w:rPr>
          <w:rFonts w:hint="eastAsia" w:ascii="宋体" w:hAnsi="宋体" w:eastAsia="方正仿宋_GBK" w:cs="方正仿宋_GBK"/>
          <w:color w:val="000000"/>
          <w:sz w:val="32"/>
          <w:szCs w:val="32"/>
        </w:rPr>
        <w:t>7.未落实生态环境分区管控、环境影响评价、排污许可等相关制度要求，且未按期整改到位的；</w:t>
      </w:r>
    </w:p>
    <w:p w14:paraId="29B4230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宋体" w:hAnsi="宋体" w:eastAsia="方正仿宋_GBK" w:cs="方正仿宋_GBK"/>
          <w:color w:val="000000"/>
          <w:sz w:val="32"/>
          <w:szCs w:val="32"/>
        </w:rPr>
      </w:pPr>
      <w:r>
        <w:rPr>
          <w:rFonts w:hint="eastAsia" w:ascii="宋体" w:hAnsi="宋体" w:eastAsia="方正仿宋_GBK" w:cs="方正仿宋_GBK"/>
          <w:color w:val="000000"/>
          <w:sz w:val="32"/>
          <w:szCs w:val="32"/>
        </w:rPr>
        <w:t>8.未按要求定期开展尾矿库污染隐患排查的或尾矿库污染防治设施未按要求建设运行的；</w:t>
      </w:r>
    </w:p>
    <w:p w14:paraId="4DF8F6B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宋体" w:hAnsi="宋体" w:eastAsia="方正仿宋_GBK" w:cs="方正仿宋_GBK"/>
          <w:color w:val="000000"/>
          <w:sz w:val="32"/>
          <w:szCs w:val="32"/>
        </w:rPr>
      </w:pPr>
      <w:r>
        <w:rPr>
          <w:rFonts w:hint="eastAsia" w:ascii="宋体" w:hAnsi="宋体" w:eastAsia="方正仿宋_GBK" w:cs="方正仿宋_GBK"/>
          <w:color w:val="000000"/>
          <w:sz w:val="32"/>
          <w:szCs w:val="32"/>
        </w:rPr>
        <w:t>9.采矿权人被列入矿业权人勘查开采信息公示异常名录的；</w:t>
      </w:r>
    </w:p>
    <w:p w14:paraId="0ACEF00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宋体" w:hAnsi="宋体" w:eastAsia="方正仿宋_GBK" w:cs="方正仿宋_GBK"/>
          <w:color w:val="000000"/>
          <w:sz w:val="32"/>
          <w:szCs w:val="32"/>
        </w:rPr>
      </w:pPr>
      <w:r>
        <w:rPr>
          <w:rFonts w:hint="eastAsia" w:ascii="宋体" w:hAnsi="宋体" w:eastAsia="方正仿宋_GBK" w:cs="方正仿宋_GBK"/>
          <w:color w:val="000000"/>
          <w:sz w:val="32"/>
          <w:szCs w:val="32"/>
        </w:rPr>
        <w:t>10.矿产资源开发利用水平被划定为落后档次的；</w:t>
      </w:r>
    </w:p>
    <w:p w14:paraId="44564E0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宋体" w:hAnsi="宋体" w:eastAsia="方正仿宋_GBK" w:cs="方正仿宋_GBK"/>
          <w:color w:val="000000"/>
          <w:sz w:val="32"/>
          <w:szCs w:val="32"/>
        </w:rPr>
      </w:pPr>
      <w:r>
        <w:rPr>
          <w:rFonts w:hint="eastAsia" w:ascii="宋体" w:hAnsi="宋体" w:eastAsia="方正仿宋_GBK" w:cs="方正仿宋_GBK"/>
          <w:color w:val="000000"/>
          <w:sz w:val="32"/>
          <w:szCs w:val="32"/>
        </w:rPr>
        <w:t>11.被中央生态环境保护督察、巡视审计、全国人大常委会执法检查等作为典型案例通报或纳入各类警示片的；</w:t>
      </w:r>
    </w:p>
    <w:p w14:paraId="24162C0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宋体" w:hAnsi="宋体" w:eastAsia="方正仿宋_GBK" w:cs="方正仿宋_GBK"/>
          <w:color w:val="000000"/>
          <w:sz w:val="32"/>
          <w:szCs w:val="32"/>
        </w:rPr>
      </w:pPr>
      <w:r>
        <w:rPr>
          <w:rFonts w:hint="eastAsia" w:ascii="宋体" w:hAnsi="宋体" w:eastAsia="方正仿宋_GBK" w:cs="方正仿宋_GBK"/>
          <w:color w:val="000000"/>
          <w:sz w:val="32"/>
          <w:szCs w:val="32"/>
        </w:rPr>
        <w:t>12.发生突发事件，因企业违法违规在全国门户类网站、平台引发负面舆情的；</w:t>
      </w:r>
    </w:p>
    <w:p w14:paraId="5C603A5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宋体" w:hAnsi="宋体" w:eastAsia="方正仿宋_GBK" w:cs="方正仿宋_GBK"/>
          <w:color w:val="000000"/>
          <w:sz w:val="32"/>
          <w:szCs w:val="32"/>
        </w:rPr>
      </w:pPr>
      <w:r>
        <w:rPr>
          <w:rFonts w:hint="eastAsia" w:ascii="宋体" w:hAnsi="宋体" w:eastAsia="方正仿宋_GBK" w:cs="方正仿宋_GBK"/>
          <w:color w:val="000000"/>
          <w:sz w:val="32"/>
          <w:szCs w:val="32"/>
        </w:rPr>
        <w:t>13.弄虚作假通过绿色矿山评估的；</w:t>
      </w:r>
    </w:p>
    <w:p w14:paraId="1FE34CB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宋体" w:hAnsi="宋体" w:eastAsia="方正仿宋_GBK" w:cs="方正仿宋_GBK"/>
          <w:color w:val="000000"/>
          <w:sz w:val="32"/>
          <w:szCs w:val="32"/>
        </w:rPr>
      </w:pPr>
      <w:r>
        <w:rPr>
          <w:rFonts w:hint="eastAsia" w:ascii="宋体" w:hAnsi="宋体" w:eastAsia="方正仿宋_GBK" w:cs="方正仿宋_GBK"/>
          <w:color w:val="000000"/>
          <w:sz w:val="32"/>
          <w:szCs w:val="32"/>
        </w:rPr>
        <w:t>14.其他违法违规行为不宜继续列入名录的。</w:t>
      </w:r>
    </w:p>
    <w:p w14:paraId="4C0ABB7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pPr>
      <w:r>
        <w:rPr>
          <w:rFonts w:hint="eastAsia" w:ascii="宋体" w:hAnsi="宋体" w:eastAsia="方正仿宋_GBK" w:cs="方正仿宋_GBK"/>
          <w:color w:val="000000"/>
          <w:sz w:val="32"/>
          <w:szCs w:val="32"/>
        </w:rPr>
        <w:t>（四）被移出云南省绿色矿山名录的矿山企业，1年内不得申报省级绿色矿山。期满后，按照绿色矿山标准要求、评选流程重新申报。被移出全国绿色矿山名录的矿山企业，3年内不得申报国家级绿色矿山。期满后，按照绿色矿山标准重新申报省级绿色矿山。</w:t>
      </w:r>
      <w:bookmarkStart w:id="1" w:name="_GoBack"/>
      <w:bookmarkEnd w:id="1"/>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黑体_GBK">
    <w:altName w:val="Arial Unicode MS"/>
    <w:panose1 w:val="03000509000000000000"/>
    <w:charset w:val="86"/>
    <w:family w:val="script"/>
    <w:pitch w:val="default"/>
    <w:sig w:usb0="00000000" w:usb1="00000000" w:usb2="00000000" w:usb3="00000000" w:csb0="00040000" w:csb1="00000000"/>
    <w:embedRegular r:id="rId1" w:fontKey="{7BC52DEF-F384-4438-B5D3-BF14E713C921}"/>
  </w:font>
  <w:font w:name="Arial Unicode MS">
    <w:panose1 w:val="020B0604020202020204"/>
    <w:charset w:val="86"/>
    <w:family w:val="auto"/>
    <w:pitch w:val="default"/>
    <w:sig w:usb0="FFFFFFFF" w:usb1="E9FFFFFF" w:usb2="0000003F" w:usb3="00000000" w:csb0="603F01FF" w:csb1="FFFF0000"/>
  </w:font>
  <w:font w:name="方正小标宋_GBK">
    <w:altName w:val="Arial Unicode MS"/>
    <w:panose1 w:val="03000509000000000000"/>
    <w:charset w:val="86"/>
    <w:family w:val="script"/>
    <w:pitch w:val="default"/>
    <w:sig w:usb0="00000000" w:usb1="00000000" w:usb2="00000000" w:usb3="00000000" w:csb0="00040000" w:csb1="00000000"/>
  </w:font>
  <w:font w:name="方正仿宋_GBK">
    <w:panose1 w:val="02000000000000000000"/>
    <w:charset w:val="86"/>
    <w:family w:val="script"/>
    <w:pitch w:val="default"/>
    <w:sig w:usb0="A00002BF" w:usb1="38CF7CFA" w:usb2="00082016" w:usb3="00000000" w:csb0="00040001" w:csb1="00000000"/>
    <w:embedRegular r:id="rId2" w:fontKey="{CB4D0809-F8C4-49CD-B993-3AB0E022EE32}"/>
  </w:font>
  <w:font w:name="Helvetica">
    <w:altName w:val="Arial"/>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EFF" w:usb1="C000785B"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6BCE71AA"/>
    <w:rsid w:val="71C53B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Indent"/>
    <w:basedOn w:val="1"/>
    <w:next w:val="1"/>
    <w:qFormat/>
    <w:uiPriority w:val="0"/>
    <w:pPr>
      <w:snapToGrid w:val="0"/>
      <w:spacing w:line="300" w:lineRule="auto"/>
      <w:ind w:firstLine="556"/>
    </w:pPr>
    <w:rPr>
      <w:rFonts w:ascii="仿宋_GB2312" w:hAnsi="Times New Roman" w:eastAsia="仿宋_GB2312"/>
      <w:kern w:val="0"/>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1295</Words>
  <Characters>1316</Characters>
  <Lines>0</Lines>
  <Paragraphs>0</Paragraphs>
  <TotalTime>0</TotalTime>
  <ScaleCrop>false</ScaleCrop>
  <LinksUpToDate>false</LinksUpToDate>
  <CharactersWithSpaces>1316</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2025-04-22T06:19:00Z</dcterms:created>
  <dc:creator>Lenovo</dc:creator>
  <cp:lastModifiedBy>微信用户</cp:lastModifiedBy>
  <dcterms:modified xsi:type="dcterms:W3CDTF">2025-05-16T09:26:31Z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KSOTemplateDocerSaveRecord">
    <vt:lpwstr>eyJoZGlkIjoiM2UyNGQ3YjUwMTViZThiNGNjZGE5NTI5MzE1ZDNkMDgiLCJ1c2VySWQiOiIxNDAwMTY2MTcwIn0=</vt:lpwstr>
  </property>
  <property fmtid="{D5CDD505-2E9C-101B-9397-08002B2CF9AE}" pid="4" name="ICV">
    <vt:lpwstr>DE5E374FFC394D6BB266EEB0C52F994E_12</vt:lpwstr>
  </property>
</Properties>
</file>