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5090A">
      <w:pPr>
        <w:widowControl w:val="0"/>
        <w:spacing w:line="570" w:lineRule="exact"/>
        <w:rPr>
          <w:rFonts w:hint="eastAsia" w:ascii="宋体" w:hAnsi="宋体" w:eastAsia="方正黑体_GBK" w:cs="方正黑体_GBK"/>
          <w:sz w:val="32"/>
          <w:szCs w:val="32"/>
          <w:lang w:val="en-US" w:eastAsia="zh-CN"/>
        </w:rPr>
      </w:pPr>
      <w:r>
        <w:rPr>
          <w:rFonts w:hint="eastAsia" w:ascii="宋体" w:hAnsi="宋体" w:eastAsia="方正黑体_GBK" w:cs="方正黑体_GBK"/>
          <w:sz w:val="32"/>
          <w:szCs w:val="32"/>
          <w:lang w:val="en-US" w:eastAsia="zh-CN"/>
        </w:rPr>
        <w:t>附件6</w:t>
      </w:r>
    </w:p>
    <w:p w14:paraId="2A233293">
      <w:pPr>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hint="eastAsia" w:ascii="宋体" w:hAnsi="宋体" w:cs="Times New Roman"/>
          <w:color w:val="000000"/>
        </w:rPr>
      </w:pPr>
    </w:p>
    <w:p w14:paraId="62B3F5AF">
      <w:pPr>
        <w:widowControl w:val="0"/>
        <w:spacing w:line="570" w:lineRule="exact"/>
        <w:jc w:val="center"/>
        <w:rPr>
          <w:rFonts w:hint="eastAsia" w:ascii="宋体" w:hAnsi="宋体" w:eastAsia="方正小标宋_GBK" w:cs="Times New Roman"/>
          <w:bCs/>
          <w:sz w:val="44"/>
          <w:szCs w:val="32"/>
        </w:rPr>
      </w:pPr>
      <w:r>
        <w:rPr>
          <w:rFonts w:hint="eastAsia" w:ascii="宋体" w:hAnsi="宋体" w:eastAsia="方正小标宋_GBK" w:cs="Times New Roman"/>
          <w:bCs/>
          <w:sz w:val="44"/>
          <w:szCs w:val="32"/>
        </w:rPr>
        <w:t>云南省绿色矿山第三方评估工作要求</w:t>
      </w:r>
    </w:p>
    <w:p w14:paraId="4A33AD7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cs="Times New Roman"/>
          <w:color w:val="000000"/>
        </w:rPr>
      </w:pPr>
    </w:p>
    <w:p w14:paraId="72765D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绿色矿山第三方评估，是指政府管理部门委托第三方评估机构，对矿山企业绿色矿山建设达标情况进行评估，形成第三方评估报告的行为。为保证绿色矿山遴选质量，规范第三方评估工作，根据《自然资源部 生态环境部 财政部 国家市场监督管理总局 国家金融监督管理总局 中国证券监督管理委员会 国家林业和草原局关于进一步加强绿色矿山建设的通知》（自然资规〔2024〕1号）、《云南省自然资源厅 云南省生态环境厅 云南省财政厅 云南省市场监督管理局 云南省林业和草原局 国家金融监督管理总局云南监管局 中国证券监督管理委员会云南监管局关于印发云南省绿色矿山建设实施方案的通知》（云自然资〔2025〕31号）规定，制定本要求。</w:t>
      </w:r>
    </w:p>
    <w:p w14:paraId="040DA3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一、评估机构</w:t>
      </w:r>
    </w:p>
    <w:p w14:paraId="219EA7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（一）第三方评估机构是具有独立法人资格的企事业单位、行业协会，具备开展绿色矿山建设评估的经验和能力，能够长期稳定开展评估工作。</w:t>
      </w:r>
    </w:p>
    <w:p w14:paraId="3D8F10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textAlignment w:val="auto"/>
        <w:rPr>
          <w:rFonts w:hint="eastAsia" w:ascii="宋体" w:hAnsi="宋体" w:eastAsia="方正仿宋_GBK" w:cs="方正仿宋_GBK"/>
          <w:sz w:val="32"/>
          <w:szCs w:val="32"/>
          <w:lang w:val="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46"/>
          <w:cols w:space="720" w:num="1"/>
          <w:docGrid w:type="lines" w:linePitch="312" w:charSpace="0"/>
        </w:sectPr>
      </w:pPr>
      <w:r>
        <w:rPr>
          <w:rFonts w:hint="eastAsia" w:ascii="宋体" w:hAnsi="宋体" w:eastAsia="方正仿宋_GBK" w:cs="方正仿宋_GBK"/>
          <w:sz w:val="32"/>
          <w:szCs w:val="32"/>
          <w:lang w:val="zh-CN"/>
        </w:rPr>
        <w:t>（二）第三方评估机构应具有开展评估工作的办公条件，具有健全的管理制度，严格遵守国家法律法规和评价程序。开展绿色矿山评估的相关专业技术人员不少于20名（其中高级职称人员不少于80%），熟悉绿色矿山相关政策</w:t>
      </w:r>
    </w:p>
    <w:p w14:paraId="162A236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和标准。</w:t>
      </w:r>
    </w:p>
    <w:p w14:paraId="2B8987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三）由省级自然资源主管部门委托第三方评估机构开展评估，通过合同、协议等形式明确第三方评估机构权利义务。评估机构应与待评估矿山保持独立，不得参与矿山企业自评估工作评估，工作开展前后一年内不得与矿山企业有关联业务往来。严禁以任何形式收取矿山企业任何费用和利用评估谋取不正当利益。评估专家应实行回避原则。</w:t>
      </w:r>
    </w:p>
    <w:p w14:paraId="67B138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二、评估要求</w:t>
      </w:r>
    </w:p>
    <w:p w14:paraId="0B8CF3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（一）以《非金属矿行业绿色矿山建设规范》等9项行业标准、绿色矿山建设评价指标为依据，科学、严谨、公平、公正的开展评估。</w:t>
      </w:r>
    </w:p>
    <w:p w14:paraId="7DEB9F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二）第三方评估报告应包括评估依据、评估过程、评估综述和结论等（报告提纲附后）。要详细叙述评估程序、查阅资料、查看现场等情况，明确判定矿山企业是否符合标准要求的依据，对引用的关键内容给出相关文件来源，做到证据信息可信、内容精要、判定准确。</w:t>
      </w:r>
    </w:p>
    <w:p w14:paraId="226515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三）第三方评估机构应健全评估档案管理制度。出具评估报告后30日内，应及时将评估报告及相应记录/材料（复印件）等归档保存。同时，严格落实国家保密相关规定，对评估工作中涉及的所有矿山企业隐私或商业秘密必须严格保密，合理保存和使用矿山企业所提供的数据资料，未经允许严禁挪作他用。</w:t>
      </w:r>
    </w:p>
    <w:p w14:paraId="6AAA9F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textAlignment w:val="auto"/>
        <w:rPr>
          <w:rFonts w:hint="eastAsia" w:ascii="宋体" w:hAnsi="宋体" w:eastAsia="方正仿宋_GBK" w:cs="方正仿宋_GBK"/>
          <w:sz w:val="32"/>
          <w:szCs w:val="32"/>
          <w:lang w:val="zh-CN"/>
        </w:rPr>
        <w:sectPr>
          <w:footerReference r:id="rId9" w:type="default"/>
          <w:pgSz w:w="11906" w:h="16838"/>
          <w:pgMar w:top="1440" w:right="1800" w:bottom="1440" w:left="1800" w:header="851" w:footer="992" w:gutter="0"/>
          <w:pgNumType w:fmt="decimal" w:start="47"/>
          <w:cols w:space="720" w:num="1"/>
          <w:docGrid w:type="lines" w:linePitch="312" w:charSpace="0"/>
        </w:sectPr>
      </w:pPr>
      <w:r>
        <w:rPr>
          <w:rFonts w:hint="eastAsia" w:ascii="宋体" w:hAnsi="宋体" w:eastAsia="方正仿宋_GBK" w:cs="方正仿宋_GBK"/>
          <w:sz w:val="32"/>
          <w:szCs w:val="32"/>
          <w:lang w:val="zh-CN"/>
        </w:rPr>
        <w:t>（四）第三方评估工作应规范严谨，实地核查基准人</w:t>
      </w:r>
    </w:p>
    <w:p w14:paraId="04E66E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日数不少于5人日。评估机构应对评估合法性、合规性和评估结论负责，相关工作接受各级自然资源主管部门、矿山企业和社会公众的监督。</w:t>
      </w:r>
    </w:p>
    <w:p w14:paraId="058E84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三、工作程序</w:t>
      </w:r>
    </w:p>
    <w:p w14:paraId="7B71DD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一）确定第三方。对通过州（市）级复审的矿山企业，由省级自然资源主管部门委托第三方评估机构，赴矿山企业开展现场核查评估，在云南省绿色矿山管理信息系统中填写承担评估任务的第三方评估机构名单，并建立与矿山企业的对应关系。</w:t>
      </w:r>
    </w:p>
    <w:p w14:paraId="111CF1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第三方评估机构要按规定组成评估组，组长应由本机构具备评估经验的全职人员担任，评估组应不少于5人，均应为高级及以上职称，评估机构专家确不能满足评估要求的，应从云南省绿色矿山建设评估专家库中随机抽取相关专业专家。评估专家应熟悉绿色矿山相关政策、标准及相关行业，宜涵盖</w:t>
      </w:r>
      <w:bookmarkStart w:id="0" w:name="_Hlk166827523"/>
      <w:r>
        <w:rPr>
          <w:rFonts w:hint="eastAsia" w:ascii="宋体" w:hAnsi="宋体" w:eastAsia="方正仿宋_GBK" w:cs="方正仿宋_GBK"/>
          <w:sz w:val="32"/>
          <w:szCs w:val="32"/>
          <w:lang w:val="zh-CN"/>
        </w:rPr>
        <w:t>地质、采矿、选矿、生态、环境</w:t>
      </w:r>
      <w:bookmarkEnd w:id="0"/>
      <w:r>
        <w:rPr>
          <w:rFonts w:hint="eastAsia" w:ascii="宋体" w:hAnsi="宋体" w:eastAsia="方正仿宋_GBK" w:cs="方正仿宋_GBK"/>
          <w:sz w:val="32"/>
          <w:szCs w:val="32"/>
          <w:lang w:val="zh-CN"/>
        </w:rPr>
        <w:t>等专业，其中至少含有1名生态或环境类专业专家。</w:t>
      </w:r>
    </w:p>
    <w:p w14:paraId="66379A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二）内业评估。评估组审核矿山企业提交的自评估报告等资料，对评价指标先决条件进行审定。相关内容、材料缺失时，通知矿山企业补充或重新提交。经初步评估，讨论确定现场评估重点，告知矿山企业现场评估时间。</w:t>
      </w:r>
    </w:p>
    <w:p w14:paraId="2D77FAA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textAlignment w:val="auto"/>
        <w:rPr>
          <w:rFonts w:hint="eastAsia" w:ascii="宋体" w:hAnsi="宋体" w:eastAsia="方正仿宋_GBK" w:cs="方正仿宋_GBK"/>
          <w:sz w:val="32"/>
          <w:szCs w:val="32"/>
          <w:lang w:val="zh-CN"/>
        </w:rPr>
        <w:sectPr>
          <w:footerReference r:id="rId10" w:type="default"/>
          <w:pgSz w:w="11906" w:h="16838"/>
          <w:pgMar w:top="1440" w:right="1800" w:bottom="1440" w:left="1800" w:header="851" w:footer="992" w:gutter="0"/>
          <w:pgNumType w:fmt="decimal" w:start="48"/>
          <w:cols w:space="720" w:num="1"/>
          <w:docGrid w:type="lines" w:linePitch="312" w:charSpace="0"/>
        </w:sectPr>
      </w:pPr>
      <w:r>
        <w:rPr>
          <w:rFonts w:hint="eastAsia" w:ascii="宋体" w:hAnsi="宋体" w:eastAsia="方正仿宋_GBK" w:cs="方正仿宋_GBK"/>
          <w:sz w:val="32"/>
          <w:szCs w:val="32"/>
          <w:lang w:val="zh-CN"/>
        </w:rPr>
        <w:t>（三）现场评估。1.召开评估会议。评估组与矿山企业相关管理人员召开评估会议，由评估组组长介绍评估目的、评估计划，宣读评估工作承诺书（样式附后）。矿山</w:t>
      </w:r>
    </w:p>
    <w:p w14:paraId="1A7514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企业绿色矿山建设相关工作负责人介绍建设情况，评估组就相关情况进行问询。2.开展实地核查。评估组赴生产区、办公区、生活区等场所，根据评价指标逐项查看现场工作情况、规范程度，查阅相关生产运营管理记录，对相关指标开展问询，对关键位置拍摄照片，做好核查记录。3.以公正、透明的方式征询受采矿活动影响的社区等利益相关者意见。</w:t>
      </w:r>
    </w:p>
    <w:p w14:paraId="7588E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四）编制报告。评估组综合内业评估、现场评估情况，讨论确定评估结论，总结矿山企业建设工作亮点，明确失分项及原因并提出改进建议，填写绿色矿山建设评分表，编制第三方评估报告，同时将绿色矿山建设评分表、评估组专家名单、评估会议签到表、会议记录、实地核查记录、实景会议及现场核查影像资料等作为报告附件。</w:t>
      </w:r>
    </w:p>
    <w:p w14:paraId="2B870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（五）提交结果。第三方评估机构在合同或协议要求时限内撰写评估报告，将评估组承诺书（盖章）、第三方评估报告（盖章）、专家名单签字表扫描件（pdf格式）提交省级自然资源主管部门。</w:t>
      </w:r>
    </w:p>
    <w:p w14:paraId="366CC5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四、监督管理</w:t>
      </w:r>
    </w:p>
    <w:p w14:paraId="02E670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（一）建立随机抽查制度。省级自然资源主管部门联合相关部门，定期或不定期对第三方评估机构进行抽查。抽查可以由主管部门、相关技术专家组成的专家组进行。</w:t>
      </w:r>
    </w:p>
    <w:p w14:paraId="3E1429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distribute"/>
        <w:textAlignment w:val="auto"/>
        <w:rPr>
          <w:rFonts w:hint="eastAsia" w:ascii="宋体" w:hAnsi="宋体" w:eastAsia="方正仿宋_GBK" w:cs="方正仿宋_GBK"/>
          <w:sz w:val="32"/>
          <w:szCs w:val="32"/>
          <w:lang w:val="zh-CN"/>
        </w:rPr>
        <w:sectPr>
          <w:footerReference r:id="rId11" w:type="default"/>
          <w:pgSz w:w="11906" w:h="16838"/>
          <w:pgMar w:top="1440" w:right="1800" w:bottom="1440" w:left="1800" w:header="851" w:footer="992" w:gutter="0"/>
          <w:pgNumType w:fmt="decimal" w:start="49"/>
          <w:cols w:space="720" w:num="1"/>
          <w:docGrid w:type="lines" w:linePitch="312" w:charSpace="0"/>
        </w:sectPr>
      </w:pPr>
      <w:r>
        <w:rPr>
          <w:rFonts w:hint="eastAsia" w:ascii="宋体" w:hAnsi="宋体" w:eastAsia="方正仿宋_GBK" w:cs="方正仿宋_GBK"/>
          <w:sz w:val="32"/>
          <w:szCs w:val="32"/>
          <w:lang w:val="zh-CN"/>
        </w:rPr>
        <w:t>（二）建立投诉处理机制。任何单位及个人可在掌握事实的前提下就第三方评估机构违法违规评估行为向省级自然资源主管部门进行基于证据的实名举报或者投诉，受</w:t>
      </w:r>
    </w:p>
    <w:p w14:paraId="76FBAC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理部门依法进行核实处理，被举报或投诉的评估机构可针对事件进行说明。受理部门公示调查结果和处理意见。</w:t>
      </w:r>
    </w:p>
    <w:p w14:paraId="0F55A7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三）建立“黑名单”和责任追究机制。省级自然资源主管部门联合相关部门，对经核实存在将所承担评估工作转让或外包、泄露矿山企业秘密、串通企业弄虚作假、评估结论严重失实等违规行为的第三方评估机构和评估人员，予以通报并纳入黑名单，3年内不再采信其绿色矿山评估服务。</w:t>
      </w:r>
    </w:p>
    <w:p w14:paraId="2477BC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p>
    <w:p w14:paraId="4E6E6A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附件：6-1.承诺书</w:t>
      </w:r>
    </w:p>
    <w:p w14:paraId="247A07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sz w:val="32"/>
          <w:szCs w:val="32"/>
          <w:lang w:val="zh-CN"/>
        </w:rPr>
      </w:pPr>
      <w:r>
        <w:rPr>
          <w:rFonts w:hint="eastAsia" w:ascii="宋体" w:hAnsi="宋体" w:eastAsia="方正仿宋_GBK" w:cs="方正仿宋_GBK"/>
          <w:sz w:val="32"/>
          <w:szCs w:val="32"/>
          <w:lang w:val="zh-CN"/>
        </w:rPr>
        <w:t xml:space="preserve">      6-2.第三方评估报告（参考提纲）</w:t>
      </w:r>
    </w:p>
    <w:p w14:paraId="5EDE98E4">
      <w:pPr>
        <w:widowControl w:val="0"/>
        <w:spacing w:line="570" w:lineRule="exact"/>
        <w:ind w:firstLine="640"/>
        <w:rPr>
          <w:rFonts w:hint="eastAsia" w:ascii="宋体" w:hAnsi="宋体" w:eastAsia="方正仿宋_GBK" w:cs="方正仿宋_GBK"/>
          <w:sz w:val="32"/>
          <w:szCs w:val="32"/>
          <w:lang w:val="zh-CN"/>
        </w:rPr>
        <w:sectPr>
          <w:footerReference r:id="rId12" w:type="default"/>
          <w:pgSz w:w="11906" w:h="16838"/>
          <w:pgMar w:top="1440" w:right="1800" w:bottom="1440" w:left="1800" w:header="851" w:footer="992" w:gutter="0"/>
          <w:pgNumType w:fmt="decimal" w:start="53"/>
          <w:cols w:space="720" w:num="1"/>
          <w:docGrid w:type="lines" w:linePitch="312" w:charSpace="0"/>
        </w:sectPr>
      </w:pPr>
      <w:r>
        <w:rPr>
          <w:rFonts w:hint="eastAsia" w:ascii="宋体" w:hAnsi="宋体" w:eastAsia="方正仿宋_GBK" w:cs="方正仿宋_GBK"/>
          <w:sz w:val="32"/>
          <w:szCs w:val="32"/>
          <w:lang w:val="zh-CN"/>
        </w:rPr>
        <w:t xml:space="preserve"> </w:t>
      </w:r>
    </w:p>
    <w:p w14:paraId="291D40D3">
      <w:pPr>
        <w:widowControl w:val="0"/>
        <w:spacing w:line="570" w:lineRule="exact"/>
        <w:rPr>
          <w:rFonts w:hint="eastAsia" w:ascii="宋体" w:hAnsi="宋体" w:eastAsia="方正黑体_GBK" w:cs="方正黑体_GBK"/>
          <w:sz w:val="32"/>
          <w:szCs w:val="32"/>
          <w:lang w:val="en-US" w:eastAsia="zh-CN"/>
        </w:rPr>
      </w:pPr>
      <w:r>
        <w:rPr>
          <w:rFonts w:hint="eastAsia" w:ascii="宋体" w:hAnsi="宋体" w:eastAsia="方正黑体_GBK" w:cs="方正黑体_GBK"/>
          <w:sz w:val="32"/>
          <w:szCs w:val="32"/>
          <w:lang w:val="en-US" w:eastAsia="zh-CN"/>
        </w:rPr>
        <w:t>附件6-1</w:t>
      </w:r>
    </w:p>
    <w:p w14:paraId="68EC3E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cs="Times New Roman"/>
          <w:color w:val="000000"/>
        </w:rPr>
      </w:pPr>
    </w:p>
    <w:p w14:paraId="17B1FA2D">
      <w:pPr>
        <w:widowControl w:val="0"/>
        <w:spacing w:line="640" w:lineRule="exact"/>
        <w:ind w:firstLine="0" w:firstLineChars="0"/>
        <w:jc w:val="center"/>
        <w:rPr>
          <w:rFonts w:hint="eastAsia"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承  诺  书</w:t>
      </w:r>
    </w:p>
    <w:p w14:paraId="3D0EDF81">
      <w:pPr>
        <w:widowControl w:val="0"/>
        <w:spacing w:line="570" w:lineRule="exact"/>
        <w:ind w:firstLine="640"/>
        <w:rPr>
          <w:rFonts w:hint="eastAsia" w:ascii="宋体" w:hAnsi="宋体" w:cs="Times New Roman"/>
          <w:color w:val="000000"/>
        </w:rPr>
      </w:pPr>
    </w:p>
    <w:p w14:paraId="2FE4D3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本评估组承诺，此次绿色矿山第三方评估工作，我们将客观公正、实事求是，全过程严格按照绿色矿山第三方评估工作要求、绿色矿山建设标准和评价指标有关要求开展评估，不以任何理由收取矿山企业任何费用，确保评估结论真实、有效。如有违反规定或弄虚作假，愿承担相应责任。</w:t>
      </w:r>
    </w:p>
    <w:p w14:paraId="7EFABF42">
      <w:pPr>
        <w:widowControl w:val="0"/>
        <w:spacing w:line="570" w:lineRule="exact"/>
        <w:ind w:firstLine="640"/>
        <w:rPr>
          <w:rFonts w:hint="eastAsia" w:ascii="宋体" w:hAnsi="宋体" w:eastAsia="方正仿宋_GBK" w:cs="方正仿宋_GBK"/>
          <w:color w:val="000000"/>
          <w:sz w:val="32"/>
          <w:szCs w:val="32"/>
        </w:rPr>
      </w:pPr>
    </w:p>
    <w:p w14:paraId="0F2490C3">
      <w:pPr>
        <w:widowControl w:val="0"/>
        <w:spacing w:line="570" w:lineRule="exact"/>
        <w:ind w:firstLine="640"/>
        <w:rPr>
          <w:rFonts w:hint="eastAsia" w:ascii="宋体" w:hAnsi="宋体" w:eastAsia="方正仿宋_GBK" w:cs="方正仿宋_GBK"/>
          <w:color w:val="000000"/>
          <w:sz w:val="32"/>
          <w:szCs w:val="32"/>
        </w:rPr>
      </w:pPr>
    </w:p>
    <w:p w14:paraId="0FD1400D">
      <w:pPr>
        <w:widowControl w:val="0"/>
        <w:spacing w:line="570" w:lineRule="exact"/>
        <w:ind w:firstLine="640"/>
        <w:rPr>
          <w:rFonts w:hint="eastAsia" w:ascii="宋体" w:hAnsi="宋体" w:eastAsia="方正仿宋_GBK" w:cs="方正仿宋_GBK"/>
          <w:color w:val="000000"/>
          <w:sz w:val="32"/>
          <w:szCs w:val="32"/>
        </w:rPr>
      </w:pPr>
    </w:p>
    <w:p w14:paraId="08541738">
      <w:pPr>
        <w:widowControl w:val="0"/>
        <w:spacing w:line="720" w:lineRule="auto"/>
        <w:ind w:firstLine="2976" w:firstLineChars="930"/>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第三方评估机构：（盖章）</w:t>
      </w:r>
    </w:p>
    <w:p w14:paraId="02CFE0AC">
      <w:pPr>
        <w:widowControl w:val="0"/>
        <w:spacing w:line="720" w:lineRule="auto"/>
        <w:ind w:firstLine="2976" w:firstLineChars="930"/>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评估组组长：</w:t>
      </w:r>
    </w:p>
    <w:p w14:paraId="27EDF131">
      <w:pPr>
        <w:widowControl w:val="0"/>
        <w:spacing w:line="720" w:lineRule="auto"/>
        <w:ind w:firstLine="2976" w:firstLineChars="930"/>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评估组成员：</w:t>
      </w:r>
    </w:p>
    <w:p w14:paraId="64D41579">
      <w:pPr>
        <w:widowControl w:val="0"/>
        <w:spacing w:line="720" w:lineRule="auto"/>
        <w:ind w:firstLine="640"/>
        <w:rPr>
          <w:rFonts w:hint="eastAsia" w:ascii="宋体" w:hAnsi="宋体" w:cs="Times New Roman"/>
          <w:color w:val="000000"/>
        </w:rPr>
      </w:pPr>
    </w:p>
    <w:p w14:paraId="096E5BED">
      <w:pPr>
        <w:widowControl w:val="0"/>
        <w:spacing w:line="570" w:lineRule="exact"/>
        <w:ind w:firstLine="640"/>
        <w:rPr>
          <w:rFonts w:hint="eastAsia" w:ascii="宋体" w:hAnsi="宋体" w:cs="Times New Roman"/>
          <w:color w:val="000000"/>
        </w:rPr>
      </w:pPr>
    </w:p>
    <w:p w14:paraId="6147E3D4">
      <w:pPr>
        <w:widowControl w:val="0"/>
        <w:spacing w:line="570" w:lineRule="exact"/>
        <w:ind w:right="840" w:rightChars="400" w:firstLine="640"/>
        <w:jc w:val="right"/>
        <w:rPr>
          <w:rFonts w:hint="eastAsia" w:ascii="宋体" w:hAnsi="宋体"/>
          <w:color w:val="000000"/>
        </w:rPr>
        <w:sectPr>
          <w:footerReference r:id="rId13" w:type="default"/>
          <w:pgSz w:w="11906" w:h="16838"/>
          <w:pgMar w:top="1440" w:right="1800" w:bottom="1440" w:left="1800" w:header="851" w:footer="992" w:gutter="0"/>
          <w:pgNumType w:fmt="decimal" w:start="54"/>
          <w:cols w:space="720" w:num="1"/>
          <w:docGrid w:type="lines" w:linePitch="312" w:charSpace="0"/>
        </w:sectPr>
      </w:pPr>
      <w:r>
        <w:rPr>
          <w:rFonts w:hint="eastAsia" w:ascii="宋体" w:hAnsi="宋体" w:eastAsia="方正仿宋_GBK" w:cs="方正仿宋_GBK"/>
          <w:color w:val="000000"/>
          <w:sz w:val="32"/>
          <w:szCs w:val="32"/>
        </w:rPr>
        <w:t xml:space="preserve">年  月  日  </w:t>
      </w:r>
      <w:r>
        <w:rPr>
          <w:rFonts w:hint="eastAsia" w:ascii="宋体" w:hAnsi="宋体" w:cs="Times New Roman"/>
          <w:color w:val="000000"/>
        </w:rPr>
        <w:t xml:space="preserve"> </w:t>
      </w:r>
    </w:p>
    <w:p w14:paraId="47A44091">
      <w:pPr>
        <w:widowControl w:val="0"/>
        <w:spacing w:line="570" w:lineRule="exact"/>
        <w:ind w:firstLine="0" w:firstLineChars="0"/>
        <w:jc w:val="both"/>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附件6</w:t>
      </w:r>
      <w:r>
        <w:rPr>
          <w:rFonts w:ascii="宋体" w:hAnsi="宋体" w:eastAsia="方正黑体_GBK" w:cs="Times New Roman"/>
          <w:bCs/>
          <w:kern w:val="44"/>
          <w:sz w:val="32"/>
          <w:szCs w:val="44"/>
          <w:lang w:val="en-US" w:eastAsia="zh-CN" w:bidi="ar-SA"/>
        </w:rPr>
        <w:t>-</w:t>
      </w:r>
      <w:r>
        <w:rPr>
          <w:rFonts w:hint="eastAsia" w:ascii="宋体" w:hAnsi="宋体" w:eastAsia="方正黑体_GBK" w:cs="Times New Roman"/>
          <w:bCs/>
          <w:kern w:val="44"/>
          <w:sz w:val="32"/>
          <w:szCs w:val="44"/>
          <w:lang w:val="en-US" w:eastAsia="zh-CN" w:bidi="ar-SA"/>
        </w:rPr>
        <w:t>2</w:t>
      </w:r>
    </w:p>
    <w:p w14:paraId="2065940D">
      <w:pPr>
        <w:widowControl w:val="0"/>
        <w:spacing w:line="570" w:lineRule="exact"/>
        <w:rPr>
          <w:rFonts w:hint="eastAsia" w:ascii="宋体" w:hAnsi="宋体" w:cs="Times New Roman"/>
          <w:color w:val="000000"/>
        </w:rPr>
      </w:pPr>
    </w:p>
    <w:p w14:paraId="7F464826">
      <w:pPr>
        <w:widowControl w:val="0"/>
        <w:spacing w:line="640" w:lineRule="exact"/>
        <w:ind w:firstLine="0" w:firstLineChars="0"/>
        <w:jc w:val="center"/>
        <w:rPr>
          <w:rFonts w:hint="eastAsia"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云南省绿色矿山第三方评估报告</w:t>
      </w:r>
    </w:p>
    <w:p w14:paraId="28432519">
      <w:pPr>
        <w:widowControl w:val="0"/>
        <w:spacing w:line="570" w:lineRule="exact"/>
        <w:ind w:firstLine="0" w:firstLineChars="0"/>
        <w:jc w:val="center"/>
        <w:rPr>
          <w:rFonts w:hint="eastAsia" w:ascii="宋体" w:hAnsi="宋体" w:eastAsia="方正楷体_GBK" w:cs="仿宋_GB2312"/>
          <w:sz w:val="28"/>
          <w:szCs w:val="28"/>
        </w:rPr>
      </w:pPr>
      <w:r>
        <w:rPr>
          <w:rFonts w:hint="eastAsia" w:ascii="宋体" w:hAnsi="宋体" w:eastAsia="方正楷体_GBK" w:cs="仿宋_GB2312"/>
          <w:sz w:val="28"/>
          <w:szCs w:val="28"/>
        </w:rPr>
        <w:t>（参考提纲）</w:t>
      </w:r>
    </w:p>
    <w:p w14:paraId="2A54F315">
      <w:pPr>
        <w:widowControl w:val="0"/>
        <w:spacing w:line="570" w:lineRule="exact"/>
        <w:ind w:firstLine="560"/>
        <w:jc w:val="center"/>
        <w:rPr>
          <w:rFonts w:hint="eastAsia" w:ascii="宋体" w:hAnsi="宋体" w:eastAsia="仿宋_GB2312" w:cs="仿宋_GB2312"/>
          <w:sz w:val="28"/>
          <w:szCs w:val="28"/>
        </w:rPr>
      </w:pPr>
    </w:p>
    <w:p w14:paraId="3FBAB972">
      <w:pPr>
        <w:widowControl w:val="0"/>
        <w:spacing w:line="570" w:lineRule="exact"/>
        <w:ind w:firstLine="560"/>
        <w:jc w:val="center"/>
        <w:rPr>
          <w:rFonts w:hint="eastAsia" w:ascii="宋体" w:hAnsi="宋体" w:eastAsia="仿宋_GB2312" w:cs="仿宋_GB2312"/>
          <w:sz w:val="28"/>
          <w:szCs w:val="28"/>
        </w:rPr>
      </w:pPr>
    </w:p>
    <w:p w14:paraId="67EC770C">
      <w:pPr>
        <w:widowControl w:val="0"/>
        <w:spacing w:line="570" w:lineRule="exact"/>
        <w:ind w:firstLine="560"/>
        <w:jc w:val="center"/>
        <w:rPr>
          <w:rFonts w:hint="eastAsia" w:ascii="宋体" w:hAnsi="宋体" w:eastAsia="仿宋_GB2312" w:cs="仿宋_GB2312"/>
          <w:sz w:val="28"/>
          <w:szCs w:val="28"/>
        </w:rPr>
      </w:pPr>
    </w:p>
    <w:p w14:paraId="156AAE72">
      <w:pPr>
        <w:widowControl w:val="0"/>
        <w:spacing w:line="570" w:lineRule="exact"/>
        <w:ind w:firstLine="560"/>
        <w:jc w:val="center"/>
        <w:rPr>
          <w:rFonts w:hint="eastAsia" w:ascii="宋体" w:hAnsi="宋体" w:eastAsia="仿宋_GB2312" w:cs="仿宋_GB2312"/>
          <w:sz w:val="28"/>
          <w:szCs w:val="28"/>
        </w:rPr>
      </w:pPr>
    </w:p>
    <w:p w14:paraId="4E2FC98D">
      <w:pPr>
        <w:widowControl w:val="0"/>
        <w:spacing w:line="570" w:lineRule="exact"/>
        <w:ind w:firstLine="560"/>
        <w:jc w:val="center"/>
        <w:rPr>
          <w:rFonts w:hint="eastAsia" w:ascii="宋体" w:hAnsi="宋体" w:eastAsia="仿宋_GB2312" w:cs="仿宋_GB2312"/>
          <w:sz w:val="28"/>
          <w:szCs w:val="28"/>
        </w:rPr>
      </w:pPr>
    </w:p>
    <w:p w14:paraId="000003D9">
      <w:pPr>
        <w:widowControl w:val="0"/>
        <w:spacing w:line="570" w:lineRule="exact"/>
        <w:ind w:firstLine="560"/>
        <w:jc w:val="center"/>
        <w:rPr>
          <w:rFonts w:hint="eastAsia" w:ascii="宋体" w:hAnsi="宋体" w:eastAsia="仿宋_GB2312" w:cs="仿宋_GB2312"/>
          <w:sz w:val="28"/>
          <w:szCs w:val="28"/>
        </w:rPr>
      </w:pPr>
    </w:p>
    <w:p w14:paraId="4EB87EE1">
      <w:pPr>
        <w:widowControl w:val="0"/>
        <w:spacing w:line="570" w:lineRule="exact"/>
        <w:ind w:firstLine="560"/>
        <w:jc w:val="center"/>
        <w:rPr>
          <w:rFonts w:hint="eastAsia" w:ascii="宋体" w:hAnsi="宋体" w:eastAsia="仿宋_GB2312" w:cs="仿宋_GB2312"/>
          <w:sz w:val="28"/>
          <w:szCs w:val="28"/>
        </w:rPr>
      </w:pPr>
    </w:p>
    <w:p w14:paraId="12A26760">
      <w:pPr>
        <w:widowControl w:val="0"/>
        <w:spacing w:line="360" w:lineRule="auto"/>
        <w:ind w:left="420" w:leftChars="200" w:firstLine="800" w:firstLineChars="250"/>
        <w:rPr>
          <w:rFonts w:hint="eastAsia" w:ascii="宋体" w:hAnsi="宋体" w:eastAsia="仿宋" w:cs="Times New Roman"/>
          <w:szCs w:val="32"/>
          <w:u w:val="single"/>
        </w:rPr>
      </w:pPr>
      <w:r>
        <w:rPr>
          <w:rFonts w:hint="eastAsia" w:ascii="宋体" w:hAnsi="宋体" w:eastAsia="方正仿宋_GBK" w:cs="方正仿宋_GBK"/>
          <w:sz w:val="32"/>
          <w:szCs w:val="32"/>
        </w:rPr>
        <w:t>矿山名称 ：</w:t>
      </w:r>
      <w:r>
        <w:rPr>
          <w:rFonts w:hint="eastAsia" w:ascii="宋体" w:hAnsi="宋体" w:eastAsia="仿宋" w:cs="Times New Roman"/>
          <w:szCs w:val="32"/>
          <w:u w:val="single"/>
        </w:rPr>
        <w:t xml:space="preserve">                      </w:t>
      </w:r>
      <w:r>
        <w:rPr>
          <w:rFonts w:ascii="宋体" w:hAnsi="宋体" w:eastAsia="仿宋" w:cs="Times New Roman"/>
          <w:szCs w:val="32"/>
          <w:u w:val="single"/>
        </w:rPr>
        <w:t xml:space="preserve">       </w:t>
      </w:r>
    </w:p>
    <w:p w14:paraId="0E0BE28F">
      <w:pPr>
        <w:widowControl w:val="0"/>
        <w:spacing w:line="360" w:lineRule="auto"/>
        <w:ind w:left="420" w:leftChars="200" w:firstLine="640"/>
        <w:rPr>
          <w:rFonts w:hint="eastAsia" w:ascii="宋体" w:hAnsi="宋体" w:eastAsia="仿宋" w:cs="Times New Roman"/>
          <w:szCs w:val="32"/>
          <w:u w:val="single"/>
        </w:rPr>
      </w:pPr>
    </w:p>
    <w:p w14:paraId="6AE30085">
      <w:pPr>
        <w:widowControl w:val="0"/>
        <w:spacing w:line="360" w:lineRule="auto"/>
        <w:ind w:left="420" w:leftChars="200" w:firstLine="800" w:firstLineChars="250"/>
        <w:rPr>
          <w:rFonts w:hint="eastAsia" w:ascii="宋体" w:hAnsi="宋体" w:eastAsia="仿宋" w:cs="Times New Roman"/>
          <w:szCs w:val="32"/>
          <w:u w:val="single"/>
        </w:rPr>
      </w:pPr>
      <w:r>
        <w:rPr>
          <w:rFonts w:hint="eastAsia" w:ascii="宋体" w:hAnsi="宋体" w:eastAsia="方正仿宋_GBK" w:cs="方正仿宋_GBK"/>
          <w:sz w:val="32"/>
          <w:szCs w:val="32"/>
        </w:rPr>
        <w:t>评估机构名称（盖章）：</w:t>
      </w:r>
      <w:r>
        <w:rPr>
          <w:rFonts w:hint="eastAsia" w:ascii="宋体" w:hAnsi="宋体" w:eastAsia="仿宋" w:cs="Times New Roman"/>
          <w:szCs w:val="32"/>
          <w:u w:val="single"/>
        </w:rPr>
        <w:t xml:space="preserve">                    </w:t>
      </w:r>
    </w:p>
    <w:p w14:paraId="4D2B30C6">
      <w:pPr>
        <w:widowControl w:val="0"/>
        <w:spacing w:line="360" w:lineRule="auto"/>
        <w:ind w:firstLine="640"/>
        <w:rPr>
          <w:rFonts w:hint="eastAsia" w:ascii="宋体" w:hAnsi="宋体" w:eastAsia="仿宋" w:cs="Times New Roman"/>
          <w:szCs w:val="32"/>
        </w:rPr>
      </w:pPr>
    </w:p>
    <w:p w14:paraId="6BF3A53A">
      <w:pPr>
        <w:widowControl w:val="0"/>
        <w:spacing w:line="360" w:lineRule="auto"/>
        <w:ind w:firstLine="640"/>
        <w:rPr>
          <w:rFonts w:hint="eastAsia" w:ascii="宋体" w:hAnsi="宋体" w:eastAsia="仿宋_GB2312" w:cs="Times New Roman"/>
          <w:szCs w:val="32"/>
        </w:rPr>
      </w:pPr>
    </w:p>
    <w:p w14:paraId="78894E53">
      <w:pPr>
        <w:widowControl w:val="0"/>
        <w:spacing w:line="360" w:lineRule="auto"/>
        <w:ind w:firstLine="640"/>
        <w:rPr>
          <w:rFonts w:hint="eastAsia" w:ascii="宋体" w:hAnsi="宋体" w:eastAsia="仿宋_GB2312" w:cs="Times New Roman"/>
          <w:szCs w:val="32"/>
        </w:rPr>
      </w:pPr>
    </w:p>
    <w:p w14:paraId="2C6AC306">
      <w:pPr>
        <w:widowControl w:val="0"/>
        <w:spacing w:line="570" w:lineRule="exact"/>
        <w:ind w:firstLine="600"/>
        <w:jc w:val="center"/>
        <w:rPr>
          <w:rFonts w:hint="eastAsia" w:ascii="宋体" w:hAnsi="宋体" w:eastAsia="仿宋" w:cs="仿宋_GB2312"/>
          <w:szCs w:val="32"/>
        </w:rPr>
      </w:pPr>
      <w:r>
        <w:rPr>
          <w:rFonts w:hint="eastAsia" w:ascii="宋体" w:hAnsi="宋体" w:eastAsia="仿宋" w:cs="仿宋_GB2312"/>
          <w:sz w:val="30"/>
        </w:rPr>
        <w:t xml:space="preserve">    年    月    日</w:t>
      </w:r>
    </w:p>
    <w:p w14:paraId="3ECBCD72">
      <w:pPr>
        <w:spacing w:line="360" w:lineRule="auto"/>
        <w:ind w:firstLine="640"/>
        <w:rPr>
          <w:rFonts w:hint="eastAsia" w:ascii="宋体" w:hAnsi="宋体" w:eastAsia="仿宋_GB2312"/>
          <w:szCs w:val="32"/>
        </w:rPr>
        <w:sectPr>
          <w:footerReference r:id="rId14" w:type="default"/>
          <w:pgSz w:w="11906" w:h="16838"/>
          <w:pgMar w:top="1440" w:right="1800" w:bottom="1440" w:left="1800" w:header="851" w:footer="992" w:gutter="0"/>
          <w:pgNumType w:fmt="decimal" w:start="55"/>
          <w:cols w:space="720" w:num="1"/>
          <w:docGrid w:type="lines" w:linePitch="312" w:charSpace="0"/>
        </w:sectPr>
      </w:pPr>
    </w:p>
    <w:p w14:paraId="66BB61EB">
      <w:pPr>
        <w:widowControl w:val="0"/>
        <w:spacing w:after="240" w:line="570" w:lineRule="exact"/>
        <w:ind w:firstLine="0" w:firstLineChars="0"/>
        <w:jc w:val="center"/>
        <w:rPr>
          <w:rFonts w:hint="eastAsia" w:ascii="宋体" w:hAnsi="宋体" w:eastAsia="方正黑体_GBK" w:cs="方正黑体_GBK"/>
          <w:kern w:val="0"/>
          <w:sz w:val="32"/>
          <w:szCs w:val="32"/>
          <w:lang w:bidi="ar"/>
        </w:rPr>
      </w:pPr>
      <w:r>
        <w:rPr>
          <w:rFonts w:hint="eastAsia" w:ascii="宋体" w:hAnsi="宋体" w:eastAsia="方正黑体_GBK" w:cs="方正黑体_GBK"/>
          <w:kern w:val="0"/>
          <w:sz w:val="32"/>
          <w:szCs w:val="32"/>
          <w:lang w:bidi="ar"/>
        </w:rPr>
        <w:t>基本信息表</w:t>
      </w:r>
    </w:p>
    <w:tbl>
      <w:tblPr>
        <w:tblStyle w:val="3"/>
        <w:tblW w:w="8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943"/>
        <w:gridCol w:w="1183"/>
        <w:gridCol w:w="1134"/>
        <w:gridCol w:w="2722"/>
      </w:tblGrid>
      <w:tr w14:paraId="77B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trPr>
        <w:tc>
          <w:tcPr>
            <w:tcW w:w="8387" w:type="dxa"/>
            <w:gridSpan w:val="5"/>
            <w:noWrap w:val="0"/>
            <w:vAlign w:val="center"/>
          </w:tcPr>
          <w:p w14:paraId="6FAEA5BB">
            <w:pPr>
              <w:widowControl w:val="0"/>
              <w:spacing w:line="570" w:lineRule="exact"/>
              <w:ind w:firstLine="0" w:firstLineChars="0"/>
              <w:jc w:val="left"/>
              <w:rPr>
                <w:rFonts w:hint="eastAsia" w:ascii="宋体" w:hAnsi="宋体" w:eastAsia="仿宋_GB2312" w:cs="Times New Roman"/>
                <w:kern w:val="0"/>
                <w:sz w:val="30"/>
                <w:szCs w:val="30"/>
              </w:rPr>
            </w:pPr>
            <w:r>
              <w:rPr>
                <w:rFonts w:hint="eastAsia" w:ascii="宋体" w:hAnsi="宋体" w:eastAsia="黑体" w:cs="黑体"/>
                <w:kern w:val="0"/>
                <w:sz w:val="30"/>
                <w:szCs w:val="30"/>
                <w:lang w:bidi="ar"/>
              </w:rPr>
              <w:t>评估机构信息</w:t>
            </w:r>
          </w:p>
        </w:tc>
      </w:tr>
      <w:tr w14:paraId="7C3D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05" w:type="dxa"/>
            <w:noWrap w:val="0"/>
            <w:vAlign w:val="center"/>
          </w:tcPr>
          <w:p w14:paraId="29F04C7B">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评估机构名称</w:t>
            </w:r>
          </w:p>
        </w:tc>
        <w:tc>
          <w:tcPr>
            <w:tcW w:w="5982" w:type="dxa"/>
            <w:gridSpan w:val="4"/>
            <w:noWrap w:val="0"/>
            <w:vAlign w:val="center"/>
          </w:tcPr>
          <w:p w14:paraId="55A08019">
            <w:pPr>
              <w:widowControl w:val="0"/>
              <w:spacing w:line="570" w:lineRule="exact"/>
              <w:ind w:firstLine="0" w:firstLineChars="0"/>
              <w:jc w:val="center"/>
              <w:rPr>
                <w:rFonts w:hint="eastAsia" w:ascii="宋体" w:hAnsi="宋体" w:eastAsia="仿宋" w:cs="宋体"/>
                <w:kern w:val="0"/>
                <w:sz w:val="30"/>
                <w:szCs w:val="30"/>
              </w:rPr>
            </w:pPr>
          </w:p>
        </w:tc>
      </w:tr>
      <w:tr w14:paraId="0D89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05" w:type="dxa"/>
            <w:noWrap w:val="0"/>
            <w:vAlign w:val="center"/>
          </w:tcPr>
          <w:p w14:paraId="176D850F">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评估机构地址</w:t>
            </w:r>
          </w:p>
        </w:tc>
        <w:tc>
          <w:tcPr>
            <w:tcW w:w="5982" w:type="dxa"/>
            <w:gridSpan w:val="4"/>
            <w:noWrap w:val="0"/>
            <w:vAlign w:val="center"/>
          </w:tcPr>
          <w:p w14:paraId="0C436263">
            <w:pPr>
              <w:widowControl w:val="0"/>
              <w:spacing w:line="570" w:lineRule="exact"/>
              <w:ind w:firstLine="0" w:firstLineChars="0"/>
              <w:jc w:val="center"/>
              <w:rPr>
                <w:rFonts w:hint="eastAsia" w:ascii="宋体" w:hAnsi="宋体" w:eastAsia="仿宋" w:cs="宋体"/>
                <w:kern w:val="0"/>
                <w:sz w:val="30"/>
                <w:szCs w:val="30"/>
              </w:rPr>
            </w:pPr>
          </w:p>
        </w:tc>
      </w:tr>
      <w:tr w14:paraId="704E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05" w:type="dxa"/>
            <w:noWrap w:val="0"/>
            <w:vAlign w:val="center"/>
          </w:tcPr>
          <w:p w14:paraId="278FB07F">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机构法定代表人</w:t>
            </w:r>
          </w:p>
        </w:tc>
        <w:tc>
          <w:tcPr>
            <w:tcW w:w="2126" w:type="dxa"/>
            <w:gridSpan w:val="2"/>
            <w:noWrap w:val="0"/>
            <w:vAlign w:val="center"/>
          </w:tcPr>
          <w:p w14:paraId="09275350">
            <w:pPr>
              <w:widowControl w:val="0"/>
              <w:spacing w:line="570" w:lineRule="exact"/>
              <w:ind w:firstLine="0" w:firstLineChars="0"/>
              <w:jc w:val="center"/>
              <w:rPr>
                <w:rFonts w:hint="eastAsia" w:ascii="宋体" w:hAnsi="宋体" w:eastAsia="仿宋" w:cs="宋体"/>
                <w:kern w:val="0"/>
                <w:sz w:val="30"/>
                <w:szCs w:val="30"/>
              </w:rPr>
            </w:pPr>
          </w:p>
        </w:tc>
        <w:tc>
          <w:tcPr>
            <w:tcW w:w="1134" w:type="dxa"/>
            <w:noWrap w:val="0"/>
            <w:vAlign w:val="center"/>
          </w:tcPr>
          <w:p w14:paraId="031C3530">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电话</w:t>
            </w:r>
          </w:p>
        </w:tc>
        <w:tc>
          <w:tcPr>
            <w:tcW w:w="2722" w:type="dxa"/>
            <w:noWrap w:val="0"/>
            <w:vAlign w:val="center"/>
          </w:tcPr>
          <w:p w14:paraId="1B38D5DA">
            <w:pPr>
              <w:widowControl w:val="0"/>
              <w:spacing w:line="570" w:lineRule="exact"/>
              <w:ind w:firstLine="0" w:firstLineChars="0"/>
              <w:jc w:val="center"/>
              <w:rPr>
                <w:rFonts w:hint="eastAsia" w:ascii="宋体" w:hAnsi="宋体" w:eastAsia="仿宋" w:cs="宋体"/>
                <w:kern w:val="0"/>
                <w:sz w:val="30"/>
                <w:szCs w:val="30"/>
              </w:rPr>
            </w:pPr>
          </w:p>
        </w:tc>
      </w:tr>
      <w:tr w14:paraId="0086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05" w:type="dxa"/>
            <w:noWrap w:val="0"/>
            <w:vAlign w:val="center"/>
          </w:tcPr>
          <w:p w14:paraId="5B2843EE">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机构联系人</w:t>
            </w:r>
          </w:p>
        </w:tc>
        <w:tc>
          <w:tcPr>
            <w:tcW w:w="2126" w:type="dxa"/>
            <w:gridSpan w:val="2"/>
            <w:noWrap w:val="0"/>
            <w:vAlign w:val="center"/>
          </w:tcPr>
          <w:p w14:paraId="3DE07D96">
            <w:pPr>
              <w:widowControl w:val="0"/>
              <w:spacing w:line="570" w:lineRule="exact"/>
              <w:ind w:firstLine="0" w:firstLineChars="0"/>
              <w:jc w:val="center"/>
              <w:rPr>
                <w:rFonts w:hint="eastAsia" w:ascii="宋体" w:hAnsi="宋体" w:eastAsia="仿宋" w:cs="宋体"/>
                <w:kern w:val="0"/>
                <w:sz w:val="30"/>
                <w:szCs w:val="30"/>
              </w:rPr>
            </w:pPr>
          </w:p>
        </w:tc>
        <w:tc>
          <w:tcPr>
            <w:tcW w:w="1134" w:type="dxa"/>
            <w:noWrap w:val="0"/>
            <w:vAlign w:val="top"/>
          </w:tcPr>
          <w:p w14:paraId="179EEF12">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电话</w:t>
            </w:r>
          </w:p>
        </w:tc>
        <w:tc>
          <w:tcPr>
            <w:tcW w:w="2722" w:type="dxa"/>
            <w:noWrap w:val="0"/>
            <w:vAlign w:val="center"/>
          </w:tcPr>
          <w:p w14:paraId="2B03D76C">
            <w:pPr>
              <w:widowControl w:val="0"/>
              <w:spacing w:line="570" w:lineRule="exact"/>
              <w:ind w:firstLine="0" w:firstLineChars="0"/>
              <w:jc w:val="center"/>
              <w:rPr>
                <w:rFonts w:hint="eastAsia" w:ascii="宋体" w:hAnsi="宋体" w:eastAsia="仿宋" w:cs="宋体"/>
                <w:kern w:val="0"/>
                <w:sz w:val="30"/>
                <w:szCs w:val="30"/>
              </w:rPr>
            </w:pPr>
          </w:p>
        </w:tc>
      </w:tr>
      <w:tr w14:paraId="6C3B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05" w:type="dxa"/>
            <w:noWrap w:val="0"/>
            <w:vAlign w:val="center"/>
          </w:tcPr>
          <w:p w14:paraId="78DFAF07">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报告编制负责人</w:t>
            </w:r>
          </w:p>
        </w:tc>
        <w:tc>
          <w:tcPr>
            <w:tcW w:w="2126" w:type="dxa"/>
            <w:gridSpan w:val="2"/>
            <w:noWrap w:val="0"/>
            <w:vAlign w:val="center"/>
          </w:tcPr>
          <w:p w14:paraId="41225968">
            <w:pPr>
              <w:widowControl w:val="0"/>
              <w:spacing w:line="570" w:lineRule="exact"/>
              <w:ind w:firstLine="0" w:firstLineChars="0"/>
              <w:jc w:val="center"/>
              <w:rPr>
                <w:rFonts w:hint="eastAsia" w:ascii="宋体" w:hAnsi="宋体" w:eastAsia="仿宋" w:cs="宋体"/>
                <w:kern w:val="0"/>
                <w:sz w:val="30"/>
                <w:szCs w:val="30"/>
              </w:rPr>
            </w:pPr>
          </w:p>
        </w:tc>
        <w:tc>
          <w:tcPr>
            <w:tcW w:w="1134" w:type="dxa"/>
            <w:noWrap w:val="0"/>
            <w:vAlign w:val="top"/>
          </w:tcPr>
          <w:p w14:paraId="708EA570">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电话</w:t>
            </w:r>
          </w:p>
        </w:tc>
        <w:tc>
          <w:tcPr>
            <w:tcW w:w="2722" w:type="dxa"/>
            <w:noWrap w:val="0"/>
            <w:vAlign w:val="center"/>
          </w:tcPr>
          <w:p w14:paraId="01384496">
            <w:pPr>
              <w:widowControl w:val="0"/>
              <w:spacing w:line="570" w:lineRule="exact"/>
              <w:ind w:firstLine="0" w:firstLineChars="0"/>
              <w:jc w:val="center"/>
              <w:rPr>
                <w:rFonts w:hint="eastAsia" w:ascii="宋体" w:hAnsi="宋体" w:eastAsia="仿宋" w:cs="宋体"/>
                <w:kern w:val="0"/>
                <w:sz w:val="30"/>
                <w:szCs w:val="30"/>
              </w:rPr>
            </w:pPr>
          </w:p>
        </w:tc>
      </w:tr>
      <w:tr w14:paraId="71004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05" w:type="dxa"/>
            <w:noWrap w:val="0"/>
            <w:vAlign w:val="center"/>
          </w:tcPr>
          <w:p w14:paraId="176A4F3C">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报告审核人</w:t>
            </w:r>
          </w:p>
        </w:tc>
        <w:tc>
          <w:tcPr>
            <w:tcW w:w="2126" w:type="dxa"/>
            <w:gridSpan w:val="2"/>
            <w:noWrap w:val="0"/>
            <w:vAlign w:val="center"/>
          </w:tcPr>
          <w:p w14:paraId="670B94F0">
            <w:pPr>
              <w:widowControl w:val="0"/>
              <w:spacing w:line="570" w:lineRule="exact"/>
              <w:ind w:firstLine="0" w:firstLineChars="0"/>
              <w:jc w:val="center"/>
              <w:rPr>
                <w:rFonts w:hint="eastAsia" w:ascii="宋体" w:hAnsi="宋体" w:eastAsia="仿宋" w:cs="宋体"/>
                <w:kern w:val="0"/>
                <w:sz w:val="30"/>
                <w:szCs w:val="30"/>
              </w:rPr>
            </w:pPr>
          </w:p>
        </w:tc>
        <w:tc>
          <w:tcPr>
            <w:tcW w:w="1134" w:type="dxa"/>
            <w:noWrap w:val="0"/>
            <w:vAlign w:val="top"/>
          </w:tcPr>
          <w:p w14:paraId="1D0ED326">
            <w:pPr>
              <w:widowControl w:val="0"/>
              <w:spacing w:line="570" w:lineRule="exact"/>
              <w:ind w:firstLine="0" w:firstLineChars="0"/>
              <w:jc w:val="center"/>
              <w:rPr>
                <w:rFonts w:hint="eastAsia" w:ascii="宋体" w:hAnsi="宋体" w:eastAsia="仿宋" w:cs="宋体"/>
                <w:kern w:val="0"/>
                <w:sz w:val="30"/>
                <w:szCs w:val="30"/>
              </w:rPr>
            </w:pPr>
            <w:r>
              <w:rPr>
                <w:rFonts w:hint="eastAsia" w:ascii="宋体" w:hAnsi="宋体" w:eastAsia="仿宋" w:cs="宋体"/>
                <w:kern w:val="0"/>
                <w:sz w:val="30"/>
                <w:szCs w:val="30"/>
              </w:rPr>
              <w:t>电话</w:t>
            </w:r>
          </w:p>
        </w:tc>
        <w:tc>
          <w:tcPr>
            <w:tcW w:w="2722" w:type="dxa"/>
            <w:noWrap w:val="0"/>
            <w:vAlign w:val="center"/>
          </w:tcPr>
          <w:p w14:paraId="3E71BF2A">
            <w:pPr>
              <w:widowControl w:val="0"/>
              <w:spacing w:line="570" w:lineRule="exact"/>
              <w:ind w:firstLine="0" w:firstLineChars="0"/>
              <w:jc w:val="center"/>
              <w:rPr>
                <w:rFonts w:hint="eastAsia" w:ascii="宋体" w:hAnsi="宋体" w:eastAsia="仿宋" w:cs="宋体"/>
                <w:kern w:val="0"/>
                <w:sz w:val="30"/>
                <w:szCs w:val="30"/>
              </w:rPr>
            </w:pPr>
          </w:p>
        </w:tc>
      </w:tr>
      <w:tr w14:paraId="0712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348" w:type="dxa"/>
            <w:gridSpan w:val="2"/>
            <w:noWrap w:val="0"/>
            <w:vAlign w:val="center"/>
          </w:tcPr>
          <w:p w14:paraId="777F8D9C">
            <w:pPr>
              <w:widowControl w:val="0"/>
              <w:spacing w:line="570" w:lineRule="exact"/>
              <w:ind w:firstLine="640"/>
              <w:jc w:val="center"/>
              <w:rPr>
                <w:rFonts w:hint="eastAsia" w:ascii="宋体" w:hAnsi="宋体" w:eastAsia="仿宋_GB2312" w:cs="宋体"/>
                <w:kern w:val="0"/>
                <w:sz w:val="24"/>
              </w:rPr>
            </w:pPr>
            <w:r>
              <w:rPr>
                <w:rFonts w:hint="eastAsia" w:ascii="宋体" w:hAnsi="宋体" w:eastAsia="方正黑体_GBK" w:cs="方正黑体_GBK"/>
                <w:kern w:val="0"/>
                <w:sz w:val="32"/>
                <w:szCs w:val="32"/>
                <w:lang w:bidi="ar"/>
              </w:rPr>
              <w:t>评估结果</w:t>
            </w:r>
          </w:p>
        </w:tc>
        <w:tc>
          <w:tcPr>
            <w:tcW w:w="5039" w:type="dxa"/>
            <w:gridSpan w:val="3"/>
            <w:noWrap w:val="0"/>
            <w:vAlign w:val="center"/>
          </w:tcPr>
          <w:p w14:paraId="3E0D34EC">
            <w:pPr>
              <w:widowControl w:val="0"/>
              <w:spacing w:line="570" w:lineRule="exact"/>
              <w:ind w:firstLine="480"/>
              <w:jc w:val="center"/>
              <w:rPr>
                <w:rFonts w:hint="eastAsia" w:ascii="宋体" w:hAnsi="宋体" w:eastAsia="仿宋" w:cs="宋体"/>
                <w:kern w:val="0"/>
                <w:sz w:val="24"/>
              </w:rPr>
            </w:pPr>
            <w:r>
              <w:rPr>
                <w:rFonts w:hint="eastAsia" w:ascii="宋体" w:hAnsi="宋体" w:eastAsia="仿宋" w:cs="宋体"/>
                <w:kern w:val="0"/>
                <w:sz w:val="24"/>
              </w:rPr>
              <w:t>□通过     □不通过</w:t>
            </w:r>
          </w:p>
        </w:tc>
      </w:tr>
      <w:tr w14:paraId="5DC5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9" w:hRule="atLeast"/>
        </w:trPr>
        <w:tc>
          <w:tcPr>
            <w:tcW w:w="8387" w:type="dxa"/>
            <w:gridSpan w:val="5"/>
            <w:noWrap w:val="0"/>
            <w:vAlign w:val="center"/>
          </w:tcPr>
          <w:p w14:paraId="4C304F6D">
            <w:pPr>
              <w:widowControl w:val="0"/>
              <w:spacing w:line="360" w:lineRule="auto"/>
              <w:ind w:firstLine="480"/>
              <w:jc w:val="left"/>
              <w:rPr>
                <w:rFonts w:hint="eastAsia" w:ascii="宋体" w:hAnsi="宋体" w:eastAsia="仿宋" w:cs="宋体"/>
                <w:kern w:val="0"/>
                <w:sz w:val="24"/>
              </w:rPr>
            </w:pPr>
          </w:p>
          <w:p w14:paraId="5BB8B5C4">
            <w:pPr>
              <w:widowControl w:val="0"/>
              <w:spacing w:line="360" w:lineRule="auto"/>
              <w:ind w:firstLine="600"/>
              <w:jc w:val="left"/>
              <w:rPr>
                <w:rFonts w:hint="eastAsia" w:ascii="宋体" w:hAnsi="宋体" w:eastAsia="方正仿宋_GBK" w:cs="方正仿宋_GBK"/>
                <w:kern w:val="0"/>
                <w:sz w:val="30"/>
                <w:szCs w:val="30"/>
              </w:rPr>
            </w:pPr>
            <w:r>
              <w:rPr>
                <w:rFonts w:hint="eastAsia" w:ascii="宋体" w:hAnsi="宋体" w:eastAsia="方正仿宋_GBK" w:cs="方正仿宋_GBK"/>
                <w:kern w:val="0"/>
                <w:sz w:val="30"/>
                <w:szCs w:val="30"/>
              </w:rPr>
              <w:t>本机构承诺，已对矿山开展了实地核查，第三方评估程序规范完整，材料真实有效，结论客观公正。评估报告若存在弄虚作假，本机构愿承担责任。</w:t>
            </w:r>
          </w:p>
          <w:p w14:paraId="6ACDD91E">
            <w:pPr>
              <w:widowControl w:val="0"/>
              <w:spacing w:line="360" w:lineRule="auto"/>
              <w:ind w:right="240" w:firstLine="600"/>
              <w:jc w:val="right"/>
              <w:rPr>
                <w:rFonts w:hint="eastAsia" w:ascii="宋体" w:hAnsi="宋体" w:cs="宋体"/>
                <w:kern w:val="0"/>
                <w:sz w:val="30"/>
                <w:szCs w:val="30"/>
              </w:rPr>
            </w:pPr>
          </w:p>
          <w:p w14:paraId="3BFF543D">
            <w:pPr>
              <w:widowControl w:val="0"/>
              <w:wordWrap w:val="0"/>
              <w:spacing w:line="360" w:lineRule="auto"/>
              <w:ind w:right="240" w:firstLine="600"/>
              <w:jc w:val="center"/>
              <w:rPr>
                <w:rFonts w:hint="eastAsia" w:ascii="宋体" w:hAnsi="宋体" w:eastAsia="方正仿宋_GBK" w:cs="方正仿宋_GBK"/>
                <w:kern w:val="0"/>
                <w:sz w:val="30"/>
                <w:szCs w:val="30"/>
              </w:rPr>
            </w:pPr>
            <w:r>
              <w:rPr>
                <w:rFonts w:hint="eastAsia" w:ascii="宋体" w:hAnsi="宋体" w:cs="宋体"/>
                <w:kern w:val="0"/>
                <w:sz w:val="30"/>
                <w:szCs w:val="30"/>
              </w:rPr>
              <w:t xml:space="preserve">     </w:t>
            </w:r>
            <w:r>
              <w:rPr>
                <w:rFonts w:hint="eastAsia" w:ascii="宋体" w:hAnsi="宋体" w:eastAsia="方正仿宋_GBK" w:cs="方正仿宋_GBK"/>
                <w:kern w:val="0"/>
                <w:sz w:val="30"/>
                <w:szCs w:val="30"/>
              </w:rPr>
              <w:t>法定代表人（签字）：</w:t>
            </w:r>
          </w:p>
          <w:p w14:paraId="389D8BDC">
            <w:pPr>
              <w:widowControl w:val="0"/>
              <w:wordWrap w:val="0"/>
              <w:spacing w:line="360" w:lineRule="auto"/>
              <w:ind w:right="240" w:firstLine="600"/>
              <w:jc w:val="center"/>
              <w:rPr>
                <w:rFonts w:hint="eastAsia" w:ascii="宋体" w:hAnsi="宋体" w:eastAsia="方正仿宋_GBK" w:cs="方正仿宋_GBK"/>
                <w:kern w:val="0"/>
                <w:sz w:val="30"/>
                <w:szCs w:val="30"/>
              </w:rPr>
            </w:pPr>
          </w:p>
          <w:p w14:paraId="71B6EC0E">
            <w:pPr>
              <w:widowControl w:val="0"/>
              <w:wordWrap w:val="0"/>
              <w:spacing w:line="360" w:lineRule="auto"/>
              <w:ind w:right="240" w:firstLine="600"/>
              <w:jc w:val="center"/>
              <w:rPr>
                <w:rFonts w:hint="eastAsia" w:ascii="宋体" w:hAnsi="宋体" w:eastAsia="方正仿宋_GBK" w:cs="方正仿宋_GBK"/>
                <w:kern w:val="0"/>
                <w:sz w:val="30"/>
                <w:szCs w:val="30"/>
              </w:rPr>
            </w:pPr>
            <w:r>
              <w:rPr>
                <w:rFonts w:hint="eastAsia" w:ascii="宋体" w:hAnsi="宋体" w:eastAsia="方正仿宋_GBK" w:cs="方正仿宋_GBK"/>
                <w:kern w:val="0"/>
                <w:sz w:val="30"/>
                <w:szCs w:val="30"/>
              </w:rPr>
              <w:t xml:space="preserve">        第三方评估机构：（盖章）</w:t>
            </w:r>
          </w:p>
          <w:p w14:paraId="11152874">
            <w:pPr>
              <w:widowControl w:val="0"/>
              <w:wordWrap w:val="0"/>
              <w:spacing w:line="360" w:lineRule="auto"/>
              <w:ind w:firstLine="600"/>
              <w:jc w:val="right"/>
              <w:rPr>
                <w:rFonts w:hint="eastAsia" w:ascii="宋体" w:hAnsi="宋体" w:cs="宋体"/>
                <w:kern w:val="0"/>
                <w:sz w:val="30"/>
                <w:szCs w:val="30"/>
              </w:rPr>
            </w:pPr>
          </w:p>
          <w:p w14:paraId="50687B27">
            <w:pPr>
              <w:widowControl w:val="0"/>
              <w:spacing w:line="360" w:lineRule="auto"/>
              <w:ind w:right="1200" w:firstLine="600"/>
              <w:jc w:val="right"/>
              <w:rPr>
                <w:rFonts w:hint="eastAsia" w:ascii="宋体" w:hAnsi="宋体" w:eastAsia="仿宋_GB2312" w:cs="宋体"/>
                <w:kern w:val="0"/>
                <w:sz w:val="24"/>
              </w:rPr>
            </w:pPr>
            <w:r>
              <w:rPr>
                <w:rFonts w:hint="eastAsia" w:ascii="宋体" w:hAnsi="宋体" w:eastAsia="方正仿宋_GBK" w:cs="方正仿宋_GBK"/>
                <w:kern w:val="0"/>
                <w:sz w:val="30"/>
                <w:szCs w:val="30"/>
              </w:rPr>
              <w:t xml:space="preserve">年    月    日  </w:t>
            </w:r>
            <w:r>
              <w:rPr>
                <w:rFonts w:ascii="宋体" w:hAnsi="宋体" w:eastAsia="仿宋" w:cs="宋体"/>
                <w:kern w:val="0"/>
                <w:sz w:val="24"/>
              </w:rPr>
              <w:t xml:space="preserve">   </w:t>
            </w:r>
            <w:r>
              <w:rPr>
                <w:rFonts w:ascii="宋体" w:hAnsi="宋体" w:eastAsia="仿宋_GB2312" w:cs="宋体"/>
                <w:kern w:val="0"/>
                <w:sz w:val="24"/>
              </w:rPr>
              <w:t xml:space="preserve">       </w:t>
            </w:r>
          </w:p>
          <w:p w14:paraId="5BA272C5">
            <w:pPr>
              <w:widowControl w:val="0"/>
              <w:spacing w:line="570" w:lineRule="exact"/>
              <w:ind w:firstLine="480"/>
              <w:jc w:val="center"/>
              <w:rPr>
                <w:rFonts w:hint="eastAsia" w:ascii="宋体" w:hAnsi="宋体" w:eastAsia="仿宋_GB2312" w:cs="宋体"/>
                <w:kern w:val="0"/>
                <w:sz w:val="24"/>
              </w:rPr>
            </w:pPr>
          </w:p>
        </w:tc>
      </w:tr>
    </w:tbl>
    <w:p w14:paraId="32746B9D">
      <w:pPr>
        <w:rPr>
          <w:rFonts w:hint="eastAsia" w:ascii="宋体" w:hAnsi="宋体"/>
        </w:rPr>
        <w:sectPr>
          <w:footerReference r:id="rId15" w:type="default"/>
          <w:pgSz w:w="11906" w:h="16838"/>
          <w:pgMar w:top="1440" w:right="1800" w:bottom="1440" w:left="1800" w:header="851" w:footer="992" w:gutter="0"/>
          <w:pgNumType w:fmt="decimal" w:start="56"/>
          <w:cols w:space="720" w:num="1"/>
          <w:docGrid w:type="lines" w:linePitch="312" w:charSpace="0"/>
        </w:sectPr>
      </w:pPr>
    </w:p>
    <w:p w14:paraId="3CB5454E">
      <w:pPr>
        <w:widowControl w:val="0"/>
        <w:spacing w:line="640" w:lineRule="exact"/>
        <w:ind w:firstLine="0" w:firstLineChars="0"/>
        <w:jc w:val="center"/>
        <w:rPr>
          <w:rFonts w:hint="eastAsia"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云南省绿色矿山第三方评估报告</w:t>
      </w:r>
    </w:p>
    <w:p w14:paraId="3044FAA1">
      <w:pPr>
        <w:widowControl w:val="0"/>
        <w:spacing w:line="570" w:lineRule="exact"/>
        <w:ind w:firstLine="0" w:firstLineChars="0"/>
        <w:jc w:val="center"/>
        <w:outlineLvl w:val="1"/>
        <w:rPr>
          <w:rFonts w:hint="eastAsia" w:ascii="宋体" w:hAnsi="宋体" w:eastAsia="方正楷体_GBK" w:cs="Times New Roman"/>
          <w:bCs/>
          <w:kern w:val="2"/>
          <w:sz w:val="32"/>
          <w:szCs w:val="32"/>
          <w:lang w:val="en-US" w:eastAsia="zh-CN" w:bidi="ar-SA"/>
        </w:rPr>
      </w:pPr>
      <w:r>
        <w:rPr>
          <w:rFonts w:hint="eastAsia" w:ascii="宋体" w:hAnsi="宋体" w:eastAsia="方正楷体_GBK" w:cs="Times New Roman"/>
          <w:bCs/>
          <w:kern w:val="2"/>
          <w:sz w:val="32"/>
          <w:szCs w:val="32"/>
          <w:lang w:val="en-US" w:eastAsia="zh-CN" w:bidi="ar-SA"/>
        </w:rPr>
        <w:t>（参考提纲）</w:t>
      </w:r>
    </w:p>
    <w:p w14:paraId="4393F2C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Times New Roman"/>
          <w:color w:val="000000"/>
        </w:rPr>
      </w:pPr>
    </w:p>
    <w:p w14:paraId="1EC226B8">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一、概述</w:t>
      </w:r>
    </w:p>
    <w:p w14:paraId="2541F06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介绍任务来源，评估的组织安排和过程等。</w:t>
      </w:r>
    </w:p>
    <w:p w14:paraId="25446D76">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二、评估方法</w:t>
      </w:r>
    </w:p>
    <w:p w14:paraId="6016122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介绍评估采用主要方法，如资料审核、实地核查、指标测算等。</w:t>
      </w:r>
    </w:p>
    <w:p w14:paraId="1ACC96C6">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三、评估情况</w:t>
      </w:r>
    </w:p>
    <w:p w14:paraId="07B87F6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（一）内业评估。</w:t>
      </w:r>
    </w:p>
    <w:p w14:paraId="5956E60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对矿山提交的自评估报告、入库信息表、照片视频及先决条件等材料的完整性进行预评估，形成审核结论。</w:t>
      </w:r>
    </w:p>
    <w:p w14:paraId="6AD3320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（二）现场评估。</w:t>
      </w:r>
    </w:p>
    <w:p w14:paraId="22200FF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对照绿色矿山建设行业标准，根据绿色矿山建设评价指标，从矿区环境、资源开采、资源综合利用、绿色低碳、生态修复与环境治理、科技创新与规范管理等方面逐项进行评估，附现场核查照片。分析建设中存在的问题，明确失分项及原因等。</w:t>
      </w:r>
    </w:p>
    <w:p w14:paraId="05C17B95">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四、评估结论与建议</w:t>
      </w:r>
    </w:p>
    <w:p w14:paraId="09768E6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对矿山是否符合绿色矿山建设要求及行业标准，是否可以通过评估，给出明确的结论性意见。</w:t>
      </w:r>
    </w:p>
    <w:p w14:paraId="437FD154">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outlineLvl w:val="0"/>
        <w:rPr>
          <w:rFonts w:hint="eastAsia"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五、相关材料</w:t>
      </w:r>
    </w:p>
    <w:p w14:paraId="555C8A32">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宋体" w:hAnsi="宋体" w:eastAsia="方正仿宋_GBK" w:cs="方正仿宋_GBK"/>
          <w:color w:val="000000"/>
          <w:sz w:val="32"/>
          <w:szCs w:val="32"/>
        </w:rPr>
        <w:sectPr>
          <w:footerReference r:id="rId16" w:type="default"/>
          <w:pgSz w:w="11906" w:h="16838"/>
          <w:pgMar w:top="1440" w:right="1800" w:bottom="1440" w:left="1800" w:header="851" w:footer="992" w:gutter="0"/>
          <w:pgNumType w:fmt="decimal" w:start="57"/>
          <w:cols w:space="720" w:num="1"/>
          <w:docGrid w:type="lines" w:linePitch="312" w:charSpace="0"/>
        </w:sectPr>
      </w:pPr>
      <w:r>
        <w:rPr>
          <w:rFonts w:hint="eastAsia" w:ascii="宋体" w:hAnsi="宋体" w:eastAsia="方正仿宋_GBK" w:cs="方正仿宋_GBK"/>
          <w:color w:val="000000"/>
          <w:sz w:val="32"/>
          <w:szCs w:val="32"/>
        </w:rPr>
        <w:t>列出评估报告编写过程中所使用的相关参考文件。以及评估工作委托函（合同、协议）、承诺书、绿色矿山建设评分表、评估组专家名单（含姓名、职称、专业等信息）、评估会议签到表、会议记录、实地核查记录、核查影像资料、评估专家与被评估单位无关联关系声明等资料。</w:t>
      </w:r>
      <w:bookmarkStart w:id="1" w:name="_GoBack"/>
      <w:bookmarkEnd w:id="1"/>
    </w:p>
    <w:p w14:paraId="34E664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88FA4">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089BC">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AF3AD">
    <w:pPr>
      <w:widowControl w:val="0"/>
      <w:tabs>
        <w:tab w:val="center" w:pos="4153"/>
        <w:tab w:val="right" w:pos="8306"/>
      </w:tabs>
      <w:snapToGrid w:val="0"/>
      <w:spacing w:line="570" w:lineRule="exact"/>
      <w:ind w:firstLine="420"/>
      <w:jc w:val="center"/>
      <w:rPr>
        <w:rFonts w:eastAsia="宋体" w:cs="Times New Roman"/>
        <w:color w:val="000000"/>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E4427">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9C399">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DE05D">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7ACE3">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EDCEC">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8934E">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3E00C">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0D42E">
    <w:pPr>
      <w:widowControl w:val="0"/>
      <w:tabs>
        <w:tab w:val="center" w:pos="4153"/>
        <w:tab w:val="right" w:pos="8306"/>
      </w:tabs>
      <w:snapToGrid w:val="0"/>
      <w:spacing w:line="570" w:lineRule="exact"/>
      <w:ind w:firstLine="360" w:firstLineChars="200"/>
      <w:jc w:val="left"/>
      <w:rPr>
        <w:rFonts w:ascii="Times New Roman" w:hAnsi="Times New Roman" w:eastAsia="方正仿宋_GBK" w:cs="Times New Roman"/>
        <w:kern w:val="2"/>
        <w:sz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7AE4B">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570" w:lineRule="exact"/>
      <w:ind w:firstLine="360" w:firstLineChars="200"/>
      <w:jc w:val="both"/>
      <w:rPr>
        <w:rFonts w:ascii="Times New Roman" w:hAnsi="Times New Roman" w:eastAsia="方正仿宋_GBK" w:cs="Times New Roman"/>
        <w:kern w:val="2"/>
        <w:sz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8A2B5">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570" w:lineRule="exact"/>
      <w:ind w:firstLine="360" w:firstLineChars="200"/>
      <w:jc w:val="both"/>
      <w:rPr>
        <w:rFonts w:ascii="Times New Roman" w:hAnsi="Times New Roman" w:eastAsia="方正仿宋_GBK" w:cs="Times New Roman"/>
        <w:kern w:val="2"/>
        <w:sz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118F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570" w:lineRule="exact"/>
      <w:ind w:firstLine="360" w:firstLineChars="200"/>
      <w:jc w:val="both"/>
      <w:rPr>
        <w:rFonts w:ascii="Times New Roman" w:hAnsi="Times New Roman" w:eastAsia="方正仿宋_GBK" w:cs="Times New Roman"/>
        <w:kern w:val="2"/>
        <w:sz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C74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2025-04-22T06:15:43Z</dcterms:created>
  <dc:creator>Lenovo</dc:creator>
  <cp:lastModifiedBy>莫语</cp:lastModifiedBy>
  <dcterms:modified xsi:type="dcterms:W3CDTF">2025-04-22T06:16:16Z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eyJoZGlkIjoiOWYzOGRiNDNiM2UxMzI1NzY2YjQ2MDA1ODRkNTQzY2YiLCJ1c2VySWQiOiIzNDA1ODU0MDcifQ==</vt:lpwstr>
  </property>
  <property fmtid="{D5CDD505-2E9C-101B-9397-08002B2CF9AE}" pid="4" name="ICV">
    <vt:lpwstr>653C8B3FAFD04B37B892576018B58E6C_12</vt:lpwstr>
  </property>
</Properties>
</file>