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3C19D1">
      <w:pPr>
        <w:widowControl w:val="0"/>
        <w:adjustRightInd w:val="0"/>
        <w:snapToGrid w:val="0"/>
        <w:spacing w:line="570" w:lineRule="exact"/>
        <w:ind w:firstLine="0" w:firstLineChars="0"/>
        <w:outlineLvl w:val="0"/>
        <w:rPr>
          <w:rFonts w:hint="eastAsia" w:ascii="宋体" w:hAnsi="宋体" w:eastAsia="方正黑体_GBK" w:cs="方正黑体_GBK"/>
          <w:bCs/>
          <w:color w:val="000000"/>
          <w:kern w:val="0"/>
          <w:sz w:val="32"/>
          <w:szCs w:val="32"/>
          <w:lang w:val="en-US" w:eastAsia="zh-CN" w:bidi="ar"/>
        </w:rPr>
      </w:pPr>
      <w:r>
        <w:rPr>
          <w:rFonts w:hint="eastAsia" w:ascii="黑体" w:hAnsi="黑体" w:eastAsia="黑体" w:cs="黑体"/>
          <w:bCs/>
          <w:color w:val="000000"/>
          <w:kern w:val="0"/>
          <w:sz w:val="32"/>
          <w:szCs w:val="32"/>
          <w:lang w:val="en-US" w:eastAsia="zh-CN" w:bidi="ar"/>
        </w:rPr>
        <w:t>附件</w:t>
      </w:r>
      <w:r>
        <w:rPr>
          <w:rFonts w:hint="eastAsia" w:ascii="宋体" w:hAnsi="宋体" w:eastAsia="方正黑体_GBK" w:cs="方正黑体_GBK"/>
          <w:bCs/>
          <w:color w:val="000000"/>
          <w:kern w:val="0"/>
          <w:sz w:val="32"/>
          <w:szCs w:val="32"/>
          <w:lang w:val="en-US" w:eastAsia="zh-CN" w:bidi="ar"/>
        </w:rPr>
        <w:t>4</w:t>
      </w:r>
    </w:p>
    <w:p w14:paraId="1C3F961B">
      <w:pPr>
        <w:widowControl w:val="0"/>
        <w:spacing w:line="570" w:lineRule="exact"/>
        <w:ind w:firstLine="640"/>
        <w:rPr>
          <w:rFonts w:ascii="宋体" w:hAnsi="宋体" w:cs="Times New Roman"/>
        </w:rPr>
      </w:pPr>
    </w:p>
    <w:p w14:paraId="4F7DBACA">
      <w:pPr>
        <w:widowControl w:val="0"/>
        <w:spacing w:line="640" w:lineRule="exact"/>
        <w:ind w:firstLine="0" w:firstLineChars="0"/>
        <w:jc w:val="center"/>
        <w:rPr>
          <w:rFonts w:ascii="宋体" w:hAnsi="宋体" w:eastAsia="方正小标宋_GBK" w:cs="Times New Roman"/>
          <w:bCs/>
          <w:kern w:val="2"/>
          <w:sz w:val="44"/>
          <w:szCs w:val="32"/>
          <w:lang w:val="en-US" w:eastAsia="zh-CN" w:bidi="ar-SA"/>
        </w:rPr>
      </w:pPr>
      <w:r>
        <w:rPr>
          <w:rFonts w:hint="eastAsia" w:ascii="宋体" w:hAnsi="宋体" w:eastAsia="方正小标宋_GBK" w:cs="Times New Roman"/>
          <w:bCs/>
          <w:kern w:val="2"/>
          <w:sz w:val="44"/>
          <w:szCs w:val="32"/>
          <w:lang w:val="en-US" w:eastAsia="zh-CN" w:bidi="ar-SA"/>
        </w:rPr>
        <w:t>××××（矿山名称）</w:t>
      </w:r>
    </w:p>
    <w:p w14:paraId="4D3264D9">
      <w:pPr>
        <w:widowControl w:val="0"/>
        <w:spacing w:line="640" w:lineRule="exact"/>
        <w:ind w:firstLine="0" w:firstLineChars="0"/>
        <w:jc w:val="center"/>
        <w:rPr>
          <w:rFonts w:ascii="宋体" w:hAnsi="宋体" w:eastAsia="方正小标宋_GBK" w:cs="Times New Roman"/>
          <w:bCs/>
          <w:kern w:val="2"/>
          <w:sz w:val="44"/>
          <w:szCs w:val="32"/>
          <w:lang w:val="en-US" w:eastAsia="zh-CN" w:bidi="ar-SA"/>
        </w:rPr>
      </w:pPr>
      <w:r>
        <w:rPr>
          <w:rFonts w:hint="eastAsia" w:ascii="宋体" w:hAnsi="宋体" w:eastAsia="方正小标宋_GBK" w:cs="Times New Roman"/>
          <w:bCs/>
          <w:kern w:val="2"/>
          <w:sz w:val="44"/>
          <w:szCs w:val="32"/>
          <w:lang w:val="en-US" w:eastAsia="zh-CN" w:bidi="ar-SA"/>
        </w:rPr>
        <w:t>绿色矿山建设实施方案</w:t>
      </w:r>
    </w:p>
    <w:p w14:paraId="2C9A207F">
      <w:pPr>
        <w:widowControl w:val="0"/>
        <w:spacing w:line="570" w:lineRule="exact"/>
        <w:ind w:firstLine="0" w:firstLineChars="0"/>
        <w:jc w:val="center"/>
        <w:rPr>
          <w:rFonts w:hint="eastAsia" w:ascii="宋体" w:hAnsi="宋体" w:eastAsia="方正仿宋_GBK" w:cs="方正仿宋_GBK"/>
          <w:sz w:val="32"/>
          <w:szCs w:val="32"/>
        </w:rPr>
      </w:pPr>
      <w:r>
        <w:rPr>
          <w:rFonts w:hint="eastAsia" w:ascii="宋体" w:hAnsi="宋体" w:eastAsia="方正仿宋_GBK" w:cs="方正仿宋_GBK"/>
          <w:sz w:val="32"/>
          <w:szCs w:val="32"/>
        </w:rPr>
        <w:t>（</w:t>
      </w:r>
      <w:r>
        <w:rPr>
          <w:rFonts w:hint="eastAsia" w:ascii="宋体" w:hAnsi="宋体" w:eastAsia="方正楷体_GBK" w:cs="方正楷体_GBK"/>
          <w:sz w:val="32"/>
          <w:szCs w:val="32"/>
        </w:rPr>
        <w:t>参考提纲</w:t>
      </w:r>
      <w:r>
        <w:rPr>
          <w:rFonts w:hint="eastAsia" w:ascii="宋体" w:hAnsi="宋体" w:eastAsia="方正仿宋_GBK" w:cs="方正仿宋_GBK"/>
          <w:sz w:val="32"/>
          <w:szCs w:val="32"/>
        </w:rPr>
        <w:t>）</w:t>
      </w:r>
    </w:p>
    <w:p w14:paraId="226E9D60">
      <w:pPr>
        <w:widowControl w:val="0"/>
        <w:spacing w:line="570" w:lineRule="exact"/>
        <w:ind w:firstLine="0" w:firstLineChars="0"/>
        <w:jc w:val="center"/>
        <w:rPr>
          <w:rFonts w:ascii="宋体" w:hAnsi="宋体" w:eastAsia="方正楷体_GBK" w:cs="Times New Roman"/>
        </w:rPr>
      </w:pPr>
    </w:p>
    <w:p w14:paraId="2DA52DCE">
      <w:pPr>
        <w:widowControl w:val="0"/>
        <w:spacing w:line="570" w:lineRule="exact"/>
        <w:ind w:firstLine="0" w:firstLineChars="0"/>
        <w:jc w:val="center"/>
        <w:rPr>
          <w:rFonts w:ascii="宋体" w:hAnsi="宋体" w:eastAsia="方正楷体_GBK" w:cs="Times New Roman"/>
        </w:rPr>
      </w:pPr>
    </w:p>
    <w:p w14:paraId="2676D938">
      <w:pPr>
        <w:widowControl w:val="0"/>
        <w:spacing w:line="570" w:lineRule="exact"/>
        <w:ind w:firstLine="0" w:firstLineChars="0"/>
        <w:jc w:val="center"/>
        <w:rPr>
          <w:rFonts w:ascii="宋体" w:hAnsi="宋体" w:eastAsia="方正楷体_GBK" w:cs="Times New Roman"/>
        </w:rPr>
      </w:pPr>
    </w:p>
    <w:p w14:paraId="6BE833EE">
      <w:pPr>
        <w:widowControl w:val="0"/>
        <w:spacing w:line="570" w:lineRule="exact"/>
        <w:ind w:firstLine="0" w:firstLineChars="0"/>
        <w:jc w:val="center"/>
        <w:rPr>
          <w:rFonts w:ascii="宋体" w:hAnsi="宋体" w:eastAsia="方正楷体_GBK" w:cs="Times New Roman"/>
        </w:rPr>
      </w:pPr>
    </w:p>
    <w:p w14:paraId="36F3ED30">
      <w:pPr>
        <w:widowControl w:val="0"/>
        <w:spacing w:line="570" w:lineRule="exact"/>
        <w:ind w:firstLine="0" w:firstLineChars="0"/>
        <w:jc w:val="center"/>
        <w:rPr>
          <w:rFonts w:ascii="宋体" w:hAnsi="宋体" w:eastAsia="方正楷体_GBK" w:cs="Times New Roman"/>
        </w:rPr>
      </w:pPr>
    </w:p>
    <w:p w14:paraId="7BE72841">
      <w:pPr>
        <w:widowControl w:val="0"/>
        <w:spacing w:line="570" w:lineRule="exact"/>
        <w:ind w:firstLine="0" w:firstLineChars="0"/>
        <w:jc w:val="center"/>
        <w:rPr>
          <w:rFonts w:ascii="宋体" w:hAnsi="宋体" w:eastAsia="方正楷体_GBK" w:cs="Times New Roman"/>
        </w:rPr>
      </w:pPr>
    </w:p>
    <w:p w14:paraId="78227408">
      <w:pPr>
        <w:widowControl w:val="0"/>
        <w:spacing w:line="570" w:lineRule="exact"/>
        <w:ind w:firstLine="0" w:firstLineChars="0"/>
        <w:jc w:val="center"/>
        <w:rPr>
          <w:rFonts w:ascii="宋体" w:hAnsi="宋体" w:eastAsia="方正楷体_GBK" w:cs="Times New Roman"/>
        </w:rPr>
      </w:pPr>
    </w:p>
    <w:p w14:paraId="166EF8E7">
      <w:pPr>
        <w:widowControl w:val="0"/>
        <w:spacing w:line="570" w:lineRule="exact"/>
        <w:ind w:firstLine="0" w:firstLineChars="0"/>
        <w:jc w:val="center"/>
        <w:rPr>
          <w:rFonts w:ascii="宋体" w:hAnsi="宋体" w:eastAsia="方正楷体_GBK" w:cs="Times New Roman"/>
        </w:rPr>
      </w:pPr>
    </w:p>
    <w:p w14:paraId="2DBD5AB1">
      <w:pPr>
        <w:widowControl w:val="0"/>
        <w:spacing w:line="570" w:lineRule="exact"/>
        <w:ind w:firstLine="0" w:firstLineChars="0"/>
        <w:jc w:val="center"/>
        <w:rPr>
          <w:rFonts w:ascii="宋体" w:hAnsi="宋体" w:eastAsia="方正楷体_GBK" w:cs="Times New Roman"/>
        </w:rPr>
      </w:pPr>
    </w:p>
    <w:p w14:paraId="5D38F2F4">
      <w:pPr>
        <w:widowControl w:val="0"/>
        <w:spacing w:line="570" w:lineRule="exact"/>
        <w:ind w:firstLine="0" w:firstLineChars="0"/>
        <w:jc w:val="center"/>
        <w:rPr>
          <w:rFonts w:ascii="宋体" w:hAnsi="宋体" w:eastAsia="方正楷体_GBK" w:cs="Times New Roman"/>
        </w:rPr>
      </w:pPr>
    </w:p>
    <w:p w14:paraId="2564524F">
      <w:pPr>
        <w:widowControl w:val="0"/>
        <w:spacing w:line="570" w:lineRule="exact"/>
        <w:ind w:firstLine="0" w:firstLineChars="0"/>
        <w:jc w:val="center"/>
        <w:rPr>
          <w:rFonts w:ascii="宋体" w:hAnsi="宋体" w:eastAsia="方正楷体_GBK" w:cs="Times New Roman"/>
        </w:rPr>
      </w:pPr>
    </w:p>
    <w:p w14:paraId="01C5954E">
      <w:pPr>
        <w:widowControl w:val="0"/>
        <w:spacing w:line="570" w:lineRule="exact"/>
        <w:ind w:firstLine="0" w:firstLineChars="0"/>
        <w:jc w:val="center"/>
        <w:rPr>
          <w:rFonts w:ascii="宋体" w:hAnsi="宋体" w:eastAsia="方正楷体_GBK" w:cs="Times New Roman"/>
        </w:rPr>
      </w:pPr>
    </w:p>
    <w:p w14:paraId="6449C4F8">
      <w:pPr>
        <w:widowControl w:val="0"/>
        <w:spacing w:line="570" w:lineRule="exact"/>
        <w:ind w:firstLine="640"/>
        <w:rPr>
          <w:rFonts w:hint="eastAsia" w:ascii="宋体" w:hAnsi="宋体" w:eastAsia="方正仿宋_GBK" w:cs="方正仿宋_GBK"/>
          <w:sz w:val="32"/>
          <w:szCs w:val="32"/>
        </w:rPr>
      </w:pPr>
      <w:r>
        <w:rPr>
          <w:rFonts w:hint="eastAsia" w:ascii="宋体" w:hAnsi="宋体" w:eastAsia="方正仿宋_GBK" w:cs="方正仿宋_GBK"/>
          <w:sz w:val="32"/>
          <w:szCs w:val="32"/>
        </w:rPr>
        <w:t>建设单位（盖章）：</w:t>
      </w:r>
    </w:p>
    <w:p w14:paraId="106E1992">
      <w:pPr>
        <w:widowControl w:val="0"/>
        <w:spacing w:line="570" w:lineRule="exact"/>
        <w:ind w:firstLine="640"/>
        <w:rPr>
          <w:rFonts w:ascii="宋体" w:hAnsi="宋体" w:cs="Times New Roman"/>
        </w:rPr>
      </w:pPr>
    </w:p>
    <w:p w14:paraId="60BFE30D">
      <w:pPr>
        <w:widowControl w:val="0"/>
        <w:spacing w:line="570" w:lineRule="exact"/>
        <w:ind w:firstLine="640"/>
        <w:rPr>
          <w:rFonts w:ascii="宋体" w:hAnsi="宋体" w:cs="Times New Roman"/>
        </w:rPr>
      </w:pPr>
    </w:p>
    <w:p w14:paraId="0B3BD3E6">
      <w:pPr>
        <w:spacing w:line="720" w:lineRule="auto"/>
        <w:ind w:firstLine="0" w:firstLineChars="0"/>
        <w:jc w:val="center"/>
        <w:rPr>
          <w:rFonts w:hint="eastAsia" w:ascii="宋体" w:hAnsi="宋体" w:eastAsia="方正仿宋_GBK" w:cs="方正仿宋_GBK"/>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cols w:space="720" w:num="1"/>
          <w:docGrid w:type="lines" w:linePitch="312" w:charSpace="0"/>
        </w:sectPr>
      </w:pPr>
      <w:r>
        <w:rPr>
          <w:rFonts w:hint="eastAsia" w:ascii="宋体" w:hAnsi="宋体" w:eastAsia="方正仿宋_GBK" w:cs="方正仿宋_GBK"/>
          <w:sz w:val="32"/>
          <w:szCs w:val="32"/>
        </w:rPr>
        <w:t>年   月</w:t>
      </w:r>
    </w:p>
    <w:p w14:paraId="350C0215">
      <w:pPr>
        <w:widowControl w:val="0"/>
        <w:spacing w:line="640" w:lineRule="exact"/>
        <w:ind w:firstLine="0" w:firstLineChars="0"/>
        <w:jc w:val="center"/>
        <w:rPr>
          <w:rFonts w:ascii="宋体" w:hAnsi="宋体" w:eastAsia="方正小标宋_GBK" w:cs="Times New Roman"/>
          <w:bCs/>
          <w:kern w:val="2"/>
          <w:sz w:val="44"/>
          <w:szCs w:val="32"/>
          <w:lang w:val="en-US" w:eastAsia="zh-CN" w:bidi="ar-SA"/>
        </w:rPr>
      </w:pPr>
    </w:p>
    <w:p w14:paraId="7D8E2D7B">
      <w:pPr>
        <w:widowControl w:val="0"/>
        <w:spacing w:line="640" w:lineRule="exact"/>
        <w:ind w:firstLine="0" w:firstLineChars="0"/>
        <w:jc w:val="center"/>
        <w:rPr>
          <w:rFonts w:ascii="宋体" w:hAnsi="宋体" w:eastAsia="方正小标宋_GBK" w:cs="Times New Roman"/>
          <w:bCs/>
          <w:kern w:val="2"/>
          <w:sz w:val="44"/>
          <w:szCs w:val="32"/>
          <w:lang w:val="en-US" w:eastAsia="zh-CN" w:bidi="ar-SA"/>
        </w:rPr>
      </w:pPr>
      <w:r>
        <w:rPr>
          <w:rFonts w:hint="eastAsia" w:ascii="宋体" w:hAnsi="宋体" w:eastAsia="方正小标宋_GBK" w:cs="Times New Roman"/>
          <w:bCs/>
          <w:kern w:val="2"/>
          <w:sz w:val="44"/>
          <w:szCs w:val="32"/>
          <w:lang w:val="en-US" w:eastAsia="zh-CN" w:bidi="ar-SA"/>
        </w:rPr>
        <w:t>××××（矿山名称）</w:t>
      </w:r>
    </w:p>
    <w:p w14:paraId="733C5BF3">
      <w:pPr>
        <w:widowControl w:val="0"/>
        <w:spacing w:line="640" w:lineRule="exact"/>
        <w:ind w:firstLine="0" w:firstLineChars="0"/>
        <w:jc w:val="center"/>
        <w:rPr>
          <w:rFonts w:ascii="宋体" w:hAnsi="宋体" w:eastAsia="方正小标宋_GBK" w:cs="Times New Roman"/>
          <w:bCs/>
          <w:kern w:val="2"/>
          <w:sz w:val="44"/>
          <w:szCs w:val="32"/>
          <w:lang w:val="en-US" w:eastAsia="zh-CN" w:bidi="ar-SA"/>
        </w:rPr>
      </w:pPr>
      <w:r>
        <w:rPr>
          <w:rFonts w:hint="eastAsia" w:ascii="宋体" w:hAnsi="宋体" w:eastAsia="方正小标宋_GBK" w:cs="Times New Roman"/>
          <w:bCs/>
          <w:kern w:val="2"/>
          <w:sz w:val="44"/>
          <w:szCs w:val="32"/>
          <w:lang w:val="en-US" w:eastAsia="zh-CN" w:bidi="ar-SA"/>
        </w:rPr>
        <w:t>绿色矿山建设实施方案</w:t>
      </w:r>
    </w:p>
    <w:p w14:paraId="6DED68B4">
      <w:pPr>
        <w:widowControl w:val="0"/>
        <w:spacing w:line="570" w:lineRule="exact"/>
        <w:ind w:firstLine="0" w:firstLineChars="0"/>
        <w:jc w:val="center"/>
        <w:rPr>
          <w:rFonts w:hint="eastAsia" w:ascii="宋体" w:hAnsi="宋体" w:eastAsia="方正楷体_GBK" w:cs="方正楷体_GBK"/>
          <w:sz w:val="32"/>
          <w:szCs w:val="32"/>
        </w:rPr>
      </w:pPr>
      <w:r>
        <w:rPr>
          <w:rFonts w:hint="eastAsia" w:ascii="宋体" w:hAnsi="宋体" w:eastAsia="方正楷体_GBK" w:cs="方正楷体_GBK"/>
          <w:sz w:val="32"/>
          <w:szCs w:val="32"/>
        </w:rPr>
        <w:t>（参考提纲）</w:t>
      </w:r>
    </w:p>
    <w:p w14:paraId="4F809F2F">
      <w:pPr>
        <w:widowControl w:val="0"/>
        <w:spacing w:line="570" w:lineRule="exact"/>
        <w:ind w:firstLine="0" w:firstLineChars="0"/>
        <w:jc w:val="center"/>
        <w:rPr>
          <w:rFonts w:ascii="宋体" w:hAnsi="宋体" w:eastAsia="方正楷体_GBK" w:cs="Times New Roman"/>
        </w:rPr>
      </w:pPr>
    </w:p>
    <w:p w14:paraId="3B57D67A">
      <w:pPr>
        <w:widowControl w:val="0"/>
        <w:spacing w:line="570" w:lineRule="exact"/>
        <w:ind w:firstLine="0" w:firstLineChars="0"/>
        <w:jc w:val="center"/>
        <w:rPr>
          <w:rFonts w:ascii="宋体" w:hAnsi="宋体" w:eastAsia="方正楷体_GBK" w:cs="Times New Roman"/>
        </w:rPr>
      </w:pPr>
    </w:p>
    <w:p w14:paraId="6C242691">
      <w:pPr>
        <w:widowControl w:val="0"/>
        <w:spacing w:line="570" w:lineRule="exact"/>
        <w:ind w:firstLine="0" w:firstLineChars="0"/>
        <w:jc w:val="center"/>
        <w:rPr>
          <w:rFonts w:ascii="宋体" w:hAnsi="宋体" w:eastAsia="方正楷体_GBK" w:cs="Times New Roman"/>
        </w:rPr>
      </w:pPr>
    </w:p>
    <w:p w14:paraId="5C9B1CB6">
      <w:pPr>
        <w:widowControl w:val="0"/>
        <w:spacing w:line="570" w:lineRule="exact"/>
        <w:ind w:firstLine="0" w:firstLineChars="0"/>
        <w:jc w:val="center"/>
        <w:rPr>
          <w:rFonts w:ascii="宋体" w:hAnsi="宋体" w:eastAsia="方正楷体_GBK" w:cs="Times New Roman"/>
        </w:rPr>
      </w:pP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93"/>
        <w:gridCol w:w="4801"/>
      </w:tblGrid>
      <w:tr w14:paraId="4548D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jc w:val="center"/>
        </w:trPr>
        <w:tc>
          <w:tcPr>
            <w:tcW w:w="1993" w:type="dxa"/>
            <w:noWrap w:val="0"/>
            <w:vAlign w:val="top"/>
          </w:tcPr>
          <w:p w14:paraId="4A733831">
            <w:pPr>
              <w:widowControl w:val="0"/>
              <w:spacing w:line="480" w:lineRule="auto"/>
              <w:ind w:firstLine="0" w:firstLineChars="0"/>
              <w:jc w:val="distribute"/>
              <w:rPr>
                <w:rFonts w:hint="eastAsia" w:ascii="宋体" w:hAnsi="宋体" w:eastAsia="方正仿宋_GBK" w:cs="方正仿宋_GBK"/>
                <w:sz w:val="32"/>
                <w:szCs w:val="32"/>
              </w:rPr>
            </w:pPr>
            <w:r>
              <w:rPr>
                <w:rFonts w:hint="eastAsia" w:ascii="宋体" w:hAnsi="宋体" w:eastAsia="方正仿宋_GBK" w:cs="方正仿宋_GBK"/>
                <w:sz w:val="32"/>
                <w:szCs w:val="32"/>
              </w:rPr>
              <w:t>建设单位：</w:t>
            </w:r>
          </w:p>
        </w:tc>
        <w:tc>
          <w:tcPr>
            <w:tcW w:w="4801" w:type="dxa"/>
            <w:noWrap w:val="0"/>
            <w:vAlign w:val="top"/>
          </w:tcPr>
          <w:p w14:paraId="6C41CEEA">
            <w:pPr>
              <w:widowControl w:val="0"/>
              <w:spacing w:line="480" w:lineRule="auto"/>
              <w:ind w:firstLine="0" w:firstLineChars="0"/>
              <w:rPr>
                <w:rFonts w:hint="eastAsia" w:ascii="宋体" w:hAnsi="宋体" w:eastAsia="方正仿宋_GBK" w:cs="方正仿宋_GBK"/>
                <w:sz w:val="32"/>
                <w:szCs w:val="32"/>
              </w:rPr>
            </w:pPr>
          </w:p>
        </w:tc>
      </w:tr>
      <w:tr w14:paraId="32CE9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jc w:val="center"/>
        </w:trPr>
        <w:tc>
          <w:tcPr>
            <w:tcW w:w="1993" w:type="dxa"/>
            <w:noWrap w:val="0"/>
            <w:vAlign w:val="top"/>
          </w:tcPr>
          <w:p w14:paraId="1C637FA7">
            <w:pPr>
              <w:widowControl w:val="0"/>
              <w:spacing w:line="480" w:lineRule="auto"/>
              <w:ind w:firstLine="0" w:firstLineChars="0"/>
              <w:jc w:val="distribute"/>
              <w:rPr>
                <w:rFonts w:hint="eastAsia" w:ascii="宋体" w:hAnsi="宋体" w:eastAsia="方正仿宋_GBK" w:cs="方正仿宋_GBK"/>
                <w:sz w:val="32"/>
                <w:szCs w:val="32"/>
              </w:rPr>
            </w:pPr>
            <w:r>
              <w:rPr>
                <w:rFonts w:hint="eastAsia" w:ascii="宋体" w:hAnsi="宋体" w:eastAsia="方正仿宋_GBK" w:cs="方正仿宋_GBK"/>
                <w:sz w:val="32"/>
                <w:szCs w:val="32"/>
              </w:rPr>
              <w:t>负责人：</w:t>
            </w:r>
          </w:p>
        </w:tc>
        <w:tc>
          <w:tcPr>
            <w:tcW w:w="4801" w:type="dxa"/>
            <w:noWrap w:val="0"/>
            <w:vAlign w:val="top"/>
          </w:tcPr>
          <w:p w14:paraId="53B49E62">
            <w:pPr>
              <w:widowControl w:val="0"/>
              <w:spacing w:line="480" w:lineRule="auto"/>
              <w:ind w:firstLine="0" w:firstLineChars="0"/>
              <w:rPr>
                <w:rFonts w:hint="eastAsia" w:ascii="宋体" w:hAnsi="宋体" w:eastAsia="方正仿宋_GBK" w:cs="方正仿宋_GBK"/>
                <w:sz w:val="32"/>
                <w:szCs w:val="32"/>
              </w:rPr>
            </w:pPr>
          </w:p>
        </w:tc>
      </w:tr>
      <w:tr w14:paraId="63E7D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1993" w:type="dxa"/>
            <w:noWrap w:val="0"/>
            <w:vAlign w:val="top"/>
          </w:tcPr>
          <w:p w14:paraId="7BE604F9">
            <w:pPr>
              <w:widowControl w:val="0"/>
              <w:spacing w:line="570" w:lineRule="exact"/>
              <w:ind w:firstLine="0" w:firstLineChars="0"/>
              <w:jc w:val="distribute"/>
              <w:rPr>
                <w:rFonts w:hint="eastAsia" w:ascii="宋体" w:hAnsi="宋体" w:eastAsia="方正仿宋_GBK" w:cs="方正仿宋_GBK"/>
                <w:sz w:val="32"/>
                <w:szCs w:val="32"/>
              </w:rPr>
            </w:pPr>
          </w:p>
        </w:tc>
        <w:tc>
          <w:tcPr>
            <w:tcW w:w="4801" w:type="dxa"/>
            <w:noWrap w:val="0"/>
            <w:vAlign w:val="top"/>
          </w:tcPr>
          <w:p w14:paraId="48138D34">
            <w:pPr>
              <w:widowControl w:val="0"/>
              <w:spacing w:line="570" w:lineRule="exact"/>
              <w:ind w:firstLine="0" w:firstLineChars="0"/>
              <w:jc w:val="center"/>
              <w:rPr>
                <w:rFonts w:hint="eastAsia" w:ascii="宋体" w:hAnsi="宋体" w:eastAsia="方正仿宋_GBK" w:cs="方正仿宋_GBK"/>
                <w:sz w:val="32"/>
                <w:szCs w:val="32"/>
              </w:rPr>
            </w:pPr>
          </w:p>
        </w:tc>
      </w:tr>
      <w:tr w14:paraId="5B80D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jc w:val="center"/>
        </w:trPr>
        <w:tc>
          <w:tcPr>
            <w:tcW w:w="1993" w:type="dxa"/>
            <w:noWrap w:val="0"/>
            <w:vAlign w:val="top"/>
          </w:tcPr>
          <w:p w14:paraId="08D06DE0">
            <w:pPr>
              <w:widowControl w:val="0"/>
              <w:spacing w:line="480" w:lineRule="auto"/>
              <w:ind w:firstLine="0" w:firstLineChars="0"/>
              <w:jc w:val="distribute"/>
              <w:rPr>
                <w:rFonts w:hint="eastAsia" w:ascii="宋体" w:hAnsi="宋体" w:eastAsia="方正仿宋_GBK" w:cs="方正仿宋_GBK"/>
                <w:sz w:val="32"/>
                <w:szCs w:val="32"/>
              </w:rPr>
            </w:pPr>
            <w:r>
              <w:rPr>
                <w:rFonts w:hint="eastAsia" w:ascii="宋体" w:hAnsi="宋体" w:eastAsia="方正仿宋_GBK" w:cs="方正仿宋_GBK"/>
                <w:sz w:val="32"/>
                <w:szCs w:val="32"/>
              </w:rPr>
              <w:t>编制单位：</w:t>
            </w:r>
          </w:p>
        </w:tc>
        <w:tc>
          <w:tcPr>
            <w:tcW w:w="4801" w:type="dxa"/>
            <w:noWrap w:val="0"/>
            <w:vAlign w:val="top"/>
          </w:tcPr>
          <w:p w14:paraId="5A410387">
            <w:pPr>
              <w:widowControl w:val="0"/>
              <w:spacing w:line="480" w:lineRule="auto"/>
              <w:ind w:firstLine="0" w:firstLineChars="0"/>
              <w:rPr>
                <w:rFonts w:hint="eastAsia" w:ascii="宋体" w:hAnsi="宋体" w:eastAsia="方正仿宋_GBK" w:cs="方正仿宋_GBK"/>
                <w:sz w:val="32"/>
                <w:szCs w:val="32"/>
              </w:rPr>
            </w:pPr>
          </w:p>
        </w:tc>
      </w:tr>
      <w:tr w14:paraId="5E469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jc w:val="center"/>
        </w:trPr>
        <w:tc>
          <w:tcPr>
            <w:tcW w:w="1993" w:type="dxa"/>
            <w:noWrap w:val="0"/>
            <w:vAlign w:val="top"/>
          </w:tcPr>
          <w:p w14:paraId="3921F11D">
            <w:pPr>
              <w:widowControl w:val="0"/>
              <w:spacing w:line="480" w:lineRule="auto"/>
              <w:ind w:firstLine="0" w:firstLineChars="0"/>
              <w:jc w:val="distribute"/>
              <w:rPr>
                <w:rFonts w:hint="eastAsia" w:ascii="宋体" w:hAnsi="宋体" w:eastAsia="方正仿宋_GBK" w:cs="方正仿宋_GBK"/>
                <w:sz w:val="32"/>
                <w:szCs w:val="32"/>
              </w:rPr>
            </w:pPr>
            <w:r>
              <w:rPr>
                <w:rFonts w:hint="eastAsia" w:ascii="宋体" w:hAnsi="宋体" w:eastAsia="方正仿宋_GBK" w:cs="方正仿宋_GBK"/>
                <w:sz w:val="32"/>
                <w:szCs w:val="32"/>
              </w:rPr>
              <w:t>负责人：</w:t>
            </w:r>
          </w:p>
        </w:tc>
        <w:tc>
          <w:tcPr>
            <w:tcW w:w="4801" w:type="dxa"/>
            <w:noWrap w:val="0"/>
            <w:vAlign w:val="top"/>
          </w:tcPr>
          <w:p w14:paraId="5025B60F">
            <w:pPr>
              <w:widowControl w:val="0"/>
              <w:spacing w:line="480" w:lineRule="auto"/>
              <w:ind w:firstLine="0" w:firstLineChars="0"/>
              <w:rPr>
                <w:rFonts w:hint="eastAsia" w:ascii="宋体" w:hAnsi="宋体" w:eastAsia="方正仿宋_GBK" w:cs="方正仿宋_GBK"/>
                <w:sz w:val="32"/>
                <w:szCs w:val="32"/>
              </w:rPr>
            </w:pPr>
          </w:p>
        </w:tc>
      </w:tr>
      <w:tr w14:paraId="0D455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jc w:val="center"/>
        </w:trPr>
        <w:tc>
          <w:tcPr>
            <w:tcW w:w="1993" w:type="dxa"/>
            <w:noWrap w:val="0"/>
            <w:vAlign w:val="top"/>
          </w:tcPr>
          <w:p w14:paraId="3970FEC0">
            <w:pPr>
              <w:widowControl w:val="0"/>
              <w:spacing w:line="480" w:lineRule="auto"/>
              <w:ind w:firstLine="0" w:firstLineChars="0"/>
              <w:jc w:val="distribute"/>
              <w:rPr>
                <w:rFonts w:hint="eastAsia" w:ascii="宋体" w:hAnsi="宋体" w:eastAsia="方正仿宋_GBK" w:cs="方正仿宋_GBK"/>
                <w:sz w:val="32"/>
                <w:szCs w:val="32"/>
              </w:rPr>
            </w:pPr>
            <w:r>
              <w:rPr>
                <w:rFonts w:hint="eastAsia" w:ascii="宋体" w:hAnsi="宋体" w:eastAsia="方正仿宋_GBK" w:cs="方正仿宋_GBK"/>
                <w:sz w:val="32"/>
                <w:szCs w:val="32"/>
              </w:rPr>
              <w:t>总工程师：</w:t>
            </w:r>
          </w:p>
        </w:tc>
        <w:tc>
          <w:tcPr>
            <w:tcW w:w="4801" w:type="dxa"/>
            <w:noWrap w:val="0"/>
            <w:vAlign w:val="top"/>
          </w:tcPr>
          <w:p w14:paraId="7D0217FA">
            <w:pPr>
              <w:widowControl w:val="0"/>
              <w:spacing w:line="480" w:lineRule="auto"/>
              <w:ind w:firstLine="0" w:firstLineChars="0"/>
              <w:rPr>
                <w:rFonts w:hint="eastAsia" w:ascii="宋体" w:hAnsi="宋体" w:eastAsia="方正仿宋_GBK" w:cs="方正仿宋_GBK"/>
                <w:sz w:val="32"/>
                <w:szCs w:val="32"/>
              </w:rPr>
            </w:pPr>
          </w:p>
        </w:tc>
      </w:tr>
      <w:tr w14:paraId="6E60F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jc w:val="center"/>
        </w:trPr>
        <w:tc>
          <w:tcPr>
            <w:tcW w:w="1993" w:type="dxa"/>
            <w:noWrap w:val="0"/>
            <w:vAlign w:val="top"/>
          </w:tcPr>
          <w:p w14:paraId="623F7C55">
            <w:pPr>
              <w:widowControl w:val="0"/>
              <w:spacing w:line="480" w:lineRule="auto"/>
              <w:ind w:firstLine="0" w:firstLineChars="0"/>
              <w:jc w:val="distribute"/>
              <w:rPr>
                <w:rFonts w:hint="eastAsia" w:ascii="宋体" w:hAnsi="宋体" w:eastAsia="方正仿宋_GBK" w:cs="方正仿宋_GBK"/>
                <w:sz w:val="32"/>
                <w:szCs w:val="32"/>
              </w:rPr>
            </w:pPr>
            <w:r>
              <w:rPr>
                <w:rFonts w:hint="eastAsia" w:ascii="宋体" w:hAnsi="宋体" w:eastAsia="方正仿宋_GBK" w:cs="方正仿宋_GBK"/>
                <w:sz w:val="32"/>
                <w:szCs w:val="32"/>
              </w:rPr>
              <w:t>项目负责人：</w:t>
            </w:r>
          </w:p>
        </w:tc>
        <w:tc>
          <w:tcPr>
            <w:tcW w:w="4801" w:type="dxa"/>
            <w:noWrap w:val="0"/>
            <w:vAlign w:val="top"/>
          </w:tcPr>
          <w:p w14:paraId="0E7ABCE0">
            <w:pPr>
              <w:widowControl w:val="0"/>
              <w:spacing w:line="480" w:lineRule="auto"/>
              <w:ind w:firstLine="0" w:firstLineChars="0"/>
              <w:rPr>
                <w:rFonts w:hint="eastAsia" w:ascii="宋体" w:hAnsi="宋体" w:eastAsia="方正仿宋_GBK" w:cs="方正仿宋_GBK"/>
                <w:sz w:val="32"/>
                <w:szCs w:val="32"/>
              </w:rPr>
            </w:pPr>
          </w:p>
        </w:tc>
      </w:tr>
      <w:tr w14:paraId="3C35A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jc w:val="center"/>
        </w:trPr>
        <w:tc>
          <w:tcPr>
            <w:tcW w:w="1993" w:type="dxa"/>
            <w:noWrap w:val="0"/>
            <w:vAlign w:val="top"/>
          </w:tcPr>
          <w:p w14:paraId="301A55DD">
            <w:pPr>
              <w:widowControl w:val="0"/>
              <w:spacing w:line="480" w:lineRule="auto"/>
              <w:ind w:firstLine="0" w:firstLineChars="0"/>
              <w:jc w:val="distribute"/>
              <w:rPr>
                <w:rFonts w:hint="eastAsia" w:ascii="宋体" w:hAnsi="宋体" w:eastAsia="方正仿宋_GBK" w:cs="方正仿宋_GBK"/>
                <w:sz w:val="32"/>
                <w:szCs w:val="32"/>
              </w:rPr>
            </w:pPr>
            <w:r>
              <w:rPr>
                <w:rFonts w:hint="eastAsia" w:ascii="宋体" w:hAnsi="宋体" w:eastAsia="方正仿宋_GBK" w:cs="方正仿宋_GBK"/>
                <w:sz w:val="32"/>
                <w:szCs w:val="32"/>
              </w:rPr>
              <w:t>审核：</w:t>
            </w:r>
          </w:p>
        </w:tc>
        <w:tc>
          <w:tcPr>
            <w:tcW w:w="4801" w:type="dxa"/>
            <w:noWrap w:val="0"/>
            <w:vAlign w:val="top"/>
          </w:tcPr>
          <w:p w14:paraId="0C7F52B2">
            <w:pPr>
              <w:widowControl w:val="0"/>
              <w:spacing w:line="480" w:lineRule="auto"/>
              <w:ind w:firstLine="0" w:firstLineChars="0"/>
              <w:rPr>
                <w:rFonts w:hint="eastAsia" w:ascii="宋体" w:hAnsi="宋体" w:eastAsia="方正仿宋_GBK" w:cs="方正仿宋_GBK"/>
                <w:sz w:val="32"/>
                <w:szCs w:val="32"/>
              </w:rPr>
            </w:pPr>
          </w:p>
        </w:tc>
      </w:tr>
      <w:tr w14:paraId="5A928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jc w:val="center"/>
        </w:trPr>
        <w:tc>
          <w:tcPr>
            <w:tcW w:w="1993" w:type="dxa"/>
            <w:noWrap w:val="0"/>
            <w:vAlign w:val="top"/>
          </w:tcPr>
          <w:p w14:paraId="7AFC0936">
            <w:pPr>
              <w:widowControl w:val="0"/>
              <w:spacing w:line="480" w:lineRule="auto"/>
              <w:ind w:firstLine="0" w:firstLineChars="0"/>
              <w:jc w:val="distribute"/>
              <w:rPr>
                <w:rFonts w:hint="eastAsia" w:ascii="宋体" w:hAnsi="宋体" w:eastAsia="方正仿宋_GBK" w:cs="方正仿宋_GBK"/>
                <w:sz w:val="32"/>
                <w:szCs w:val="32"/>
              </w:rPr>
            </w:pPr>
            <w:r>
              <w:rPr>
                <w:rFonts w:hint="eastAsia" w:ascii="宋体" w:hAnsi="宋体" w:eastAsia="方正仿宋_GBK" w:cs="方正仿宋_GBK"/>
                <w:sz w:val="32"/>
                <w:szCs w:val="32"/>
              </w:rPr>
              <w:t>编制人员：</w:t>
            </w:r>
          </w:p>
        </w:tc>
        <w:tc>
          <w:tcPr>
            <w:tcW w:w="4801" w:type="dxa"/>
            <w:noWrap w:val="0"/>
            <w:vAlign w:val="top"/>
          </w:tcPr>
          <w:p w14:paraId="082C4D60">
            <w:pPr>
              <w:widowControl w:val="0"/>
              <w:spacing w:line="480" w:lineRule="auto"/>
              <w:ind w:firstLine="0" w:firstLineChars="0"/>
              <w:rPr>
                <w:rFonts w:hint="eastAsia" w:ascii="宋体" w:hAnsi="宋体" w:eastAsia="方正仿宋_GBK" w:cs="方正仿宋_GBK"/>
                <w:sz w:val="32"/>
                <w:szCs w:val="32"/>
              </w:rPr>
            </w:pPr>
          </w:p>
        </w:tc>
      </w:tr>
    </w:tbl>
    <w:p w14:paraId="46D4929F">
      <w:pPr>
        <w:widowControl w:val="0"/>
        <w:spacing w:line="570" w:lineRule="exact"/>
        <w:ind w:firstLine="0" w:firstLineChars="0"/>
        <w:jc w:val="center"/>
        <w:rPr>
          <w:rFonts w:hint="eastAsia" w:ascii="宋体" w:hAnsi="宋体" w:eastAsia="方正仿宋_GBK" w:cs="方正仿宋_GBK"/>
          <w:sz w:val="32"/>
          <w:szCs w:val="32"/>
        </w:rPr>
      </w:pPr>
    </w:p>
    <w:p w14:paraId="73F6904F">
      <w:pPr>
        <w:widowControl w:val="0"/>
        <w:spacing w:line="570" w:lineRule="exact"/>
        <w:ind w:firstLine="0" w:firstLineChars="0"/>
        <w:jc w:val="center"/>
        <w:rPr>
          <w:rFonts w:ascii="宋体" w:hAnsi="宋体" w:eastAsia="方正楷体_GBK" w:cs="Times New Roman"/>
        </w:rPr>
      </w:pPr>
    </w:p>
    <w:p w14:paraId="08FBB447">
      <w:pPr>
        <w:spacing w:line="720" w:lineRule="auto"/>
        <w:ind w:firstLine="0" w:firstLineChars="0"/>
        <w:jc w:val="center"/>
        <w:rPr>
          <w:rFonts w:hint="eastAsia" w:ascii="方正仿宋_GBK" w:hAnsi="方正仿宋_GBK" w:eastAsia="方正仿宋_GBK" w:cs="方正仿宋_GBK"/>
          <w:sz w:val="32"/>
          <w:szCs w:val="32"/>
        </w:rPr>
        <w:sectPr>
          <w:pgSz w:w="11906" w:h="16838"/>
          <w:pgMar w:top="1440" w:right="1800" w:bottom="1440" w:left="1800" w:header="851" w:footer="992" w:gutter="0"/>
          <w:pgNumType w:fmt="decimal"/>
          <w:cols w:space="720" w:num="1"/>
          <w:docGrid w:type="lines" w:linePitch="312" w:charSpace="0"/>
        </w:sectPr>
      </w:pPr>
      <w:r>
        <w:rPr>
          <w:rFonts w:hint="eastAsia" w:ascii="方正仿宋_GBK" w:hAnsi="方正仿宋_GBK" w:eastAsia="方正仿宋_GBK" w:cs="方正仿宋_GBK"/>
          <w:sz w:val="32"/>
          <w:szCs w:val="32"/>
        </w:rPr>
        <w:t>年   月</w:t>
      </w:r>
    </w:p>
    <w:p w14:paraId="33EA1647">
      <w:pPr>
        <w:keepNext w:val="0"/>
        <w:keepLines w:val="0"/>
        <w:pageBreakBefore w:val="0"/>
        <w:widowControl w:val="0"/>
        <w:kinsoku/>
        <w:wordWrap/>
        <w:overflowPunct/>
        <w:topLinePunct w:val="0"/>
        <w:autoSpaceDE/>
        <w:autoSpaceDN/>
        <w:bidi w:val="0"/>
        <w:adjustRightInd/>
        <w:snapToGrid/>
        <w:spacing w:before="240" w:after="240" w:line="640" w:lineRule="exact"/>
        <w:ind w:firstLine="0" w:firstLineChars="0"/>
        <w:jc w:val="center"/>
        <w:textAlignment w:val="auto"/>
        <w:rPr>
          <w:rFonts w:hint="eastAsia" w:ascii="宋体" w:hAnsi="宋体" w:eastAsia="方正黑体_GBK" w:cs="方正黑体_GBK"/>
          <w:bCs/>
          <w:kern w:val="2"/>
          <w:sz w:val="32"/>
          <w:szCs w:val="32"/>
          <w:lang w:val="en-US" w:eastAsia="zh-CN" w:bidi="ar-SA"/>
        </w:rPr>
      </w:pPr>
      <w:r>
        <w:rPr>
          <w:rFonts w:hint="eastAsia" w:ascii="宋体" w:hAnsi="宋体" w:eastAsia="方正黑体_GBK" w:cs="方正黑体_GBK"/>
          <w:bCs/>
          <w:kern w:val="2"/>
          <w:sz w:val="32"/>
          <w:szCs w:val="32"/>
          <w:lang w:val="en-US" w:eastAsia="zh-CN" w:bidi="ar-SA"/>
        </w:rPr>
        <w:t>第一章 前言</w:t>
      </w:r>
    </w:p>
    <w:p w14:paraId="39D2EF4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一、项目来源</w:t>
      </w:r>
    </w:p>
    <w:p w14:paraId="047D6F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根据</w:t>
      </w:r>
      <w:r>
        <w:rPr>
          <w:rFonts w:hint="eastAsia" w:ascii="宋体" w:hAnsi="宋体" w:eastAsia="方正仿宋_GBK" w:cs="方正仿宋_GBK"/>
          <w:sz w:val="32"/>
          <w:szCs w:val="32"/>
          <w:shd w:val="clear" w:color="auto" w:fill="FFFFFF"/>
        </w:rPr>
        <w:t>《自然资源部 生态环境部 财政部 国家市场监督管理总局 国家金融监督管理总局 中国证券监督管理委员会 国家林业和草原局关于进一步加强绿色矿山建设的通知》</w:t>
      </w:r>
      <w:r>
        <w:rPr>
          <w:rFonts w:hint="eastAsia" w:ascii="宋体" w:hAnsi="宋体" w:eastAsia="方正仿宋_GBK" w:cs="方正仿宋_GBK"/>
          <w:sz w:val="32"/>
          <w:szCs w:val="32"/>
        </w:rPr>
        <w:t>（自然资规〔2024〕1号）</w:t>
      </w:r>
      <w:r>
        <w:rPr>
          <w:rFonts w:hint="eastAsia" w:ascii="宋体" w:hAnsi="宋体" w:eastAsia="方正仿宋_GBK" w:cs="方正仿宋_GBK"/>
          <w:sz w:val="32"/>
          <w:szCs w:val="32"/>
          <w:shd w:val="clear" w:color="auto" w:fill="FFFFFF"/>
        </w:rPr>
        <w:t>、</w:t>
      </w:r>
      <w:bookmarkStart w:id="0" w:name="_Hlk195109976"/>
      <w:r>
        <w:rPr>
          <w:rFonts w:hint="eastAsia" w:ascii="宋体" w:hAnsi="宋体" w:eastAsia="方正仿宋_GBK" w:cs="方正仿宋_GBK"/>
          <w:sz w:val="32"/>
          <w:szCs w:val="32"/>
          <w:shd w:val="clear" w:color="auto" w:fill="FFFFFF"/>
        </w:rPr>
        <w:t>《云南省自然资源厅 云南省生态环境厅 云南省财政厅 云南省市场监督管理局 云南省林业和草原局 国家金融监督管理总局云南监管局 中国证券监督管理委员会云南监管局关于印发云南省绿色矿山建设实施方案的通知》（</w:t>
      </w:r>
      <w:r>
        <w:rPr>
          <w:rFonts w:hint="eastAsia" w:ascii="宋体" w:hAnsi="宋体" w:eastAsia="方正仿宋_GBK" w:cs="方正仿宋_GBK"/>
          <w:sz w:val="32"/>
          <w:szCs w:val="32"/>
        </w:rPr>
        <w:t>云自然资〔2025〕31号</w:t>
      </w:r>
      <w:r>
        <w:rPr>
          <w:rFonts w:hint="eastAsia" w:ascii="宋体" w:hAnsi="宋体" w:eastAsia="方正仿宋_GBK" w:cs="方正仿宋_GBK"/>
          <w:sz w:val="32"/>
          <w:szCs w:val="32"/>
          <w:shd w:val="clear" w:color="auto" w:fill="FFFFFF"/>
        </w:rPr>
        <w:t>）</w:t>
      </w:r>
      <w:bookmarkEnd w:id="0"/>
      <w:r>
        <w:rPr>
          <w:rFonts w:hint="eastAsia" w:ascii="宋体" w:hAnsi="宋体" w:eastAsia="方正仿宋_GBK" w:cs="方正仿宋_GBK"/>
          <w:sz w:val="32"/>
          <w:szCs w:val="32"/>
          <w:shd w:val="clear" w:color="auto" w:fill="FFFFFF"/>
        </w:rPr>
        <w:t>、《云南省自然资源厅关于全面推进绿色矿山建设的通知》（</w:t>
      </w:r>
      <w:r>
        <w:rPr>
          <w:rFonts w:hint="eastAsia" w:ascii="宋体" w:hAnsi="宋体" w:eastAsia="方正仿宋_GBK" w:cs="方正仿宋_GBK"/>
          <w:sz w:val="32"/>
          <w:szCs w:val="32"/>
        </w:rPr>
        <w:t>xxxx〔2025〕xx号</w:t>
      </w:r>
      <w:r>
        <w:rPr>
          <w:rFonts w:hint="eastAsia" w:ascii="宋体" w:hAnsi="宋体" w:eastAsia="方正仿宋_GBK" w:cs="方正仿宋_GBK"/>
          <w:sz w:val="32"/>
          <w:szCs w:val="32"/>
          <w:shd w:val="clear" w:color="auto" w:fill="FFFFFF"/>
        </w:rPr>
        <w:t>）要求，</w:t>
      </w:r>
      <w:r>
        <w:rPr>
          <w:rFonts w:hint="eastAsia" w:ascii="宋体" w:hAnsi="宋体" w:eastAsia="方正仿宋_GBK" w:cs="方正仿宋_GBK"/>
          <w:sz w:val="32"/>
          <w:szCs w:val="32"/>
        </w:rPr>
        <w:t>为进一步加快推进xx矿山绿色矿山建设工作，确保实现xx年达到省级绿色矿山要求的建设目标，结合矿山现状及企业规划编制《xx 矿山绿色矿山建设实施方案》，用于指导xx 矿山绿色矿山建设。</w:t>
      </w:r>
    </w:p>
    <w:p w14:paraId="1F88EF2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二、目标任务</w:t>
      </w:r>
    </w:p>
    <w:p w14:paraId="4449F8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深入践行“绿水青山就是金山银山”的理念，在矿产资源开发全过程中，严格落实矿山开发利用、生态修复、环境保护、水土保持、安全生产等方案要求，对矿区及周边生态环境扰动控制在可控范围内。按照《xx 行业绿色矿山建设规范》（DZ/T 03xx-2018），结合矿山实际与发展方向，提出各项建设任务与建设工程，建设矿区环境生态化、开采方式科学化、资源利用高效化、企业管理规范化、矿区社区和谐化的绿色矿山。</w:t>
      </w:r>
    </w:p>
    <w:p w14:paraId="6E24079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三、方案编制效力、期限</w:t>
      </w:r>
    </w:p>
    <w:p w14:paraId="3B60BB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本实施方案编制的效力是指导矿山企业绿色矿山建设，本方案不代替矿山其他设计。实施方案基期为xxxx年xx月，预期达标时间为xxxx年xx月，因此建设周期为xxxx年xx月至xxxx年xx月。</w:t>
      </w:r>
    </w:p>
    <w:p w14:paraId="66959D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矿山绿色矿山建设范围包括整个矿区范围（采矿区）、临时排土场、弃渣场、生产加工区、矿山主要运输道路、办公生活区以及周边生态环境扰动范围（对接外部道路、周边民舍的安全、粉尘噪音影响范围等）。</w:t>
      </w:r>
    </w:p>
    <w:p w14:paraId="51B4B41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四、编制依据</w:t>
      </w:r>
    </w:p>
    <w:p w14:paraId="6414A7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bCs/>
          <w:kern w:val="2"/>
          <w:sz w:val="32"/>
          <w:szCs w:val="32"/>
          <w:lang w:val="en-US" w:eastAsia="zh-CN" w:bidi="ar-SA"/>
        </w:rPr>
      </w:pPr>
      <w:r>
        <w:rPr>
          <w:rFonts w:hint="eastAsia" w:ascii="宋体" w:hAnsi="宋体" w:eastAsia="方正仿宋_GBK" w:cs="方正仿宋_GBK"/>
          <w:sz w:val="32"/>
          <w:szCs w:val="32"/>
        </w:rPr>
        <w:t>法律法规、规范性文件、规划、技术标准、技术资料等。</w:t>
      </w:r>
    </w:p>
    <w:p w14:paraId="6D98AD3F">
      <w:pPr>
        <w:keepNext w:val="0"/>
        <w:keepLines w:val="0"/>
        <w:pageBreakBefore w:val="0"/>
        <w:widowControl w:val="0"/>
        <w:kinsoku/>
        <w:wordWrap/>
        <w:overflowPunct/>
        <w:topLinePunct w:val="0"/>
        <w:autoSpaceDE/>
        <w:autoSpaceDN/>
        <w:bidi w:val="0"/>
        <w:adjustRightInd/>
        <w:snapToGrid/>
        <w:spacing w:before="240" w:after="240" w:line="640" w:lineRule="exact"/>
        <w:ind w:firstLine="0" w:firstLineChars="0"/>
        <w:jc w:val="center"/>
        <w:textAlignment w:val="auto"/>
        <w:rPr>
          <w:rFonts w:hint="eastAsia" w:ascii="宋体" w:hAnsi="宋体" w:eastAsia="方正黑体_GBK" w:cs="方正黑体_GBK"/>
          <w:bCs/>
          <w:kern w:val="2"/>
          <w:sz w:val="32"/>
          <w:szCs w:val="32"/>
          <w:lang w:val="en-US" w:eastAsia="zh-CN" w:bidi="ar-SA"/>
        </w:rPr>
      </w:pPr>
      <w:r>
        <w:rPr>
          <w:rFonts w:hint="eastAsia" w:ascii="宋体" w:hAnsi="宋体" w:eastAsia="方正黑体_GBK" w:cs="方正黑体_GBK"/>
          <w:bCs/>
          <w:kern w:val="2"/>
          <w:sz w:val="32"/>
          <w:szCs w:val="32"/>
          <w:lang w:val="en-US" w:eastAsia="zh-CN" w:bidi="ar-SA"/>
        </w:rPr>
        <w:t>第二章 矿山基本情况</w:t>
      </w:r>
    </w:p>
    <w:p w14:paraId="1A23E09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宋体" w:hAnsi="宋体" w:eastAsia="方正黑体_GBK" w:cs="方正黑体_GBK"/>
          <w:sz w:val="32"/>
          <w:szCs w:val="32"/>
        </w:rPr>
      </w:pPr>
      <w:r>
        <w:rPr>
          <w:rFonts w:hint="eastAsia" w:ascii="宋体" w:hAnsi="宋体" w:eastAsia="方正黑体_GBK" w:cs="方正黑体_GBK"/>
          <w:sz w:val="32"/>
          <w:szCs w:val="32"/>
        </w:rPr>
        <w:t>一、矿山企业基本情况</w:t>
      </w:r>
    </w:p>
    <w:p w14:paraId="30DB5F1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简要概述矿山企业基本情况……</w:t>
      </w:r>
    </w:p>
    <w:p w14:paraId="7302633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二、矿业权基本情况</w:t>
      </w:r>
    </w:p>
    <w:p w14:paraId="47C067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（一）矿业权基本信息：简要概述采矿权设置信息、开采方式、生产规模、开采历史概况等。</w:t>
      </w:r>
    </w:p>
    <w:p w14:paraId="6A0A97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（二）矿山生产经营状况</w:t>
      </w:r>
    </w:p>
    <w:p w14:paraId="06C3EB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bCs/>
          <w:kern w:val="2"/>
          <w:sz w:val="32"/>
          <w:szCs w:val="32"/>
          <w:lang w:val="en-US" w:eastAsia="zh-CN" w:bidi="ar-SA"/>
        </w:rPr>
      </w:pPr>
      <w:r>
        <w:rPr>
          <w:rFonts w:hint="eastAsia" w:ascii="宋体" w:hAnsi="宋体" w:eastAsia="方正仿宋_GBK" w:cs="方正仿宋_GBK"/>
          <w:sz w:val="32"/>
          <w:szCs w:val="32"/>
        </w:rPr>
        <w:t>（三）绿色矿山建设基本条件情况：证照合法有效性，环评、排污许可手续及竣工环保验收情况，近三年内受自然资源、生态环境等部门行政处罚情况，矿业权人异常名录、近三年内生产运营及剩余储量可采年限、矿区范围等情况。</w:t>
      </w:r>
    </w:p>
    <w:p w14:paraId="21D90A45">
      <w:pPr>
        <w:keepNext w:val="0"/>
        <w:keepLines w:val="0"/>
        <w:pageBreakBefore w:val="0"/>
        <w:widowControl w:val="0"/>
        <w:kinsoku/>
        <w:wordWrap/>
        <w:overflowPunct/>
        <w:topLinePunct w:val="0"/>
        <w:autoSpaceDE/>
        <w:autoSpaceDN/>
        <w:bidi w:val="0"/>
        <w:adjustRightInd/>
        <w:snapToGrid/>
        <w:spacing w:before="240" w:after="240" w:line="640" w:lineRule="exact"/>
        <w:ind w:firstLine="0" w:firstLineChars="0"/>
        <w:jc w:val="center"/>
        <w:textAlignment w:val="auto"/>
        <w:rPr>
          <w:rFonts w:hint="eastAsia" w:ascii="宋体" w:hAnsi="宋体" w:eastAsia="方正黑体_GBK" w:cs="方正黑体_GBK"/>
          <w:bCs/>
          <w:kern w:val="2"/>
          <w:sz w:val="32"/>
          <w:szCs w:val="32"/>
          <w:lang w:val="en-US" w:eastAsia="zh-CN" w:bidi="ar-SA"/>
        </w:rPr>
      </w:pPr>
      <w:r>
        <w:rPr>
          <w:rFonts w:hint="eastAsia" w:ascii="宋体" w:hAnsi="宋体" w:eastAsia="方正黑体_GBK" w:cs="方正黑体_GBK"/>
          <w:bCs/>
          <w:kern w:val="2"/>
          <w:sz w:val="32"/>
          <w:szCs w:val="32"/>
          <w:lang w:val="en-US" w:eastAsia="zh-CN" w:bidi="ar-SA"/>
        </w:rPr>
        <w:t>第三章 绿色矿山建设现状</w:t>
      </w:r>
    </w:p>
    <w:p w14:paraId="504572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一、矿山建设现状</w:t>
      </w:r>
    </w:p>
    <w:p w14:paraId="06EF67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对照绿色矿山建设行业标准，结合绿色矿山建设评价指标，从矿区环境、资源开采、资源综合利用、绿色低碳、生态修复与环境治理、科技创新与规范管理等六大方面描述矿山建设现状。</w:t>
      </w:r>
    </w:p>
    <w:p w14:paraId="2B1A6B9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宋体" w:hAnsi="宋体" w:eastAsia="方正楷体_GBK" w:cs="Times New Roman"/>
          <w:bCs/>
          <w:kern w:val="2"/>
          <w:sz w:val="32"/>
          <w:szCs w:val="32"/>
          <w:lang w:val="en-US" w:eastAsia="zh-CN" w:bidi="ar-SA"/>
        </w:rPr>
      </w:pPr>
      <w:r>
        <w:rPr>
          <w:rFonts w:hint="eastAsia" w:ascii="宋体" w:hAnsi="宋体" w:eastAsia="方正楷体_GBK" w:cs="Times New Roman"/>
          <w:bCs/>
          <w:kern w:val="2"/>
          <w:sz w:val="32"/>
          <w:szCs w:val="32"/>
          <w:lang w:val="en-US" w:eastAsia="zh-CN" w:bidi="ar-SA"/>
        </w:rPr>
        <w:t>（一）矿区环境</w:t>
      </w:r>
    </w:p>
    <w:p w14:paraId="756788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1.矿容矿貌：功能分区、配套设施、标识标牌、定置管理、清洁卫生。</w:t>
      </w:r>
    </w:p>
    <w:p w14:paraId="08B61E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2.矿区绿化：矿区绿化、绿化效果。</w:t>
      </w:r>
    </w:p>
    <w:p w14:paraId="426BFB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宋体" w:hAnsi="宋体" w:eastAsia="方正楷体_GBK" w:cs="Times New Roman"/>
          <w:bCs/>
          <w:kern w:val="2"/>
          <w:sz w:val="32"/>
          <w:szCs w:val="32"/>
          <w:lang w:val="en-US" w:eastAsia="zh-CN" w:bidi="ar-SA"/>
        </w:rPr>
      </w:pPr>
      <w:r>
        <w:rPr>
          <w:rFonts w:hint="eastAsia" w:ascii="宋体" w:hAnsi="宋体" w:eastAsia="方正楷体_GBK" w:cs="Times New Roman"/>
          <w:bCs/>
          <w:kern w:val="2"/>
          <w:sz w:val="32"/>
          <w:szCs w:val="32"/>
          <w:lang w:val="en-US" w:eastAsia="zh-CN" w:bidi="ar-SA"/>
        </w:rPr>
        <w:t>（二）资源开采</w:t>
      </w:r>
    </w:p>
    <w:p w14:paraId="7CC76B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1.开采活动：开采方式、开采技术、开采回采率。</w:t>
      </w:r>
    </w:p>
    <w:p w14:paraId="3527B3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2.开采工作面：结合矿区自身开采方式，对照相应评价指标，进行详述和评价。</w:t>
      </w:r>
    </w:p>
    <w:p w14:paraId="4C8A2F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宋体" w:hAnsi="宋体" w:eastAsia="方正楷体_GBK" w:cs="Times New Roman"/>
          <w:bCs/>
          <w:kern w:val="2"/>
          <w:sz w:val="32"/>
          <w:szCs w:val="32"/>
          <w:lang w:val="en-US" w:eastAsia="zh-CN" w:bidi="ar-SA"/>
        </w:rPr>
      </w:pPr>
      <w:r>
        <w:rPr>
          <w:rFonts w:hint="eastAsia" w:ascii="宋体" w:hAnsi="宋体" w:eastAsia="方正楷体_GBK" w:cs="Times New Roman"/>
          <w:bCs/>
          <w:kern w:val="2"/>
          <w:sz w:val="32"/>
          <w:szCs w:val="32"/>
          <w:lang w:val="en-US" w:eastAsia="zh-CN" w:bidi="ar-SA"/>
        </w:rPr>
        <w:t>（三）资源综合利用</w:t>
      </w:r>
    </w:p>
    <w:p w14:paraId="2BB421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1.选矿回收：选矿加工工艺、选矿回收率。</w:t>
      </w:r>
    </w:p>
    <w:p w14:paraId="225980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2.综合利用：共伴生资源综合勘查与评价、共伴生矿产资源综合利用率、暂不能开采利用矿产。</w:t>
      </w:r>
    </w:p>
    <w:p w14:paraId="440D19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3.固废综合利用：工业固废处置与利用、回收提取有价元素/有用矿物。</w:t>
      </w:r>
    </w:p>
    <w:p w14:paraId="190CF3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4.废水综合利用：生产废水综合利用、生活污水综合利用。</w:t>
      </w:r>
    </w:p>
    <w:p w14:paraId="084F8F7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宋体" w:hAnsi="宋体" w:eastAsia="方正楷体_GBK" w:cs="Times New Roman"/>
          <w:bCs/>
          <w:kern w:val="2"/>
          <w:sz w:val="32"/>
          <w:szCs w:val="32"/>
          <w:lang w:val="en-US" w:eastAsia="zh-CN" w:bidi="ar-SA"/>
        </w:rPr>
      </w:pPr>
      <w:r>
        <w:rPr>
          <w:rFonts w:hint="eastAsia" w:ascii="宋体" w:hAnsi="宋体" w:eastAsia="方正楷体_GBK" w:cs="Times New Roman"/>
          <w:bCs/>
          <w:kern w:val="2"/>
          <w:sz w:val="32"/>
          <w:szCs w:val="32"/>
          <w:lang w:val="en-US" w:eastAsia="zh-CN" w:bidi="ar-SA"/>
        </w:rPr>
        <w:t>（四）绿色低碳</w:t>
      </w:r>
    </w:p>
    <w:p w14:paraId="61A6FA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1.节约集约用地情况。</w:t>
      </w:r>
    </w:p>
    <w:p w14:paraId="341320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2.节能降耗：能源管理体系、单位产品能耗。</w:t>
      </w:r>
    </w:p>
    <w:p w14:paraId="1EC8B0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3.减碳：碳排放核算。</w:t>
      </w:r>
    </w:p>
    <w:p w14:paraId="55FAAB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4.源头预防：地下水环境状况、酸性废水源头预防、土壤污染源头预防、土壤污染隐患排查。</w:t>
      </w:r>
    </w:p>
    <w:p w14:paraId="283F10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5.废物排放：固废排放、废水排放、废气排放、移动源控制、噪声排放。</w:t>
      </w:r>
    </w:p>
    <w:p w14:paraId="0FB68F7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宋体" w:hAnsi="宋体" w:eastAsia="方正楷体_GBK" w:cs="Times New Roman"/>
          <w:bCs/>
          <w:kern w:val="2"/>
          <w:sz w:val="32"/>
          <w:szCs w:val="32"/>
          <w:lang w:val="en-US" w:eastAsia="zh-CN" w:bidi="ar-SA"/>
        </w:rPr>
      </w:pPr>
      <w:r>
        <w:rPr>
          <w:rFonts w:hint="eastAsia" w:ascii="宋体" w:hAnsi="宋体" w:eastAsia="方正楷体_GBK" w:cs="Times New Roman"/>
          <w:bCs/>
          <w:kern w:val="2"/>
          <w:sz w:val="32"/>
          <w:szCs w:val="32"/>
          <w:lang w:val="en-US" w:eastAsia="zh-CN" w:bidi="ar-SA"/>
        </w:rPr>
        <w:t>（五）生态修复与环境治理</w:t>
      </w:r>
    </w:p>
    <w:p w14:paraId="241C22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1.矿山地质环境治理恢复与土地复垦：矿山地质环境保护与土地复垦方案编制与执行、矿山地质环境治理恢复基金计提使用。</w:t>
      </w:r>
    </w:p>
    <w:p w14:paraId="4DF0BD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2.治理要求：详述治理工作开展情况和治理效果等。</w:t>
      </w:r>
    </w:p>
    <w:p w14:paraId="60C804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3.矿山环境动态监测：详述动态监测要求开展和完成情况。</w:t>
      </w:r>
    </w:p>
    <w:p w14:paraId="275D6B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4.环境管理体系。</w:t>
      </w:r>
    </w:p>
    <w:p w14:paraId="10048AA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宋体" w:hAnsi="宋体" w:eastAsia="方正楷体_GBK" w:cs="Times New Roman"/>
          <w:bCs/>
          <w:kern w:val="2"/>
          <w:sz w:val="32"/>
          <w:szCs w:val="32"/>
          <w:lang w:val="en-US" w:eastAsia="zh-CN" w:bidi="ar-SA"/>
        </w:rPr>
      </w:pPr>
      <w:r>
        <w:rPr>
          <w:rFonts w:hint="eastAsia" w:ascii="宋体" w:hAnsi="宋体" w:eastAsia="方正楷体_GBK" w:cs="Times New Roman"/>
          <w:bCs/>
          <w:kern w:val="2"/>
          <w:sz w:val="32"/>
          <w:szCs w:val="32"/>
          <w:lang w:val="en-US" w:eastAsia="zh-CN" w:bidi="ar-SA"/>
        </w:rPr>
        <w:t>（六）科技创新与规范管理</w:t>
      </w:r>
    </w:p>
    <w:p w14:paraId="702D61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1.科技创新：研发及技改投入、创新成果。</w:t>
      </w:r>
    </w:p>
    <w:p w14:paraId="27A53C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2.数字化矿山：集中管控平台、智能化应用。</w:t>
      </w:r>
    </w:p>
    <w:p w14:paraId="0D5007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3.规范管理：企业文化、企业诚信、矿地和谐。</w:t>
      </w:r>
    </w:p>
    <w:p w14:paraId="0F391EF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二、矿山现状评估</w:t>
      </w:r>
    </w:p>
    <w:p w14:paraId="285D4A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严格对照绿色矿山评价指标，逐条梳理描述矿山目前建设现状，并对照指标要求进行分析。明确是否达到指标要求。若有不涉及项，应说明判断依据，汇总形成绿色矿山建设现状评估表（表2-1）。</w:t>
      </w:r>
    </w:p>
    <w:p w14:paraId="21BD8911">
      <w:pPr>
        <w:widowControl w:val="0"/>
        <w:spacing w:line="570" w:lineRule="exact"/>
        <w:ind w:firstLine="640"/>
        <w:rPr>
          <w:rFonts w:hint="eastAsia" w:ascii="宋体" w:hAnsi="宋体" w:eastAsia="方正仿宋_GBK" w:cs="方正仿宋_GBK"/>
          <w:sz w:val="32"/>
          <w:szCs w:val="32"/>
        </w:rPr>
      </w:pPr>
      <w:r>
        <w:rPr>
          <w:rFonts w:hint="eastAsia" w:ascii="宋体" w:hAnsi="宋体" w:eastAsia="方正仿宋_GBK" w:cs="方正仿宋_GBK"/>
          <w:sz w:val="32"/>
          <w:szCs w:val="32"/>
        </w:rPr>
        <w:t>表2-1  绿色矿山建设现状评估表</w:t>
      </w:r>
    </w:p>
    <w:tbl>
      <w:tblPr>
        <w:tblStyle w:val="4"/>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3307"/>
        <w:gridCol w:w="1820"/>
        <w:gridCol w:w="2146"/>
      </w:tblGrid>
      <w:tr w14:paraId="41661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1232" w:type="dxa"/>
            <w:noWrap/>
            <w:vAlign w:val="center"/>
          </w:tcPr>
          <w:p w14:paraId="0EA54A9F">
            <w:pPr>
              <w:widowControl/>
              <w:spacing w:line="240" w:lineRule="auto"/>
              <w:ind w:firstLine="0" w:firstLineChars="0"/>
              <w:jc w:val="center"/>
              <w:rPr>
                <w:rFonts w:ascii="宋体" w:hAnsi="宋体" w:eastAsia="方正黑体_GBK" w:cs="Times New Roman"/>
                <w:color w:val="000000"/>
                <w:kern w:val="0"/>
                <w:sz w:val="21"/>
                <w:szCs w:val="21"/>
              </w:rPr>
            </w:pPr>
            <w:r>
              <w:rPr>
                <w:rFonts w:ascii="宋体" w:hAnsi="宋体" w:eastAsia="方正黑体_GBK" w:cs="Times New Roman"/>
                <w:color w:val="000000"/>
                <w:kern w:val="0"/>
                <w:sz w:val="21"/>
                <w:szCs w:val="21"/>
              </w:rPr>
              <w:t>序号</w:t>
            </w:r>
          </w:p>
        </w:tc>
        <w:tc>
          <w:tcPr>
            <w:tcW w:w="3307" w:type="dxa"/>
            <w:noWrap w:val="0"/>
            <w:vAlign w:val="center"/>
          </w:tcPr>
          <w:p w14:paraId="5D4D6D97">
            <w:pPr>
              <w:widowControl/>
              <w:spacing w:line="240" w:lineRule="auto"/>
              <w:ind w:firstLine="0" w:firstLineChars="0"/>
              <w:jc w:val="center"/>
              <w:rPr>
                <w:rFonts w:ascii="宋体" w:hAnsi="宋体" w:eastAsia="方正黑体_GBK" w:cs="Times New Roman"/>
                <w:color w:val="000000"/>
                <w:kern w:val="0"/>
                <w:sz w:val="21"/>
                <w:szCs w:val="21"/>
              </w:rPr>
            </w:pPr>
            <w:r>
              <w:rPr>
                <w:rFonts w:ascii="宋体" w:hAnsi="宋体" w:eastAsia="方正黑体_GBK" w:cs="Times New Roman"/>
                <w:color w:val="000000"/>
                <w:kern w:val="0"/>
                <w:sz w:val="21"/>
                <w:szCs w:val="21"/>
              </w:rPr>
              <w:t>评价指标</w:t>
            </w:r>
          </w:p>
        </w:tc>
        <w:tc>
          <w:tcPr>
            <w:tcW w:w="1820" w:type="dxa"/>
            <w:noWrap w:val="0"/>
            <w:vAlign w:val="center"/>
          </w:tcPr>
          <w:p w14:paraId="1FF04BA3">
            <w:pPr>
              <w:widowControl/>
              <w:spacing w:line="240" w:lineRule="auto"/>
              <w:ind w:firstLine="0" w:firstLineChars="0"/>
              <w:jc w:val="center"/>
              <w:rPr>
                <w:rFonts w:ascii="宋体" w:hAnsi="宋体" w:eastAsia="方正黑体_GBK" w:cs="Times New Roman"/>
                <w:color w:val="000000"/>
                <w:kern w:val="0"/>
                <w:sz w:val="21"/>
                <w:szCs w:val="21"/>
              </w:rPr>
            </w:pPr>
            <w:r>
              <w:rPr>
                <w:rFonts w:ascii="宋体" w:hAnsi="宋体" w:eastAsia="方正黑体_GBK" w:cs="Times New Roman"/>
                <w:color w:val="000000"/>
                <w:kern w:val="0"/>
                <w:sz w:val="21"/>
                <w:szCs w:val="21"/>
              </w:rPr>
              <w:t>矿山建设现状</w:t>
            </w:r>
          </w:p>
        </w:tc>
        <w:tc>
          <w:tcPr>
            <w:tcW w:w="2146" w:type="dxa"/>
            <w:noWrap/>
            <w:vAlign w:val="center"/>
          </w:tcPr>
          <w:p w14:paraId="4598898F">
            <w:pPr>
              <w:widowControl w:val="0"/>
              <w:autoSpaceDE w:val="0"/>
              <w:autoSpaceDN w:val="0"/>
              <w:adjustRightInd w:val="0"/>
              <w:spacing w:line="240" w:lineRule="auto"/>
              <w:ind w:firstLine="0" w:firstLineChars="0"/>
              <w:jc w:val="center"/>
              <w:rPr>
                <w:rFonts w:ascii="宋体" w:hAnsi="宋体" w:eastAsia="方正黑体_GBK" w:cs="Times New Roman"/>
                <w:color w:val="000000"/>
                <w:kern w:val="0"/>
                <w:sz w:val="21"/>
                <w:szCs w:val="21"/>
              </w:rPr>
            </w:pPr>
            <w:r>
              <w:rPr>
                <w:rFonts w:ascii="宋体" w:hAnsi="宋体" w:eastAsia="方正黑体_GBK" w:cs="Times New Roman"/>
                <w:kern w:val="0"/>
                <w:sz w:val="20"/>
              </w:rPr>
              <w:t>是否</w:t>
            </w:r>
            <w:r>
              <w:rPr>
                <w:rFonts w:hint="eastAsia" w:ascii="宋体" w:hAnsi="宋体" w:eastAsia="方正黑体_GBK" w:cs="Times New Roman"/>
                <w:kern w:val="0"/>
                <w:sz w:val="20"/>
              </w:rPr>
              <w:t>达到</w:t>
            </w:r>
            <w:r>
              <w:rPr>
                <w:rFonts w:ascii="宋体" w:hAnsi="宋体" w:eastAsia="方正黑体_GBK" w:cs="Times New Roman"/>
                <w:kern w:val="0"/>
                <w:sz w:val="20"/>
              </w:rPr>
              <w:t>绿色矿山建设要求</w:t>
            </w:r>
          </w:p>
        </w:tc>
      </w:tr>
      <w:tr w14:paraId="6E17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1232" w:type="dxa"/>
            <w:noWrap/>
            <w:vAlign w:val="center"/>
          </w:tcPr>
          <w:p w14:paraId="24EDB7A0">
            <w:pPr>
              <w:widowControl/>
              <w:spacing w:line="30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1</w:t>
            </w:r>
          </w:p>
        </w:tc>
        <w:tc>
          <w:tcPr>
            <w:tcW w:w="3307" w:type="dxa"/>
            <w:noWrap w:val="0"/>
            <w:vAlign w:val="center"/>
          </w:tcPr>
          <w:p w14:paraId="385100E3">
            <w:pPr>
              <w:widowControl/>
              <w:spacing w:line="30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矿区按生产区、管理区、生活区进行功能分区，符合分区要求。</w:t>
            </w:r>
          </w:p>
        </w:tc>
        <w:tc>
          <w:tcPr>
            <w:tcW w:w="1820" w:type="dxa"/>
            <w:noWrap w:val="0"/>
            <w:vAlign w:val="center"/>
          </w:tcPr>
          <w:p w14:paraId="5429452E">
            <w:pPr>
              <w:widowControl/>
              <w:spacing w:line="300" w:lineRule="exact"/>
              <w:ind w:firstLine="0" w:firstLineChars="0"/>
              <w:jc w:val="left"/>
              <w:rPr>
                <w:rFonts w:ascii="宋体" w:hAnsi="宋体" w:cs="Times New Roman"/>
                <w:color w:val="000000"/>
                <w:kern w:val="0"/>
                <w:sz w:val="21"/>
                <w:szCs w:val="21"/>
              </w:rPr>
            </w:pPr>
          </w:p>
        </w:tc>
        <w:tc>
          <w:tcPr>
            <w:tcW w:w="2146" w:type="dxa"/>
            <w:noWrap/>
            <w:vAlign w:val="center"/>
          </w:tcPr>
          <w:p w14:paraId="68A3DCBC">
            <w:pPr>
              <w:widowControl/>
              <w:spacing w:line="300" w:lineRule="exact"/>
              <w:ind w:firstLine="0" w:firstLineChars="0"/>
              <w:jc w:val="center"/>
              <w:rPr>
                <w:rFonts w:ascii="宋体" w:hAnsi="宋体" w:cs="Times New Roman"/>
                <w:color w:val="000000"/>
                <w:kern w:val="0"/>
                <w:sz w:val="21"/>
                <w:szCs w:val="21"/>
              </w:rPr>
            </w:pPr>
            <w:r>
              <w:rPr>
                <w:rFonts w:hint="eastAsia" w:ascii="宋体" w:hAnsi="宋体" w:cs="Times New Roman"/>
                <w:color w:val="000000"/>
                <w:kern w:val="0"/>
                <w:sz w:val="21"/>
                <w:szCs w:val="21"/>
              </w:rPr>
              <w:t>是（否）</w:t>
            </w:r>
          </w:p>
        </w:tc>
      </w:tr>
      <w:tr w14:paraId="43003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jc w:val="center"/>
        </w:trPr>
        <w:tc>
          <w:tcPr>
            <w:tcW w:w="1232" w:type="dxa"/>
            <w:noWrap/>
            <w:vAlign w:val="center"/>
          </w:tcPr>
          <w:p w14:paraId="27735269">
            <w:pPr>
              <w:widowControl/>
              <w:spacing w:line="30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3307" w:type="dxa"/>
            <w:noWrap w:val="0"/>
            <w:vAlign w:val="center"/>
          </w:tcPr>
          <w:p w14:paraId="14BD8B01">
            <w:pPr>
              <w:widowControl/>
              <w:spacing w:line="30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矿区地面运输、供水、供电等配套设施齐全、正常运行，食堂、澡堂、厕所等设施齐全、整洁规范，对矿区建筑、构筑物及时维护、维修或粉刷，生产区、管理区、生活区的所有场所不存在私搭乱建等临时建筑、废弃建构筑物。</w:t>
            </w:r>
          </w:p>
        </w:tc>
        <w:tc>
          <w:tcPr>
            <w:tcW w:w="1820" w:type="dxa"/>
            <w:noWrap w:val="0"/>
            <w:vAlign w:val="center"/>
          </w:tcPr>
          <w:p w14:paraId="2E01AB18">
            <w:pPr>
              <w:widowControl/>
              <w:spacing w:line="300" w:lineRule="exact"/>
              <w:ind w:firstLine="0" w:firstLineChars="0"/>
              <w:jc w:val="left"/>
              <w:rPr>
                <w:rFonts w:ascii="宋体" w:hAnsi="宋体" w:cs="Times New Roman"/>
                <w:color w:val="000000"/>
                <w:kern w:val="0"/>
                <w:sz w:val="21"/>
                <w:szCs w:val="21"/>
              </w:rPr>
            </w:pPr>
          </w:p>
        </w:tc>
        <w:tc>
          <w:tcPr>
            <w:tcW w:w="2146" w:type="dxa"/>
            <w:noWrap/>
            <w:vAlign w:val="center"/>
          </w:tcPr>
          <w:p w14:paraId="23FB7F38">
            <w:pPr>
              <w:widowControl/>
              <w:spacing w:line="300" w:lineRule="exact"/>
              <w:ind w:firstLine="0" w:firstLineChars="0"/>
              <w:jc w:val="center"/>
              <w:rPr>
                <w:rFonts w:ascii="宋体" w:hAnsi="宋体" w:cs="Times New Roman"/>
                <w:color w:val="000000"/>
                <w:kern w:val="0"/>
                <w:sz w:val="21"/>
                <w:szCs w:val="21"/>
              </w:rPr>
            </w:pPr>
          </w:p>
        </w:tc>
      </w:tr>
      <w:tr w14:paraId="590A7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232" w:type="dxa"/>
            <w:noWrap/>
            <w:vAlign w:val="center"/>
          </w:tcPr>
          <w:p w14:paraId="1E9DAE35">
            <w:pPr>
              <w:widowControl/>
              <w:spacing w:line="30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3</w:t>
            </w:r>
          </w:p>
        </w:tc>
        <w:tc>
          <w:tcPr>
            <w:tcW w:w="3307" w:type="dxa"/>
            <w:noWrap w:val="0"/>
            <w:vAlign w:val="center"/>
          </w:tcPr>
          <w:p w14:paraId="33209B08">
            <w:pPr>
              <w:widowControl/>
              <w:spacing w:line="300" w:lineRule="exact"/>
              <w:ind w:firstLine="0" w:firstLineChars="0"/>
              <w:jc w:val="left"/>
              <w:rPr>
                <w:rFonts w:ascii="宋体" w:hAnsi="宋体" w:cs="Times New Roman"/>
                <w:color w:val="000000"/>
                <w:kern w:val="0"/>
                <w:sz w:val="21"/>
                <w:szCs w:val="21"/>
              </w:rPr>
            </w:pPr>
            <w:r>
              <w:rPr>
                <w:rFonts w:hint="eastAsia" w:ascii="宋体" w:hAnsi="宋体" w:cs="Times New Roman"/>
                <w:color w:val="000000"/>
                <w:kern w:val="0"/>
                <w:sz w:val="21"/>
                <w:szCs w:val="21"/>
              </w:rPr>
              <w:t>矿区按要求设置采矿权标识牌、界桩、操作提示牌、说明牌、线路示意图牌等各类标牌，标牌的尺寸、形状、颜色设置符合规定。</w:t>
            </w:r>
          </w:p>
        </w:tc>
        <w:tc>
          <w:tcPr>
            <w:tcW w:w="1820" w:type="dxa"/>
            <w:noWrap w:val="0"/>
            <w:vAlign w:val="center"/>
          </w:tcPr>
          <w:p w14:paraId="52E45B26">
            <w:pPr>
              <w:widowControl/>
              <w:spacing w:line="300" w:lineRule="exact"/>
              <w:ind w:firstLine="0" w:firstLineChars="0"/>
              <w:jc w:val="left"/>
              <w:rPr>
                <w:rFonts w:ascii="宋体" w:hAnsi="宋体" w:cs="Times New Roman"/>
                <w:color w:val="000000"/>
                <w:kern w:val="0"/>
                <w:sz w:val="21"/>
                <w:szCs w:val="21"/>
              </w:rPr>
            </w:pPr>
          </w:p>
        </w:tc>
        <w:tc>
          <w:tcPr>
            <w:tcW w:w="2146" w:type="dxa"/>
            <w:noWrap/>
            <w:vAlign w:val="center"/>
          </w:tcPr>
          <w:p w14:paraId="26509AF7">
            <w:pPr>
              <w:widowControl/>
              <w:spacing w:line="300" w:lineRule="exact"/>
              <w:ind w:firstLine="0" w:firstLineChars="0"/>
              <w:jc w:val="center"/>
              <w:rPr>
                <w:rFonts w:ascii="宋体" w:hAnsi="宋体" w:cs="Times New Roman"/>
                <w:color w:val="000000"/>
                <w:kern w:val="0"/>
                <w:sz w:val="21"/>
                <w:szCs w:val="21"/>
              </w:rPr>
            </w:pPr>
          </w:p>
        </w:tc>
      </w:tr>
      <w:tr w14:paraId="52E48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232" w:type="dxa"/>
            <w:noWrap/>
            <w:vAlign w:val="center"/>
          </w:tcPr>
          <w:p w14:paraId="1912A04E">
            <w:pPr>
              <w:widowControl/>
              <w:spacing w:line="30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w:t>
            </w:r>
          </w:p>
        </w:tc>
        <w:tc>
          <w:tcPr>
            <w:tcW w:w="3307" w:type="dxa"/>
            <w:noWrap w:val="0"/>
            <w:vAlign w:val="center"/>
          </w:tcPr>
          <w:p w14:paraId="5DDF6B8F">
            <w:pPr>
              <w:widowControl/>
              <w:spacing w:line="30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w:t>
            </w:r>
          </w:p>
        </w:tc>
        <w:tc>
          <w:tcPr>
            <w:tcW w:w="1820" w:type="dxa"/>
            <w:noWrap w:val="0"/>
            <w:vAlign w:val="center"/>
          </w:tcPr>
          <w:p w14:paraId="0C9A85AF">
            <w:pPr>
              <w:widowControl/>
              <w:spacing w:line="300" w:lineRule="exact"/>
              <w:ind w:firstLine="0" w:firstLineChars="0"/>
              <w:jc w:val="left"/>
              <w:rPr>
                <w:rFonts w:ascii="宋体" w:hAnsi="宋体" w:cs="Times New Roman"/>
                <w:color w:val="000000"/>
                <w:kern w:val="0"/>
                <w:sz w:val="21"/>
                <w:szCs w:val="21"/>
              </w:rPr>
            </w:pPr>
          </w:p>
        </w:tc>
        <w:tc>
          <w:tcPr>
            <w:tcW w:w="2146" w:type="dxa"/>
            <w:noWrap/>
            <w:vAlign w:val="center"/>
          </w:tcPr>
          <w:p w14:paraId="18DDC850">
            <w:pPr>
              <w:widowControl/>
              <w:spacing w:line="300" w:lineRule="exact"/>
              <w:ind w:firstLine="0" w:firstLineChars="0"/>
              <w:jc w:val="center"/>
              <w:rPr>
                <w:rFonts w:ascii="宋体" w:hAnsi="宋体" w:cs="Times New Roman"/>
                <w:color w:val="000000"/>
                <w:kern w:val="0"/>
                <w:sz w:val="21"/>
                <w:szCs w:val="21"/>
              </w:rPr>
            </w:pPr>
          </w:p>
        </w:tc>
      </w:tr>
      <w:tr w14:paraId="6709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232" w:type="dxa"/>
            <w:noWrap/>
            <w:vAlign w:val="center"/>
          </w:tcPr>
          <w:p w14:paraId="17DCAAC3">
            <w:pPr>
              <w:widowControl/>
              <w:spacing w:line="30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49</w:t>
            </w:r>
          </w:p>
        </w:tc>
        <w:tc>
          <w:tcPr>
            <w:tcW w:w="3307" w:type="dxa"/>
            <w:noWrap w:val="0"/>
            <w:vAlign w:val="center"/>
          </w:tcPr>
          <w:p w14:paraId="67FF0BC5">
            <w:pPr>
              <w:widowControl/>
              <w:spacing w:line="300" w:lineRule="exact"/>
              <w:ind w:firstLine="0" w:firstLineChars="0"/>
              <w:jc w:val="left"/>
              <w:rPr>
                <w:rFonts w:ascii="宋体" w:hAnsi="宋体" w:cs="Times New Roman"/>
                <w:color w:val="000000"/>
                <w:kern w:val="0"/>
                <w:sz w:val="21"/>
                <w:szCs w:val="21"/>
              </w:rPr>
            </w:pPr>
            <w:r>
              <w:rPr>
                <w:rFonts w:ascii="宋体" w:hAnsi="宋体" w:cs="Times New Roman"/>
                <w:kern w:val="0"/>
                <w:sz w:val="21"/>
                <w:szCs w:val="21"/>
                <w:lang w:bidi="ar"/>
              </w:rPr>
              <w:t>建立职业健康管理制度。建立良好</w:t>
            </w:r>
            <w:r>
              <w:rPr>
                <w:rFonts w:ascii="宋体" w:hAnsi="宋体" w:cs="Times New Roman"/>
                <w:color w:val="000000"/>
                <w:kern w:val="0"/>
                <w:sz w:val="21"/>
                <w:szCs w:val="21"/>
                <w:lang w:bidi="ar"/>
              </w:rPr>
              <w:t>矿</w:t>
            </w:r>
            <w:r>
              <w:rPr>
                <w:rFonts w:ascii="宋体" w:hAnsi="宋体" w:cs="Times New Roman"/>
                <w:kern w:val="0"/>
                <w:sz w:val="21"/>
                <w:szCs w:val="21"/>
                <w:lang w:bidi="ar"/>
              </w:rPr>
              <w:t>地关系，制定和公开申诉回应制度，具有联系机构与人员，及时妥善处理与受采矿活动影响的社区等利益相关者间的纠纷矛盾，维护当地生产、生活相关生态环境。在劳务用工、基础设施、公益募捐、教育医疗支持等一个及以上方面开展帮扶，助力乡村振兴。</w:t>
            </w:r>
          </w:p>
        </w:tc>
        <w:tc>
          <w:tcPr>
            <w:tcW w:w="1820" w:type="dxa"/>
            <w:noWrap w:val="0"/>
            <w:vAlign w:val="center"/>
          </w:tcPr>
          <w:p w14:paraId="4F70DDD9">
            <w:pPr>
              <w:widowControl/>
              <w:spacing w:line="300" w:lineRule="exact"/>
              <w:ind w:firstLine="0" w:firstLineChars="0"/>
              <w:jc w:val="left"/>
              <w:rPr>
                <w:rFonts w:ascii="宋体" w:hAnsi="宋体" w:cs="Times New Roman"/>
                <w:color w:val="000000"/>
                <w:kern w:val="0"/>
                <w:sz w:val="21"/>
                <w:szCs w:val="21"/>
              </w:rPr>
            </w:pPr>
          </w:p>
        </w:tc>
        <w:tc>
          <w:tcPr>
            <w:tcW w:w="2146" w:type="dxa"/>
            <w:noWrap/>
            <w:vAlign w:val="center"/>
          </w:tcPr>
          <w:p w14:paraId="653A446C">
            <w:pPr>
              <w:widowControl/>
              <w:spacing w:line="300" w:lineRule="exact"/>
              <w:ind w:firstLine="0" w:firstLineChars="0"/>
              <w:jc w:val="center"/>
              <w:rPr>
                <w:rFonts w:ascii="宋体" w:hAnsi="宋体" w:cs="Times New Roman"/>
                <w:color w:val="000000"/>
                <w:kern w:val="0"/>
                <w:sz w:val="21"/>
                <w:szCs w:val="21"/>
              </w:rPr>
            </w:pPr>
          </w:p>
        </w:tc>
      </w:tr>
      <w:tr w14:paraId="5F983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232" w:type="dxa"/>
            <w:noWrap/>
            <w:vAlign w:val="center"/>
          </w:tcPr>
          <w:p w14:paraId="7BA77838">
            <w:pPr>
              <w:widowControl/>
              <w:spacing w:line="30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w:t>
            </w:r>
          </w:p>
        </w:tc>
        <w:tc>
          <w:tcPr>
            <w:tcW w:w="3307" w:type="dxa"/>
            <w:noWrap w:val="0"/>
            <w:vAlign w:val="center"/>
          </w:tcPr>
          <w:p w14:paraId="63930296">
            <w:pPr>
              <w:widowControl/>
              <w:spacing w:line="300" w:lineRule="exact"/>
              <w:ind w:firstLine="0" w:firstLineChars="0"/>
              <w:jc w:val="left"/>
              <w:rPr>
                <w:rFonts w:ascii="宋体" w:hAnsi="宋体" w:cs="Times New Roman"/>
                <w:kern w:val="0"/>
                <w:sz w:val="21"/>
                <w:szCs w:val="21"/>
                <w:lang w:bidi="ar"/>
              </w:rPr>
            </w:pPr>
            <w:r>
              <w:rPr>
                <w:rFonts w:ascii="宋体" w:hAnsi="宋体" w:cs="Times New Roman"/>
                <w:color w:val="000000"/>
                <w:kern w:val="0"/>
                <w:sz w:val="21"/>
                <w:szCs w:val="21"/>
              </w:rPr>
              <w:t>……</w:t>
            </w:r>
          </w:p>
        </w:tc>
        <w:tc>
          <w:tcPr>
            <w:tcW w:w="1820" w:type="dxa"/>
            <w:noWrap w:val="0"/>
            <w:vAlign w:val="center"/>
          </w:tcPr>
          <w:p w14:paraId="4065F237">
            <w:pPr>
              <w:widowControl/>
              <w:spacing w:line="300" w:lineRule="exact"/>
              <w:ind w:firstLine="0" w:firstLineChars="0"/>
              <w:jc w:val="left"/>
              <w:rPr>
                <w:rFonts w:ascii="宋体" w:hAnsi="宋体" w:cs="Times New Roman"/>
                <w:color w:val="000000"/>
                <w:kern w:val="0"/>
                <w:sz w:val="21"/>
                <w:szCs w:val="21"/>
              </w:rPr>
            </w:pPr>
          </w:p>
        </w:tc>
        <w:tc>
          <w:tcPr>
            <w:tcW w:w="2146" w:type="dxa"/>
            <w:noWrap/>
            <w:vAlign w:val="center"/>
          </w:tcPr>
          <w:p w14:paraId="3EDFEB15">
            <w:pPr>
              <w:widowControl/>
              <w:spacing w:line="300" w:lineRule="exact"/>
              <w:ind w:firstLine="0" w:firstLineChars="0"/>
              <w:jc w:val="center"/>
              <w:rPr>
                <w:rFonts w:ascii="宋体" w:hAnsi="宋体" w:cs="Times New Roman"/>
                <w:color w:val="000000"/>
                <w:kern w:val="0"/>
                <w:sz w:val="21"/>
                <w:szCs w:val="21"/>
              </w:rPr>
            </w:pPr>
          </w:p>
        </w:tc>
      </w:tr>
    </w:tbl>
    <w:p w14:paraId="78B60C8E">
      <w:pPr>
        <w:widowControl w:val="0"/>
        <w:tabs>
          <w:tab w:val="center" w:pos="4153"/>
          <w:tab w:val="left" w:pos="7150"/>
        </w:tabs>
        <w:spacing w:line="320" w:lineRule="exact"/>
        <w:ind w:firstLine="422"/>
        <w:rPr>
          <w:rFonts w:ascii="宋体" w:hAnsi="宋体" w:eastAsia="方正小标宋_GBK" w:cs="Times New Roman"/>
          <w:bCs/>
          <w:kern w:val="2"/>
          <w:sz w:val="32"/>
          <w:szCs w:val="32"/>
          <w:lang w:val="en-US" w:eastAsia="zh-CN" w:bidi="ar-SA"/>
        </w:rPr>
      </w:pPr>
      <w:r>
        <w:rPr>
          <w:rFonts w:hint="eastAsia" w:ascii="宋体" w:hAnsi="宋体" w:cs="Times New Roman"/>
          <w:b/>
          <w:bCs/>
          <w:color w:val="000000"/>
          <w:kern w:val="0"/>
          <w:sz w:val="21"/>
          <w:szCs w:val="21"/>
        </w:rPr>
        <w:t>填写说明：</w:t>
      </w:r>
      <w:r>
        <w:rPr>
          <w:rFonts w:hint="eastAsia" w:ascii="宋体" w:hAnsi="宋体" w:cs="Times New Roman"/>
          <w:color w:val="000000"/>
          <w:kern w:val="0"/>
          <w:sz w:val="21"/>
          <w:szCs w:val="21"/>
        </w:rPr>
        <w:t>以评价指标为标准，</w:t>
      </w:r>
      <w:r>
        <w:rPr>
          <w:rFonts w:hint="eastAsia" w:ascii="宋体" w:hAnsi="宋体" w:cs="Times New Roman"/>
          <w:b/>
          <w:bCs/>
          <w:color w:val="000000"/>
          <w:kern w:val="0"/>
          <w:sz w:val="21"/>
          <w:szCs w:val="21"/>
        </w:rPr>
        <w:t>逐条对标自评</w:t>
      </w:r>
      <w:r>
        <w:rPr>
          <w:rFonts w:hint="eastAsia" w:ascii="宋体" w:hAnsi="宋体" w:cs="Times New Roman"/>
          <w:color w:val="000000"/>
          <w:kern w:val="0"/>
          <w:sz w:val="21"/>
          <w:szCs w:val="21"/>
        </w:rPr>
        <w:t>，描述目前矿山建设现状，明确是否达到标准要求。若有不涉及项，应说明判断依据，并提供佐证材料。</w:t>
      </w:r>
    </w:p>
    <w:p w14:paraId="4D6239DD">
      <w:pPr>
        <w:keepNext w:val="0"/>
        <w:keepLines w:val="0"/>
        <w:pageBreakBefore w:val="0"/>
        <w:widowControl w:val="0"/>
        <w:kinsoku/>
        <w:wordWrap/>
        <w:overflowPunct/>
        <w:topLinePunct w:val="0"/>
        <w:autoSpaceDE/>
        <w:autoSpaceDN/>
        <w:bidi w:val="0"/>
        <w:adjustRightInd/>
        <w:snapToGrid/>
        <w:spacing w:before="240" w:after="240" w:line="640" w:lineRule="exact"/>
        <w:ind w:firstLine="0" w:firstLineChars="0"/>
        <w:jc w:val="center"/>
        <w:textAlignment w:val="auto"/>
        <w:rPr>
          <w:rFonts w:hint="eastAsia" w:ascii="宋体" w:hAnsi="宋体" w:eastAsia="方正黑体_GBK" w:cs="方正黑体_GBK"/>
          <w:bCs/>
          <w:kern w:val="2"/>
          <w:sz w:val="32"/>
          <w:szCs w:val="32"/>
          <w:lang w:val="en-US" w:eastAsia="zh-CN" w:bidi="ar-SA"/>
        </w:rPr>
      </w:pPr>
    </w:p>
    <w:p w14:paraId="32D40829">
      <w:pPr>
        <w:keepNext w:val="0"/>
        <w:keepLines w:val="0"/>
        <w:pageBreakBefore w:val="0"/>
        <w:widowControl w:val="0"/>
        <w:kinsoku/>
        <w:wordWrap/>
        <w:overflowPunct/>
        <w:topLinePunct w:val="0"/>
        <w:autoSpaceDE/>
        <w:autoSpaceDN/>
        <w:bidi w:val="0"/>
        <w:adjustRightInd/>
        <w:snapToGrid/>
        <w:spacing w:before="240" w:after="240" w:line="640" w:lineRule="exact"/>
        <w:ind w:firstLine="0" w:firstLineChars="0"/>
        <w:jc w:val="center"/>
        <w:textAlignment w:val="auto"/>
        <w:rPr>
          <w:rFonts w:hint="eastAsia" w:ascii="宋体" w:hAnsi="宋体" w:eastAsia="方正黑体_GBK" w:cs="方正黑体_GBK"/>
          <w:bCs/>
          <w:kern w:val="2"/>
          <w:sz w:val="32"/>
          <w:szCs w:val="32"/>
          <w:lang w:val="en-US" w:eastAsia="zh-CN" w:bidi="ar-SA"/>
        </w:rPr>
      </w:pPr>
    </w:p>
    <w:p w14:paraId="053F3BC1">
      <w:pPr>
        <w:keepNext w:val="0"/>
        <w:keepLines w:val="0"/>
        <w:pageBreakBefore w:val="0"/>
        <w:widowControl w:val="0"/>
        <w:kinsoku/>
        <w:wordWrap/>
        <w:overflowPunct/>
        <w:topLinePunct w:val="0"/>
        <w:autoSpaceDE/>
        <w:autoSpaceDN/>
        <w:bidi w:val="0"/>
        <w:adjustRightInd/>
        <w:snapToGrid/>
        <w:spacing w:before="240" w:after="240" w:line="640" w:lineRule="exact"/>
        <w:ind w:firstLine="0" w:firstLineChars="0"/>
        <w:jc w:val="center"/>
        <w:textAlignment w:val="auto"/>
        <w:rPr>
          <w:rFonts w:hint="eastAsia" w:ascii="宋体" w:hAnsi="宋体" w:eastAsia="方正黑体_GBK" w:cs="方正黑体_GBK"/>
          <w:bCs/>
          <w:kern w:val="2"/>
          <w:sz w:val="32"/>
          <w:szCs w:val="32"/>
          <w:lang w:val="en-US" w:eastAsia="zh-CN" w:bidi="ar-SA"/>
        </w:rPr>
      </w:pPr>
      <w:r>
        <w:rPr>
          <w:rFonts w:hint="eastAsia" w:ascii="宋体" w:hAnsi="宋体" w:eastAsia="方正黑体_GBK" w:cs="方正黑体_GBK"/>
          <w:bCs/>
          <w:kern w:val="2"/>
          <w:sz w:val="32"/>
          <w:szCs w:val="32"/>
          <w:lang w:val="en-US" w:eastAsia="zh-CN" w:bidi="ar-SA"/>
        </w:rPr>
        <w:t>第四章 绿色矿山建设主要任务</w:t>
      </w:r>
    </w:p>
    <w:p w14:paraId="479633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根据绿色矿山建设现状评估情况，针对矿山目前在绿色矿山建设中存在的问题，对照绿色矿山建设标准要求，逐项提出改进措施，列出绿色矿山建设的主要任务、完成时限（表3-1）。</w:t>
      </w:r>
    </w:p>
    <w:p w14:paraId="7CCCF2BA">
      <w:pPr>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表3-1  绿色矿山建设任务表</w:t>
      </w:r>
    </w:p>
    <w:tbl>
      <w:tblPr>
        <w:tblStyle w:val="4"/>
        <w:tblW w:w="8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488"/>
        <w:gridCol w:w="2992"/>
        <w:gridCol w:w="2002"/>
        <w:gridCol w:w="1407"/>
      </w:tblGrid>
      <w:tr w14:paraId="5EBD0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036" w:type="dxa"/>
            <w:noWrap/>
            <w:vAlign w:val="center"/>
          </w:tcPr>
          <w:p w14:paraId="5A9CC8F7">
            <w:pPr>
              <w:widowControl/>
              <w:spacing w:line="240" w:lineRule="auto"/>
              <w:ind w:firstLine="0" w:firstLineChars="0"/>
              <w:jc w:val="center"/>
              <w:rPr>
                <w:rFonts w:ascii="宋体" w:hAnsi="宋体" w:eastAsia="方正黑体_GBK" w:cs="Times New Roman"/>
                <w:color w:val="000000"/>
                <w:kern w:val="0"/>
                <w:sz w:val="21"/>
                <w:szCs w:val="21"/>
              </w:rPr>
            </w:pPr>
            <w:r>
              <w:rPr>
                <w:rFonts w:hint="eastAsia" w:ascii="宋体" w:hAnsi="宋体" w:eastAsia="方正黑体_GBK" w:cs="Times New Roman"/>
                <w:color w:val="000000"/>
                <w:kern w:val="0"/>
                <w:sz w:val="21"/>
                <w:szCs w:val="21"/>
              </w:rPr>
              <w:t>序号</w:t>
            </w:r>
          </w:p>
        </w:tc>
        <w:tc>
          <w:tcPr>
            <w:tcW w:w="1488" w:type="dxa"/>
            <w:noWrap w:val="0"/>
            <w:vAlign w:val="center"/>
          </w:tcPr>
          <w:p w14:paraId="49B60BAE">
            <w:pPr>
              <w:widowControl/>
              <w:spacing w:line="240" w:lineRule="auto"/>
              <w:ind w:firstLine="0" w:firstLineChars="0"/>
              <w:jc w:val="center"/>
              <w:rPr>
                <w:rFonts w:ascii="宋体" w:hAnsi="宋体" w:eastAsia="方正黑体_GBK" w:cs="Times New Roman"/>
                <w:color w:val="000000"/>
                <w:kern w:val="0"/>
                <w:sz w:val="21"/>
                <w:szCs w:val="21"/>
              </w:rPr>
            </w:pPr>
            <w:r>
              <w:rPr>
                <w:rFonts w:hint="eastAsia" w:ascii="宋体" w:hAnsi="宋体" w:eastAsia="方正黑体_GBK" w:cs="Times New Roman"/>
                <w:color w:val="000000"/>
                <w:kern w:val="0"/>
                <w:sz w:val="21"/>
                <w:szCs w:val="21"/>
              </w:rPr>
              <w:t>存在问题</w:t>
            </w:r>
          </w:p>
        </w:tc>
        <w:tc>
          <w:tcPr>
            <w:tcW w:w="2992" w:type="dxa"/>
            <w:noWrap/>
            <w:vAlign w:val="center"/>
          </w:tcPr>
          <w:p w14:paraId="15BDF09B">
            <w:pPr>
              <w:widowControl/>
              <w:spacing w:line="240" w:lineRule="auto"/>
              <w:ind w:firstLine="0" w:firstLineChars="0"/>
              <w:jc w:val="center"/>
              <w:rPr>
                <w:rFonts w:ascii="宋体" w:hAnsi="宋体" w:eastAsia="方正黑体_GBK" w:cs="Times New Roman"/>
                <w:color w:val="000000"/>
                <w:kern w:val="0"/>
                <w:sz w:val="21"/>
                <w:szCs w:val="21"/>
              </w:rPr>
            </w:pPr>
            <w:r>
              <w:rPr>
                <w:rFonts w:hint="eastAsia" w:ascii="宋体" w:hAnsi="宋体" w:eastAsia="方正黑体_GBK" w:cs="Times New Roman"/>
                <w:color w:val="000000"/>
                <w:kern w:val="0"/>
                <w:sz w:val="21"/>
                <w:szCs w:val="21"/>
              </w:rPr>
              <w:t>建设任务（建设工程内容）</w:t>
            </w:r>
          </w:p>
        </w:tc>
        <w:tc>
          <w:tcPr>
            <w:tcW w:w="2002" w:type="dxa"/>
            <w:noWrap/>
            <w:vAlign w:val="center"/>
          </w:tcPr>
          <w:p w14:paraId="75CA121C">
            <w:pPr>
              <w:widowControl/>
              <w:spacing w:line="240" w:lineRule="auto"/>
              <w:ind w:firstLine="0" w:firstLineChars="0"/>
              <w:jc w:val="center"/>
              <w:rPr>
                <w:rFonts w:ascii="宋体" w:hAnsi="宋体" w:eastAsia="方正黑体_GBK" w:cs="Times New Roman"/>
                <w:color w:val="000000"/>
                <w:kern w:val="0"/>
                <w:sz w:val="21"/>
                <w:szCs w:val="21"/>
              </w:rPr>
            </w:pPr>
            <w:r>
              <w:rPr>
                <w:rFonts w:hint="eastAsia" w:ascii="宋体" w:hAnsi="宋体" w:eastAsia="方正黑体_GBK" w:cs="Times New Roman"/>
                <w:color w:val="000000"/>
                <w:kern w:val="0"/>
                <w:sz w:val="21"/>
                <w:szCs w:val="21"/>
              </w:rPr>
              <w:t>预计投入资金</w:t>
            </w:r>
          </w:p>
        </w:tc>
        <w:tc>
          <w:tcPr>
            <w:tcW w:w="1407" w:type="dxa"/>
            <w:noWrap/>
            <w:vAlign w:val="center"/>
          </w:tcPr>
          <w:p w14:paraId="52456179">
            <w:pPr>
              <w:widowControl/>
              <w:spacing w:line="240" w:lineRule="auto"/>
              <w:ind w:firstLine="0" w:firstLineChars="0"/>
              <w:jc w:val="center"/>
              <w:rPr>
                <w:rFonts w:ascii="宋体" w:hAnsi="宋体" w:eastAsia="方正黑体_GBK" w:cs="Times New Roman"/>
                <w:color w:val="000000"/>
                <w:kern w:val="0"/>
                <w:sz w:val="21"/>
                <w:szCs w:val="21"/>
              </w:rPr>
            </w:pPr>
            <w:r>
              <w:rPr>
                <w:rFonts w:hint="eastAsia" w:ascii="宋体" w:hAnsi="宋体" w:eastAsia="方正黑体_GBK" w:cs="Times New Roman"/>
                <w:color w:val="000000"/>
                <w:kern w:val="0"/>
                <w:sz w:val="21"/>
                <w:szCs w:val="21"/>
              </w:rPr>
              <w:t>完成时限</w:t>
            </w:r>
          </w:p>
        </w:tc>
      </w:tr>
      <w:tr w14:paraId="0DE4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036" w:type="dxa"/>
            <w:noWrap/>
            <w:vAlign w:val="center"/>
          </w:tcPr>
          <w:p w14:paraId="7E83AED7">
            <w:pPr>
              <w:widowControl/>
              <w:spacing w:line="30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1</w:t>
            </w:r>
          </w:p>
        </w:tc>
        <w:tc>
          <w:tcPr>
            <w:tcW w:w="1488" w:type="dxa"/>
            <w:noWrap w:val="0"/>
            <w:vAlign w:val="center"/>
          </w:tcPr>
          <w:p w14:paraId="3A7F5039">
            <w:pPr>
              <w:widowControl/>
              <w:spacing w:line="300" w:lineRule="exact"/>
              <w:ind w:firstLine="0" w:firstLineChars="0"/>
              <w:jc w:val="left"/>
              <w:rPr>
                <w:rFonts w:ascii="宋体" w:hAnsi="宋体" w:cs="Times New Roman"/>
                <w:color w:val="000000"/>
                <w:kern w:val="0"/>
                <w:sz w:val="21"/>
                <w:szCs w:val="21"/>
              </w:rPr>
            </w:pPr>
            <w:r>
              <w:rPr>
                <w:rFonts w:hint="eastAsia" w:ascii="宋体" w:hAnsi="宋体" w:cs="Times New Roman"/>
                <w:color w:val="000000"/>
                <w:kern w:val="0"/>
                <w:sz w:val="21"/>
                <w:szCs w:val="21"/>
              </w:rPr>
              <w:t>如：分区不明显。</w:t>
            </w:r>
          </w:p>
        </w:tc>
        <w:tc>
          <w:tcPr>
            <w:tcW w:w="2992" w:type="dxa"/>
            <w:noWrap w:val="0"/>
            <w:vAlign w:val="center"/>
          </w:tcPr>
          <w:p w14:paraId="4871BB43">
            <w:pPr>
              <w:widowControl/>
              <w:spacing w:line="30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如：制作矿区总平面布置图或示意图</w:t>
            </w:r>
            <w:r>
              <w:rPr>
                <w:rFonts w:hint="eastAsia" w:ascii="宋体" w:hAnsi="宋体" w:cs="Times New Roman"/>
                <w:color w:val="000000"/>
                <w:kern w:val="0"/>
                <w:sz w:val="21"/>
                <w:szCs w:val="21"/>
              </w:rPr>
              <w:t>，制定功能区管理制度</w:t>
            </w:r>
            <w:r>
              <w:rPr>
                <w:rFonts w:ascii="宋体" w:hAnsi="宋体" w:cs="Times New Roman"/>
                <w:color w:val="000000"/>
                <w:kern w:val="0"/>
                <w:sz w:val="21"/>
                <w:szCs w:val="21"/>
              </w:rPr>
              <w:t>。</w:t>
            </w:r>
          </w:p>
        </w:tc>
        <w:tc>
          <w:tcPr>
            <w:tcW w:w="2002" w:type="dxa"/>
            <w:noWrap/>
            <w:vAlign w:val="center"/>
          </w:tcPr>
          <w:p w14:paraId="7EB7712E">
            <w:pPr>
              <w:widowControl/>
              <w:spacing w:line="30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××万元</w:t>
            </w:r>
          </w:p>
        </w:tc>
        <w:tc>
          <w:tcPr>
            <w:tcW w:w="1407" w:type="dxa"/>
            <w:noWrap/>
            <w:vAlign w:val="center"/>
          </w:tcPr>
          <w:p w14:paraId="3FEDBBCE">
            <w:pPr>
              <w:widowControl/>
              <w:spacing w:line="30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w:t>
            </w:r>
            <w:r>
              <w:rPr>
                <w:rFonts w:hint="eastAsia" w:ascii="宋体" w:hAnsi="宋体" w:cs="Times New Roman"/>
                <w:color w:val="000000"/>
                <w:kern w:val="0"/>
                <w:sz w:val="21"/>
                <w:szCs w:val="21"/>
              </w:rPr>
              <w:t>年</w:t>
            </w:r>
            <w:r>
              <w:rPr>
                <w:rFonts w:ascii="宋体" w:hAnsi="宋体" w:cs="Times New Roman"/>
                <w:color w:val="000000"/>
                <w:kern w:val="0"/>
                <w:sz w:val="21"/>
                <w:szCs w:val="21"/>
              </w:rPr>
              <w:t>××</w:t>
            </w:r>
            <w:r>
              <w:rPr>
                <w:rFonts w:hint="eastAsia" w:ascii="宋体" w:hAnsi="宋体" w:cs="Times New Roman"/>
                <w:color w:val="000000"/>
                <w:kern w:val="0"/>
                <w:sz w:val="21"/>
                <w:szCs w:val="21"/>
              </w:rPr>
              <w:t>月</w:t>
            </w:r>
          </w:p>
        </w:tc>
      </w:tr>
      <w:tr w14:paraId="42EE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jc w:val="center"/>
        </w:trPr>
        <w:tc>
          <w:tcPr>
            <w:tcW w:w="1036" w:type="dxa"/>
            <w:noWrap/>
            <w:vAlign w:val="center"/>
          </w:tcPr>
          <w:p w14:paraId="10C01051">
            <w:pPr>
              <w:widowControl/>
              <w:spacing w:line="30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1488" w:type="dxa"/>
            <w:noWrap w:val="0"/>
            <w:vAlign w:val="center"/>
          </w:tcPr>
          <w:p w14:paraId="16FD4B9B">
            <w:pPr>
              <w:widowControl/>
              <w:spacing w:line="300" w:lineRule="exact"/>
              <w:ind w:firstLine="0" w:firstLineChars="0"/>
              <w:jc w:val="left"/>
              <w:rPr>
                <w:rFonts w:ascii="宋体" w:hAnsi="宋体" w:cs="Times New Roman"/>
                <w:color w:val="000000"/>
                <w:kern w:val="0"/>
                <w:sz w:val="21"/>
                <w:szCs w:val="21"/>
              </w:rPr>
            </w:pPr>
          </w:p>
        </w:tc>
        <w:tc>
          <w:tcPr>
            <w:tcW w:w="2992" w:type="dxa"/>
            <w:noWrap w:val="0"/>
            <w:vAlign w:val="center"/>
          </w:tcPr>
          <w:p w14:paraId="1EFA928E">
            <w:pPr>
              <w:widowControl/>
              <w:spacing w:line="30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如：建设或购买相关设施设备，制定相关区域管理制度，加强矿区巡查排查，对老化建筑及时维护，对临时建筑及时拆除。</w:t>
            </w:r>
          </w:p>
        </w:tc>
        <w:tc>
          <w:tcPr>
            <w:tcW w:w="2002" w:type="dxa"/>
            <w:noWrap/>
            <w:vAlign w:val="center"/>
          </w:tcPr>
          <w:p w14:paraId="4BE7513F">
            <w:pPr>
              <w:widowControl/>
              <w:spacing w:line="30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××万元</w:t>
            </w:r>
          </w:p>
        </w:tc>
        <w:tc>
          <w:tcPr>
            <w:tcW w:w="1407" w:type="dxa"/>
            <w:noWrap/>
            <w:vAlign w:val="center"/>
          </w:tcPr>
          <w:p w14:paraId="15848183">
            <w:pPr>
              <w:widowControl/>
              <w:spacing w:line="30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w:t>
            </w:r>
            <w:r>
              <w:rPr>
                <w:rFonts w:hint="eastAsia" w:ascii="宋体" w:hAnsi="宋体" w:cs="Times New Roman"/>
                <w:color w:val="000000"/>
                <w:kern w:val="0"/>
                <w:sz w:val="21"/>
                <w:szCs w:val="21"/>
              </w:rPr>
              <w:t>年</w:t>
            </w:r>
            <w:r>
              <w:rPr>
                <w:rFonts w:ascii="宋体" w:hAnsi="宋体" w:cs="Times New Roman"/>
                <w:color w:val="000000"/>
                <w:kern w:val="0"/>
                <w:sz w:val="21"/>
                <w:szCs w:val="21"/>
              </w:rPr>
              <w:t>××</w:t>
            </w:r>
            <w:r>
              <w:rPr>
                <w:rFonts w:hint="eastAsia" w:ascii="宋体" w:hAnsi="宋体" w:cs="Times New Roman"/>
                <w:color w:val="000000"/>
                <w:kern w:val="0"/>
                <w:sz w:val="21"/>
                <w:szCs w:val="21"/>
              </w:rPr>
              <w:t>月</w:t>
            </w:r>
          </w:p>
        </w:tc>
      </w:tr>
      <w:tr w14:paraId="0214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36" w:type="dxa"/>
            <w:noWrap/>
            <w:vAlign w:val="center"/>
          </w:tcPr>
          <w:p w14:paraId="15EB1507">
            <w:pPr>
              <w:widowControl/>
              <w:spacing w:line="30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3</w:t>
            </w:r>
          </w:p>
        </w:tc>
        <w:tc>
          <w:tcPr>
            <w:tcW w:w="1488" w:type="dxa"/>
            <w:noWrap w:val="0"/>
            <w:vAlign w:val="center"/>
          </w:tcPr>
          <w:p w14:paraId="62CFC33B">
            <w:pPr>
              <w:widowControl/>
              <w:spacing w:line="300" w:lineRule="exact"/>
              <w:ind w:firstLine="0" w:firstLineChars="0"/>
              <w:jc w:val="left"/>
              <w:rPr>
                <w:rFonts w:ascii="宋体" w:hAnsi="宋体" w:cs="Times New Roman"/>
                <w:color w:val="000000"/>
                <w:kern w:val="0"/>
                <w:sz w:val="21"/>
                <w:szCs w:val="21"/>
              </w:rPr>
            </w:pPr>
          </w:p>
        </w:tc>
        <w:tc>
          <w:tcPr>
            <w:tcW w:w="2992" w:type="dxa"/>
            <w:noWrap/>
            <w:vAlign w:val="center"/>
          </w:tcPr>
          <w:p w14:paraId="48A1D2CB">
            <w:pPr>
              <w:widowControl/>
              <w:spacing w:line="300" w:lineRule="exact"/>
              <w:ind w:firstLine="0" w:firstLineChars="0"/>
              <w:jc w:val="left"/>
              <w:rPr>
                <w:rFonts w:ascii="宋体" w:hAnsi="宋体" w:cs="Times New Roman"/>
                <w:color w:val="000000"/>
                <w:kern w:val="0"/>
                <w:sz w:val="21"/>
                <w:szCs w:val="21"/>
              </w:rPr>
            </w:pPr>
          </w:p>
        </w:tc>
        <w:tc>
          <w:tcPr>
            <w:tcW w:w="2002" w:type="dxa"/>
            <w:noWrap/>
            <w:vAlign w:val="center"/>
          </w:tcPr>
          <w:p w14:paraId="09982305">
            <w:pPr>
              <w:widowControl/>
              <w:spacing w:line="300" w:lineRule="exact"/>
              <w:ind w:firstLine="0" w:firstLineChars="0"/>
              <w:jc w:val="center"/>
              <w:rPr>
                <w:rFonts w:ascii="宋体" w:hAnsi="宋体" w:cs="Times New Roman"/>
                <w:color w:val="000000"/>
                <w:kern w:val="0"/>
                <w:sz w:val="21"/>
                <w:szCs w:val="21"/>
              </w:rPr>
            </w:pPr>
          </w:p>
        </w:tc>
        <w:tc>
          <w:tcPr>
            <w:tcW w:w="1407" w:type="dxa"/>
            <w:noWrap/>
            <w:vAlign w:val="center"/>
          </w:tcPr>
          <w:p w14:paraId="3268761E">
            <w:pPr>
              <w:widowControl/>
              <w:spacing w:line="300" w:lineRule="exact"/>
              <w:ind w:firstLine="0" w:firstLineChars="0"/>
              <w:jc w:val="center"/>
              <w:rPr>
                <w:rFonts w:ascii="宋体" w:hAnsi="宋体" w:cs="Times New Roman"/>
                <w:color w:val="000000"/>
                <w:kern w:val="0"/>
                <w:sz w:val="21"/>
                <w:szCs w:val="21"/>
              </w:rPr>
            </w:pPr>
          </w:p>
        </w:tc>
      </w:tr>
      <w:tr w14:paraId="2B084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36" w:type="dxa"/>
            <w:noWrap/>
            <w:vAlign w:val="center"/>
          </w:tcPr>
          <w:p w14:paraId="290D0942">
            <w:pPr>
              <w:widowControl/>
              <w:spacing w:line="300" w:lineRule="exact"/>
              <w:ind w:firstLine="0" w:firstLineChars="0"/>
              <w:jc w:val="center"/>
              <w:rPr>
                <w:rFonts w:ascii="宋体" w:hAnsi="宋体" w:cs="Times New Roman"/>
                <w:color w:val="000000"/>
                <w:kern w:val="0"/>
                <w:sz w:val="21"/>
                <w:szCs w:val="21"/>
              </w:rPr>
            </w:pPr>
            <w:r>
              <w:rPr>
                <w:rFonts w:hint="eastAsia" w:ascii="宋体" w:hAnsi="宋体" w:cs="方正仿宋_GBK"/>
                <w:color w:val="000000"/>
                <w:kern w:val="0"/>
                <w:sz w:val="21"/>
                <w:szCs w:val="21"/>
              </w:rPr>
              <w:t>……</w:t>
            </w:r>
          </w:p>
        </w:tc>
        <w:tc>
          <w:tcPr>
            <w:tcW w:w="1488" w:type="dxa"/>
            <w:noWrap w:val="0"/>
            <w:vAlign w:val="center"/>
          </w:tcPr>
          <w:p w14:paraId="01670DDB">
            <w:pPr>
              <w:widowControl/>
              <w:spacing w:line="300" w:lineRule="exact"/>
              <w:ind w:firstLine="0" w:firstLineChars="0"/>
              <w:jc w:val="left"/>
              <w:rPr>
                <w:rFonts w:ascii="宋体" w:hAnsi="宋体" w:cs="Times New Roman"/>
                <w:color w:val="000000"/>
                <w:kern w:val="0"/>
                <w:sz w:val="21"/>
                <w:szCs w:val="21"/>
              </w:rPr>
            </w:pPr>
          </w:p>
        </w:tc>
        <w:tc>
          <w:tcPr>
            <w:tcW w:w="2992" w:type="dxa"/>
            <w:noWrap/>
            <w:vAlign w:val="center"/>
          </w:tcPr>
          <w:p w14:paraId="6A425AAF">
            <w:pPr>
              <w:widowControl/>
              <w:spacing w:line="300" w:lineRule="exact"/>
              <w:ind w:firstLine="0" w:firstLineChars="0"/>
              <w:jc w:val="left"/>
              <w:rPr>
                <w:rFonts w:ascii="宋体" w:hAnsi="宋体" w:cs="Times New Roman"/>
                <w:color w:val="000000"/>
                <w:kern w:val="0"/>
                <w:sz w:val="21"/>
                <w:szCs w:val="21"/>
              </w:rPr>
            </w:pPr>
          </w:p>
        </w:tc>
        <w:tc>
          <w:tcPr>
            <w:tcW w:w="2002" w:type="dxa"/>
            <w:noWrap/>
            <w:vAlign w:val="center"/>
          </w:tcPr>
          <w:p w14:paraId="3BB04DEC">
            <w:pPr>
              <w:widowControl/>
              <w:spacing w:line="300" w:lineRule="exact"/>
              <w:ind w:firstLine="0" w:firstLineChars="0"/>
              <w:jc w:val="center"/>
              <w:rPr>
                <w:rFonts w:ascii="宋体" w:hAnsi="宋体" w:cs="Times New Roman"/>
                <w:color w:val="000000"/>
                <w:kern w:val="0"/>
                <w:sz w:val="21"/>
                <w:szCs w:val="21"/>
              </w:rPr>
            </w:pPr>
          </w:p>
        </w:tc>
        <w:tc>
          <w:tcPr>
            <w:tcW w:w="1407" w:type="dxa"/>
            <w:noWrap/>
            <w:vAlign w:val="center"/>
          </w:tcPr>
          <w:p w14:paraId="14940E4E">
            <w:pPr>
              <w:widowControl/>
              <w:spacing w:line="300" w:lineRule="exact"/>
              <w:ind w:firstLine="0" w:firstLineChars="0"/>
              <w:jc w:val="center"/>
              <w:rPr>
                <w:rFonts w:ascii="宋体" w:hAnsi="宋体" w:cs="Times New Roman"/>
                <w:color w:val="000000"/>
                <w:kern w:val="0"/>
                <w:sz w:val="21"/>
                <w:szCs w:val="21"/>
              </w:rPr>
            </w:pPr>
          </w:p>
        </w:tc>
      </w:tr>
    </w:tbl>
    <w:p w14:paraId="0C9AD7AC">
      <w:pPr>
        <w:widowControl w:val="0"/>
        <w:tabs>
          <w:tab w:val="center" w:pos="4153"/>
          <w:tab w:val="left" w:pos="7150"/>
        </w:tabs>
        <w:spacing w:line="320" w:lineRule="exact"/>
        <w:ind w:firstLine="422"/>
        <w:rPr>
          <w:rFonts w:ascii="宋体" w:hAnsi="宋体" w:eastAsia="黑体" w:cs="Times New Roman"/>
          <w:szCs w:val="32"/>
        </w:rPr>
      </w:pPr>
      <w:r>
        <w:rPr>
          <w:rFonts w:ascii="宋体" w:hAnsi="宋体" w:cs="Times New Roman"/>
          <w:b/>
          <w:bCs/>
          <w:color w:val="000000"/>
          <w:kern w:val="0"/>
          <w:sz w:val="21"/>
          <w:szCs w:val="21"/>
        </w:rPr>
        <w:t>填写说明：</w:t>
      </w:r>
      <w:r>
        <w:rPr>
          <w:rFonts w:ascii="宋体" w:hAnsi="宋体" w:cs="Times New Roman"/>
          <w:color w:val="000000"/>
          <w:kern w:val="0"/>
          <w:sz w:val="21"/>
          <w:szCs w:val="21"/>
        </w:rPr>
        <w:t>存在问题以表2-1矿山建设现状评估情况为基础，针对不</w:t>
      </w:r>
      <w:r>
        <w:rPr>
          <w:rFonts w:ascii="宋体" w:hAnsi="宋体" w:cs="Times New Roman"/>
          <w:kern w:val="0"/>
          <w:sz w:val="20"/>
        </w:rPr>
        <w:t>满足绿色矿山建设要求项，逐项</w:t>
      </w:r>
      <w:r>
        <w:rPr>
          <w:rFonts w:hint="eastAsia" w:ascii="宋体" w:hAnsi="宋体" w:cs="Times New Roman"/>
          <w:kern w:val="0"/>
          <w:sz w:val="20"/>
        </w:rPr>
        <w:t>列出存在问题并</w:t>
      </w:r>
      <w:r>
        <w:rPr>
          <w:rFonts w:ascii="宋体" w:hAnsi="宋体" w:cs="Times New Roman"/>
          <w:kern w:val="0"/>
          <w:sz w:val="20"/>
        </w:rPr>
        <w:t>提出改进措施，明确建设任务</w:t>
      </w:r>
      <w:r>
        <w:rPr>
          <w:rFonts w:hint="eastAsia" w:ascii="宋体" w:hAnsi="宋体" w:cs="Times New Roman"/>
          <w:kern w:val="0"/>
          <w:sz w:val="20"/>
        </w:rPr>
        <w:t>及完成时限</w:t>
      </w:r>
      <w:r>
        <w:rPr>
          <w:rFonts w:ascii="宋体" w:hAnsi="宋体" w:cs="Times New Roman"/>
          <w:color w:val="000000"/>
          <w:kern w:val="0"/>
          <w:sz w:val="21"/>
          <w:szCs w:val="21"/>
        </w:rPr>
        <w:t>。</w:t>
      </w:r>
    </w:p>
    <w:p w14:paraId="5A732D65">
      <w:pPr>
        <w:keepNext w:val="0"/>
        <w:keepLines w:val="0"/>
        <w:pageBreakBefore w:val="0"/>
        <w:widowControl w:val="0"/>
        <w:kinsoku/>
        <w:wordWrap/>
        <w:overflowPunct/>
        <w:topLinePunct w:val="0"/>
        <w:autoSpaceDE/>
        <w:autoSpaceDN/>
        <w:bidi w:val="0"/>
        <w:adjustRightInd/>
        <w:snapToGrid/>
        <w:spacing w:before="240" w:after="240" w:line="640" w:lineRule="exact"/>
        <w:ind w:firstLine="0" w:firstLineChars="0"/>
        <w:jc w:val="center"/>
        <w:textAlignment w:val="auto"/>
        <w:rPr>
          <w:rFonts w:hint="eastAsia" w:ascii="宋体" w:hAnsi="宋体" w:eastAsia="方正黑体_GBK" w:cs="方正黑体_GBK"/>
          <w:bCs/>
          <w:kern w:val="2"/>
          <w:sz w:val="32"/>
          <w:szCs w:val="32"/>
          <w:lang w:val="en-US" w:eastAsia="zh-CN" w:bidi="ar-SA"/>
        </w:rPr>
      </w:pPr>
      <w:r>
        <w:rPr>
          <w:rFonts w:hint="eastAsia" w:ascii="宋体" w:hAnsi="宋体" w:eastAsia="方正黑体_GBK" w:cs="方正黑体_GBK"/>
          <w:bCs/>
          <w:kern w:val="2"/>
          <w:sz w:val="32"/>
          <w:szCs w:val="32"/>
          <w:lang w:val="en-US" w:eastAsia="zh-CN" w:bidi="ar-SA"/>
        </w:rPr>
        <w:t>第五章 保障措施</w:t>
      </w:r>
    </w:p>
    <w:p w14:paraId="5F6560FF">
      <w:pPr>
        <w:keepNext w:val="0"/>
        <w:keepLines w:val="0"/>
        <w:pageBreakBefore w:val="0"/>
        <w:widowControl w:val="0"/>
        <w:kinsoku/>
        <w:wordWrap/>
        <w:overflowPunct/>
        <w:topLinePunct w:val="0"/>
        <w:autoSpaceDE/>
        <w:autoSpaceDN/>
        <w:bidi w:val="0"/>
        <w:adjustRightInd/>
        <w:snapToGrid/>
        <w:spacing w:before="240" w:line="560" w:lineRule="exact"/>
        <w:ind w:firstLine="640" w:firstLineChars="200"/>
        <w:jc w:val="both"/>
        <w:textAlignment w:val="auto"/>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一、组织保障措施</w:t>
      </w:r>
    </w:p>
    <w:p w14:paraId="4FCE04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说明要成立哪些负责绿色矿山建设的组织机构，机构人员要落实具体的责任人和承担的相应职责。（明确各成员角色、职务、联系方式、职责）</w:t>
      </w:r>
    </w:p>
    <w:p w14:paraId="5ACD44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组长：×× 职务 联系方式×× 职责：××</w:t>
      </w:r>
    </w:p>
    <w:p w14:paraId="2EA388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副组长：×× 职务 联系方式×× 职责：××</w:t>
      </w:r>
    </w:p>
    <w:p w14:paraId="1C14E6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成员：×× 职务 联系方式×× 职责：××</w:t>
      </w:r>
    </w:p>
    <w:p w14:paraId="6BB7E901">
      <w:pPr>
        <w:keepNext w:val="0"/>
        <w:keepLines w:val="0"/>
        <w:pageBreakBefore w:val="0"/>
        <w:widowControl w:val="0"/>
        <w:kinsoku/>
        <w:wordWrap/>
        <w:overflowPunct/>
        <w:topLinePunct w:val="0"/>
        <w:autoSpaceDE/>
        <w:autoSpaceDN/>
        <w:bidi w:val="0"/>
        <w:adjustRightInd/>
        <w:snapToGrid/>
        <w:spacing w:before="240" w:line="560" w:lineRule="exact"/>
        <w:ind w:firstLine="640" w:firstLineChars="200"/>
        <w:jc w:val="both"/>
        <w:textAlignment w:val="auto"/>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二、资金保障措施</w:t>
      </w:r>
    </w:p>
    <w:p w14:paraId="5A37EA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说明绿色矿山资金计划投入量、使用情况，矿山要采取哪些保障措施。</w:t>
      </w:r>
    </w:p>
    <w:p w14:paraId="647EADE5">
      <w:pPr>
        <w:keepNext w:val="0"/>
        <w:keepLines w:val="0"/>
        <w:pageBreakBefore w:val="0"/>
        <w:widowControl w:val="0"/>
        <w:kinsoku/>
        <w:wordWrap/>
        <w:overflowPunct/>
        <w:topLinePunct w:val="0"/>
        <w:autoSpaceDE/>
        <w:autoSpaceDN/>
        <w:bidi w:val="0"/>
        <w:adjustRightInd/>
        <w:snapToGrid/>
        <w:spacing w:before="240" w:line="560" w:lineRule="exact"/>
        <w:ind w:firstLine="640" w:firstLineChars="200"/>
        <w:jc w:val="both"/>
        <w:textAlignment w:val="auto"/>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三、技术保障措施</w:t>
      </w:r>
    </w:p>
    <w:p w14:paraId="77DAA1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说明在绿色矿山建设过程中，从技术把关上要采取哪些保障措施。</w:t>
      </w:r>
    </w:p>
    <w:p w14:paraId="12B71868">
      <w:pPr>
        <w:keepNext w:val="0"/>
        <w:keepLines w:val="0"/>
        <w:pageBreakBefore w:val="0"/>
        <w:widowControl w:val="0"/>
        <w:kinsoku/>
        <w:wordWrap/>
        <w:overflowPunct/>
        <w:topLinePunct w:val="0"/>
        <w:autoSpaceDE/>
        <w:autoSpaceDN/>
        <w:bidi w:val="0"/>
        <w:adjustRightInd/>
        <w:snapToGrid/>
        <w:spacing w:before="240" w:line="560" w:lineRule="exact"/>
        <w:ind w:firstLine="640" w:firstLineChars="200"/>
        <w:jc w:val="both"/>
        <w:textAlignment w:val="auto"/>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四、进度保障措施</w:t>
      </w:r>
    </w:p>
    <w:p w14:paraId="1F623D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说明在绿色矿山建设过程中，如何保障矿山在规定时限内完成建设任务。</w:t>
      </w:r>
    </w:p>
    <w:p w14:paraId="00B92F57">
      <w:pPr>
        <w:keepNext w:val="0"/>
        <w:keepLines w:val="0"/>
        <w:pageBreakBefore w:val="0"/>
        <w:widowControl w:val="0"/>
        <w:kinsoku/>
        <w:wordWrap/>
        <w:overflowPunct/>
        <w:topLinePunct w:val="0"/>
        <w:autoSpaceDE/>
        <w:autoSpaceDN/>
        <w:bidi w:val="0"/>
        <w:adjustRightInd/>
        <w:snapToGrid/>
        <w:spacing w:before="240" w:line="560" w:lineRule="exact"/>
        <w:ind w:firstLine="640" w:firstLineChars="200"/>
        <w:jc w:val="both"/>
        <w:textAlignment w:val="auto"/>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五、绿色矿山巩固措施</w:t>
      </w:r>
    </w:p>
    <w:p w14:paraId="7ED220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说明在纳入绿色矿山名录库后，从矿区环境、资源开采、资源综合利用、绿色低炭、生态修复与环境治理、科技创新与规范管理等六个方面，下一步将采取的哪些措施，持续巩固绿色矿山建设成果，并进一步提升绿色矿山建设水平。</w:t>
      </w:r>
    </w:p>
    <w:p w14:paraId="3ECA42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p>
    <w:p w14:paraId="038179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附图：矿山建设现状图</w:t>
      </w:r>
    </w:p>
    <w:p w14:paraId="381F2787">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绿色矿山建设项目（工程）布置图</w:t>
      </w:r>
    </w:p>
    <w:p w14:paraId="2439AA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附件：1.采矿许可证</w:t>
      </w:r>
    </w:p>
    <w:p w14:paraId="213FC2E8">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2.安全生产许可证</w:t>
      </w:r>
    </w:p>
    <w:p w14:paraId="780DDB06">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3.营业执照</w:t>
      </w:r>
    </w:p>
    <w:p w14:paraId="793F6FD4">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宋体" w:hAnsi="宋体" w:eastAsia="方正仿宋_GBK" w:cs="方正仿宋_GBK"/>
          <w:sz w:val="32"/>
          <w:szCs w:val="32"/>
        </w:rPr>
      </w:pPr>
      <w:r>
        <w:rPr>
          <w:rFonts w:hint="eastAsia" w:ascii="宋体" w:hAnsi="宋体" w:eastAsia="方正仿宋_GBK" w:cs="方正仿宋_GBK"/>
          <w:sz w:val="32"/>
          <w:szCs w:val="32"/>
        </w:rPr>
        <w:t>4.环评和排污许可手续</w:t>
      </w:r>
    </w:p>
    <w:p w14:paraId="19329E3F">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pPr>
      <w:r>
        <w:rPr>
          <w:rFonts w:hint="eastAsia" w:ascii="宋体" w:hAnsi="宋体" w:eastAsia="方正仿宋_GBK" w:cs="方正仿宋_GBK"/>
          <w:sz w:val="32"/>
          <w:szCs w:val="32"/>
        </w:rPr>
        <w:t>5.竣工环保验收证明材料</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黑体_GBK">
    <w:altName w:val="Arial Unicode MS"/>
    <w:panose1 w:val="03000509000000000000"/>
    <w:charset w:val="86"/>
    <w:family w:val="script"/>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方正楷体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97E3B">
    <w:pPr>
      <w:widowControl w:val="0"/>
      <w:tabs>
        <w:tab w:val="center" w:pos="4153"/>
        <w:tab w:val="right" w:pos="8306"/>
      </w:tabs>
      <w:snapToGrid w:val="0"/>
      <w:spacing w:line="240" w:lineRule="atLeast"/>
      <w:ind w:firstLine="360" w:firstLineChars="200"/>
      <w:jc w:val="left"/>
      <w:rPr>
        <w:rFonts w:ascii="Times New Roman" w:hAnsi="Times New Roman" w:eastAsia="方正仿宋_GBK" w:cs="Times New Roman"/>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73BF1B">
                          <w:pPr>
                            <w:pStyle w:val="3"/>
                          </w:pPr>
                          <w:r>
                            <w:t xml:space="preserve">— </w:t>
                          </w:r>
                          <w:r>
                            <w:fldChar w:fldCharType="begin"/>
                          </w:r>
                          <w:r>
                            <w:instrText xml:space="preserve"> PAGE  \* MERGEFORMAT </w:instrText>
                          </w:r>
                          <w:r>
                            <w:fldChar w:fldCharType="separate"/>
                          </w:r>
                          <w:r>
                            <w:t>37</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3F73BF1B">
                    <w:pPr>
                      <w:pStyle w:val="3"/>
                    </w:pPr>
                    <w:r>
                      <w:t xml:space="preserve">— </w:t>
                    </w:r>
                    <w:r>
                      <w:fldChar w:fldCharType="begin"/>
                    </w:r>
                    <w:r>
                      <w:instrText xml:space="preserve"> PAGE  \* MERGEFORMAT </w:instrText>
                    </w:r>
                    <w:r>
                      <w:fldChar w:fldCharType="separate"/>
                    </w:r>
                    <w:r>
                      <w:t>37</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20F8A">
    <w:pPr>
      <w:widowControl w:val="0"/>
      <w:tabs>
        <w:tab w:val="center" w:pos="4153"/>
        <w:tab w:val="right" w:pos="8306"/>
      </w:tabs>
      <w:snapToGrid w:val="0"/>
      <w:spacing w:line="240" w:lineRule="atLeast"/>
      <w:ind w:firstLine="360" w:firstLineChars="200"/>
      <w:jc w:val="left"/>
      <w:rPr>
        <w:rFonts w:ascii="Times New Roman" w:hAnsi="Times New Roman" w:eastAsia="方正仿宋_GBK" w:cs="Times New Roman"/>
        <w:kern w:val="2"/>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F70CC">
    <w:pPr>
      <w:widowControl w:val="0"/>
      <w:tabs>
        <w:tab w:val="center" w:pos="4153"/>
        <w:tab w:val="right" w:pos="8306"/>
      </w:tabs>
      <w:snapToGrid w:val="0"/>
      <w:spacing w:line="240" w:lineRule="atLeast"/>
      <w:ind w:firstLine="360" w:firstLineChars="200"/>
      <w:jc w:val="left"/>
      <w:rPr>
        <w:rFonts w:ascii="Times New Roman" w:hAnsi="Times New Roman" w:eastAsia="方正仿宋_GBK" w:cs="Times New Roman"/>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7B1CF">
    <w:pPr>
      <w:widowControl w:val="0"/>
      <w:tabs>
        <w:tab w:val="center" w:pos="4153"/>
        <w:tab w:val="right" w:pos="8306"/>
      </w:tabs>
      <w:snapToGrid w:val="0"/>
      <w:spacing w:line="240" w:lineRule="atLeast"/>
      <w:ind w:firstLine="360" w:firstLineChars="200"/>
      <w:jc w:val="center"/>
      <w:rPr>
        <w:rFonts w:ascii="Times New Roman" w:hAnsi="Times New Roman" w:eastAsia="方正仿宋_GBK" w:cs="Times New Roman"/>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36A0D">
    <w:pPr>
      <w:widowControl w:val="0"/>
      <w:tabs>
        <w:tab w:val="center" w:pos="4153"/>
        <w:tab w:val="right" w:pos="8306"/>
      </w:tabs>
      <w:snapToGrid w:val="0"/>
      <w:spacing w:line="240" w:lineRule="atLeast"/>
      <w:ind w:firstLine="360" w:firstLineChars="200"/>
      <w:jc w:val="center"/>
      <w:rPr>
        <w:rFonts w:ascii="Times New Roman" w:hAnsi="Times New Roman" w:eastAsia="方正仿宋_GBK" w:cs="Times New Roman"/>
        <w:kern w:val="2"/>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DEF40">
    <w:pPr>
      <w:widowControl w:val="0"/>
      <w:tabs>
        <w:tab w:val="center" w:pos="4153"/>
        <w:tab w:val="right" w:pos="8306"/>
      </w:tabs>
      <w:snapToGrid w:val="0"/>
      <w:spacing w:line="240" w:lineRule="atLeast"/>
      <w:ind w:firstLine="360" w:firstLineChars="200"/>
      <w:jc w:val="center"/>
      <w:rPr>
        <w:rFonts w:ascii="Times New Roman" w:hAnsi="Times New Roman" w:eastAsia="方正仿宋_GBK" w:cs="Times New Roman"/>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841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snapToGrid w:val="0"/>
      <w:spacing w:line="300" w:lineRule="auto"/>
      <w:ind w:firstLine="556"/>
    </w:pPr>
    <w:rPr>
      <w:rFonts w:ascii="仿宋_GB2312" w:hAnsi="Times New Roman" w:eastAsia="仿宋_GB2312"/>
      <w:kern w:val="0"/>
      <w:szCs w:val="20"/>
    </w:rPr>
  </w:style>
  <w:style w:type="paragraph" w:styleId="3">
    <w:name w:val="footer"/>
    <w:basedOn w:val="1"/>
    <w:qFormat/>
    <w:uiPriority w:val="0"/>
    <w:pPr>
      <w:tabs>
        <w:tab w:val="center" w:pos="4153"/>
        <w:tab w:val="right" w:pos="8306"/>
      </w:tabs>
      <w:snapToGrid w:val="0"/>
      <w:jc w:val="left"/>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2025-04-22T03:36:54Z</dcterms:created>
  <dc:creator>Lenovo</dc:creator>
  <cp:lastModifiedBy>莫语</cp:lastModifiedBy>
  <dcterms:modified xsi:type="dcterms:W3CDTF">2025-04-22T03:37:00Z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eyJoZGlkIjoiOWYzOGRiNDNiM2UxMzI1NzY2YjQ2MDA1ODRkNTQzY2YiLCJ1c2VySWQiOiIzNDA1ODU0MDcifQ==</vt:lpwstr>
  </property>
  <property fmtid="{D5CDD505-2E9C-101B-9397-08002B2CF9AE}" pid="4" name="ICV">
    <vt:lpwstr>9DE945AFB9D24151ADDAE8583DA6592B_12</vt:lpwstr>
  </property>
</Properties>
</file>