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9C81F">
      <w:pPr>
        <w:widowControl w:val="0"/>
        <w:adjustRightInd w:val="0"/>
        <w:snapToGrid w:val="0"/>
        <w:spacing w:line="570" w:lineRule="exact"/>
        <w:ind w:firstLine="0" w:firstLineChars="0"/>
        <w:outlineLvl w:val="0"/>
        <w:rPr>
          <w:rFonts w:hint="eastAsia" w:ascii="宋体" w:hAnsi="宋体" w:eastAsia="方正黑体_GBK" w:cs="方正黑体_GBK"/>
          <w:bCs/>
          <w:color w:val="000000"/>
          <w:kern w:val="0"/>
          <w:sz w:val="32"/>
          <w:szCs w:val="32"/>
          <w:lang w:val="en-US" w:eastAsia="zh-CN" w:bidi="ar"/>
        </w:rPr>
      </w:pPr>
      <w:bookmarkStart w:id="17" w:name="_GoBack"/>
      <w:bookmarkEnd w:id="17"/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宋体" w:hAnsi="宋体" w:eastAsia="方正黑体_GBK" w:cs="方正黑体_GBK"/>
          <w:bCs/>
          <w:color w:val="000000"/>
          <w:kern w:val="0"/>
          <w:sz w:val="32"/>
          <w:szCs w:val="32"/>
          <w:lang w:val="en-US" w:eastAsia="zh-CN" w:bidi="ar"/>
        </w:rPr>
        <w:t>2</w:t>
      </w:r>
    </w:p>
    <w:p w14:paraId="28FB4580">
      <w:pPr>
        <w:widowControl w:val="0"/>
        <w:spacing w:line="580" w:lineRule="exact"/>
        <w:ind w:firstLine="640"/>
        <w:jc w:val="center"/>
        <w:rPr>
          <w:rFonts w:ascii="宋体" w:hAnsi="宋体" w:cs="Times New Roman"/>
          <w:szCs w:val="48"/>
        </w:rPr>
      </w:pPr>
    </w:p>
    <w:p w14:paraId="2F772BAC">
      <w:pPr>
        <w:widowControl w:val="0"/>
        <w:spacing w:line="580" w:lineRule="exact"/>
        <w:ind w:firstLine="640"/>
        <w:jc w:val="center"/>
        <w:rPr>
          <w:rFonts w:ascii="宋体" w:hAnsi="宋体" w:cs="Times New Roman"/>
          <w:szCs w:val="48"/>
        </w:rPr>
      </w:pPr>
    </w:p>
    <w:p w14:paraId="59D3DDE4">
      <w:pPr>
        <w:widowControl w:val="0"/>
        <w:spacing w:line="360" w:lineRule="auto"/>
        <w:ind w:firstLine="0" w:firstLineChars="0"/>
        <w:jc w:val="center"/>
        <w:rPr>
          <w:rFonts w:ascii="宋体" w:hAnsi="宋体" w:cs="Times New Roman"/>
          <w:kern w:val="0"/>
          <w:sz w:val="44"/>
          <w:szCs w:val="44"/>
        </w:rPr>
      </w:pPr>
      <w:bookmarkStart w:id="0" w:name="_Hlk79946285"/>
      <w:r>
        <w:rPr>
          <w:rFonts w:hint="eastAsia" w:ascii="宋体" w:hAnsi="宋体" w:eastAsia="宋体" w:cs="宋体"/>
          <w:kern w:val="0"/>
          <w:sz w:val="44"/>
          <w:szCs w:val="44"/>
        </w:rPr>
        <w:t>××矿山</w:t>
      </w:r>
    </w:p>
    <w:bookmarkEnd w:id="0"/>
    <w:p w14:paraId="715CC224">
      <w:pPr>
        <w:widowControl w:val="0"/>
        <w:spacing w:line="360" w:lineRule="auto"/>
        <w:ind w:firstLine="0" w:firstLineChars="0"/>
        <w:jc w:val="center"/>
        <w:rPr>
          <w:rFonts w:hint="eastAsia" w:ascii="宋体" w:hAnsi="宋体" w:eastAsia="方正小标宋_GBK" w:cs="方正小标宋_GBK"/>
          <w:bCs/>
          <w:kern w:val="0"/>
          <w:sz w:val="72"/>
          <w:szCs w:val="72"/>
        </w:rPr>
      </w:pPr>
      <w:r>
        <w:rPr>
          <w:rFonts w:hint="eastAsia" w:ascii="宋体" w:hAnsi="宋体" w:eastAsia="方正小标宋_GBK" w:cs="方正小标宋_GBK"/>
          <w:bCs/>
          <w:kern w:val="0"/>
          <w:sz w:val="44"/>
          <w:szCs w:val="44"/>
        </w:rPr>
        <w:t>绿色矿山建设计划</w:t>
      </w:r>
    </w:p>
    <w:p w14:paraId="22FB63AE">
      <w:pPr>
        <w:widowControl w:val="0"/>
        <w:spacing w:line="360" w:lineRule="auto"/>
        <w:ind w:firstLine="0" w:firstLineChars="0"/>
        <w:jc w:val="center"/>
        <w:rPr>
          <w:rFonts w:hint="eastAsia" w:ascii="宋体" w:hAnsi="宋体" w:eastAsia="方正楷体_GBK" w:cs="方正楷体_GBK"/>
          <w:bCs/>
          <w:kern w:val="0"/>
          <w:szCs w:val="32"/>
        </w:rPr>
      </w:pPr>
      <w:r>
        <w:rPr>
          <w:rFonts w:hint="eastAsia" w:ascii="宋体" w:hAnsi="宋体" w:eastAsia="方正楷体_GBK" w:cs="方正楷体_GBK"/>
          <w:bCs/>
          <w:kern w:val="0"/>
          <w:szCs w:val="32"/>
        </w:rPr>
        <w:t>（参考提纲）</w:t>
      </w:r>
    </w:p>
    <w:p w14:paraId="303A73DC">
      <w:pPr>
        <w:widowControl w:val="0"/>
        <w:spacing w:line="360" w:lineRule="auto"/>
        <w:ind w:firstLine="640"/>
        <w:rPr>
          <w:rFonts w:ascii="宋体" w:hAnsi="宋体" w:cs="Times New Roman"/>
          <w:szCs w:val="48"/>
        </w:rPr>
      </w:pPr>
    </w:p>
    <w:p w14:paraId="1D34AD32">
      <w:pPr>
        <w:widowControl w:val="0"/>
        <w:spacing w:line="360" w:lineRule="auto"/>
        <w:ind w:firstLine="640"/>
        <w:rPr>
          <w:rFonts w:ascii="宋体" w:hAnsi="宋体" w:cs="Times New Roman"/>
          <w:szCs w:val="48"/>
        </w:rPr>
      </w:pPr>
    </w:p>
    <w:p w14:paraId="2287FE66">
      <w:pPr>
        <w:widowControl w:val="0"/>
        <w:spacing w:line="570" w:lineRule="exact"/>
        <w:ind w:firstLine="640"/>
        <w:rPr>
          <w:rFonts w:ascii="宋体" w:hAnsi="宋体" w:cs="Times New Roman"/>
          <w:szCs w:val="48"/>
        </w:rPr>
      </w:pPr>
    </w:p>
    <w:p w14:paraId="7CE1FC57">
      <w:pPr>
        <w:widowControl w:val="0"/>
        <w:spacing w:line="570" w:lineRule="exact"/>
        <w:ind w:firstLine="640"/>
        <w:rPr>
          <w:rFonts w:ascii="宋体" w:hAnsi="宋体" w:cs="Times New Roman"/>
          <w:szCs w:val="48"/>
        </w:rPr>
      </w:pPr>
    </w:p>
    <w:p w14:paraId="10CDBB1B">
      <w:pPr>
        <w:widowControl w:val="0"/>
        <w:spacing w:line="570" w:lineRule="exact"/>
        <w:ind w:firstLine="640"/>
        <w:rPr>
          <w:rFonts w:ascii="宋体" w:hAnsi="宋体" w:cs="Times New Roman"/>
          <w:szCs w:val="48"/>
        </w:rPr>
      </w:pPr>
    </w:p>
    <w:p w14:paraId="0AE49C6C">
      <w:pPr>
        <w:widowControl w:val="0"/>
        <w:spacing w:line="570" w:lineRule="exact"/>
        <w:ind w:firstLine="640"/>
        <w:rPr>
          <w:rFonts w:ascii="宋体" w:hAnsi="宋体" w:cs="Times New Roman"/>
          <w:szCs w:val="48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3544"/>
        <w:gridCol w:w="2196"/>
      </w:tblGrid>
      <w:tr w14:paraId="674B3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944" w:type="dxa"/>
            <w:noWrap w:val="0"/>
            <w:vAlign w:val="center"/>
          </w:tcPr>
          <w:p w14:paraId="36654D12">
            <w:pPr>
              <w:widowControl w:val="0"/>
              <w:spacing w:before="0" w:beforeAutospacing="0" w:after="0" w:afterAutospacing="0" w:line="320" w:lineRule="exact"/>
              <w:ind w:firstLine="0" w:firstLineChars="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建设单位：</w:t>
            </w:r>
          </w:p>
        </w:tc>
        <w:tc>
          <w:tcPr>
            <w:tcW w:w="5740" w:type="dxa"/>
            <w:gridSpan w:val="2"/>
            <w:noWrap w:val="0"/>
            <w:vAlign w:val="center"/>
          </w:tcPr>
          <w:p w14:paraId="49110E3D">
            <w:pPr>
              <w:widowControl w:val="0"/>
              <w:spacing w:before="0" w:beforeAutospacing="0" w:after="0" w:afterAutospacing="0" w:line="320" w:lineRule="exact"/>
              <w:ind w:firstLine="64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××公司</w:t>
            </w:r>
          </w:p>
        </w:tc>
      </w:tr>
      <w:tr w14:paraId="284B2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944" w:type="dxa"/>
            <w:noWrap w:val="0"/>
            <w:vAlign w:val="center"/>
          </w:tcPr>
          <w:p w14:paraId="4314D69D">
            <w:pPr>
              <w:widowControl w:val="0"/>
              <w:spacing w:before="0" w:beforeAutospacing="0" w:after="0" w:afterAutospacing="0" w:line="320" w:lineRule="exact"/>
              <w:ind w:firstLine="0" w:firstLineChars="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单位法人：</w:t>
            </w:r>
          </w:p>
        </w:tc>
        <w:tc>
          <w:tcPr>
            <w:tcW w:w="3544" w:type="dxa"/>
            <w:noWrap w:val="0"/>
            <w:vAlign w:val="center"/>
          </w:tcPr>
          <w:p w14:paraId="679E353D">
            <w:pPr>
              <w:widowControl w:val="0"/>
              <w:spacing w:before="0" w:beforeAutospacing="0" w:after="0" w:afterAutospacing="0" w:line="320" w:lineRule="exact"/>
              <w:ind w:firstLine="64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×××</w:t>
            </w:r>
          </w:p>
        </w:tc>
        <w:tc>
          <w:tcPr>
            <w:tcW w:w="2196" w:type="dxa"/>
            <w:noWrap w:val="0"/>
            <w:vAlign w:val="center"/>
          </w:tcPr>
          <w:p w14:paraId="36E6283B">
            <w:pPr>
              <w:widowControl w:val="0"/>
              <w:spacing w:line="570" w:lineRule="exact"/>
              <w:ind w:firstLine="602"/>
              <w:jc w:val="center"/>
              <w:rPr>
                <w:rFonts w:hint="eastAsia" w:ascii="宋体" w:hAnsi="宋体" w:cs="方正仿宋_GBK"/>
                <w:b/>
                <w:kern w:val="0"/>
                <w:sz w:val="30"/>
                <w:szCs w:val="30"/>
              </w:rPr>
            </w:pPr>
          </w:p>
        </w:tc>
      </w:tr>
      <w:tr w14:paraId="457ED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944" w:type="dxa"/>
            <w:noWrap w:val="0"/>
            <w:vAlign w:val="center"/>
          </w:tcPr>
          <w:p w14:paraId="611CDE06">
            <w:pPr>
              <w:widowControl w:val="0"/>
              <w:spacing w:before="0" w:beforeAutospacing="0" w:after="0" w:afterAutospacing="0" w:line="320" w:lineRule="exact"/>
              <w:ind w:firstLine="0" w:firstLineChars="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报告编制：</w:t>
            </w:r>
          </w:p>
        </w:tc>
        <w:tc>
          <w:tcPr>
            <w:tcW w:w="3544" w:type="dxa"/>
            <w:noWrap w:val="0"/>
            <w:vAlign w:val="center"/>
          </w:tcPr>
          <w:p w14:paraId="53B6C9E0">
            <w:pPr>
              <w:widowControl w:val="0"/>
              <w:spacing w:before="0" w:beforeAutospacing="0" w:after="0" w:afterAutospacing="0" w:line="320" w:lineRule="exact"/>
              <w:ind w:firstLine="64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×××</w:t>
            </w:r>
          </w:p>
        </w:tc>
        <w:tc>
          <w:tcPr>
            <w:tcW w:w="2196" w:type="dxa"/>
            <w:noWrap w:val="0"/>
            <w:vAlign w:val="center"/>
          </w:tcPr>
          <w:p w14:paraId="3A7EDEED">
            <w:pPr>
              <w:widowControl w:val="0"/>
              <w:spacing w:before="0" w:beforeAutospacing="0" w:after="0" w:afterAutospacing="0" w:line="570" w:lineRule="exact"/>
              <w:ind w:firstLine="60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0EF6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944" w:type="dxa"/>
            <w:noWrap w:val="0"/>
            <w:vAlign w:val="center"/>
          </w:tcPr>
          <w:p w14:paraId="39B12C0E">
            <w:pPr>
              <w:widowControl w:val="0"/>
              <w:spacing w:before="0" w:beforeAutospacing="0" w:after="0" w:afterAutospacing="0" w:line="320" w:lineRule="exact"/>
              <w:ind w:firstLine="0" w:firstLineChars="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审    核：</w:t>
            </w:r>
          </w:p>
        </w:tc>
        <w:tc>
          <w:tcPr>
            <w:tcW w:w="3544" w:type="dxa"/>
            <w:noWrap w:val="0"/>
            <w:vAlign w:val="center"/>
          </w:tcPr>
          <w:p w14:paraId="7E61B72A">
            <w:pPr>
              <w:widowControl w:val="0"/>
              <w:spacing w:before="0" w:beforeAutospacing="0" w:after="0" w:afterAutospacing="0" w:line="320" w:lineRule="exact"/>
              <w:ind w:firstLine="640" w:firstLineChars="200"/>
              <w:jc w:val="center"/>
              <w:rPr>
                <w:rFonts w:hint="eastAsia" w:ascii="宋体" w:hAnsi="宋体" w:eastAsia="方正仿宋_GBK" w:cs="方正仿宋_GBK"/>
                <w:b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×××</w:t>
            </w:r>
          </w:p>
        </w:tc>
        <w:tc>
          <w:tcPr>
            <w:tcW w:w="2196" w:type="dxa"/>
            <w:noWrap w:val="0"/>
            <w:vAlign w:val="center"/>
          </w:tcPr>
          <w:p w14:paraId="6A7C1FBF">
            <w:pPr>
              <w:widowControl w:val="0"/>
              <w:spacing w:before="0" w:beforeAutospacing="0" w:after="0" w:afterAutospacing="0" w:line="570" w:lineRule="exact"/>
              <w:ind w:firstLine="60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371D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944" w:type="dxa"/>
            <w:noWrap w:val="0"/>
            <w:vAlign w:val="center"/>
          </w:tcPr>
          <w:p w14:paraId="52425DF7">
            <w:pPr>
              <w:widowControl w:val="0"/>
              <w:spacing w:before="0" w:beforeAutospacing="0" w:after="0" w:afterAutospacing="0" w:line="320" w:lineRule="exact"/>
              <w:ind w:firstLine="0" w:firstLineChars="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编制时间：</w:t>
            </w:r>
          </w:p>
        </w:tc>
        <w:tc>
          <w:tcPr>
            <w:tcW w:w="5740" w:type="dxa"/>
            <w:gridSpan w:val="2"/>
            <w:noWrap w:val="0"/>
            <w:vAlign w:val="center"/>
          </w:tcPr>
          <w:p w14:paraId="76056DE2">
            <w:pPr>
              <w:widowControl w:val="0"/>
              <w:spacing w:before="0" w:beforeAutospacing="0" w:after="0" w:afterAutospacing="0" w:line="320" w:lineRule="exact"/>
              <w:ind w:firstLine="600" w:firstLineChars="200"/>
              <w:jc w:val="center"/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二〇</w:t>
            </w: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二×</w:t>
            </w: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年</w:t>
            </w:r>
            <w:r>
              <w:rPr>
                <w:rFonts w:hint="eastAsia" w:ascii="宋体" w:hAnsi="宋体" w:eastAsia="方正仿宋_GBK" w:cs="方正仿宋_GBK"/>
                <w:b/>
                <w:kern w:val="0"/>
                <w:sz w:val="32"/>
                <w:szCs w:val="32"/>
                <w:lang w:val="en-US" w:eastAsia="zh-CN" w:bidi="ar-SA"/>
              </w:rPr>
              <w:t>×</w:t>
            </w:r>
            <w:r>
              <w:rPr>
                <w:rFonts w:hint="eastAsia" w:ascii="宋体" w:hAnsi="宋体" w:eastAsia="方正仿宋_GBK" w:cs="方正仿宋_GBK"/>
                <w:b/>
                <w:kern w:val="0"/>
                <w:sz w:val="30"/>
                <w:szCs w:val="30"/>
                <w:lang w:val="en-US" w:eastAsia="zh-CN" w:bidi="ar-SA"/>
              </w:rPr>
              <w:t>月</w:t>
            </w:r>
          </w:p>
        </w:tc>
      </w:tr>
    </w:tbl>
    <w:p w14:paraId="34E34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640" w:lineRule="exact"/>
        <w:ind w:firstLine="0" w:firstLineChars="0"/>
        <w:jc w:val="center"/>
        <w:textAlignment w:val="auto"/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</w:pPr>
      <w:bookmarkStart w:id="1" w:name="_Toc504121005"/>
      <w:bookmarkStart w:id="2" w:name="_Toc165283025"/>
    </w:p>
    <w:p w14:paraId="34A597AA">
      <w:pPr>
        <w:pStyle w:val="2"/>
        <w:rPr>
          <w:rFonts w:hint="eastAsia"/>
          <w:lang w:val="en-US" w:eastAsia="zh-CN"/>
        </w:rPr>
      </w:pPr>
    </w:p>
    <w:p w14:paraId="337A2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640" w:lineRule="exact"/>
        <w:ind w:firstLine="0" w:firstLineChars="0"/>
        <w:jc w:val="center"/>
        <w:textAlignment w:val="auto"/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  <w:t xml:space="preserve">第一章  </w:t>
      </w:r>
      <w:bookmarkEnd w:id="1"/>
      <w:bookmarkEnd w:id="2"/>
      <w:r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  <w:t>前  言</w:t>
      </w:r>
      <w:bookmarkStart w:id="3" w:name="_Toc504121006"/>
      <w:bookmarkStart w:id="4" w:name="_Toc165283026"/>
    </w:p>
    <w:bookmarkEnd w:id="3"/>
    <w:bookmarkEnd w:id="4"/>
    <w:p w14:paraId="7008A6FD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bookmarkStart w:id="5" w:name="_Hlk107404832"/>
      <w:r>
        <w:rPr>
          <w:rFonts w:hint="eastAsia" w:ascii="宋体" w:hAnsi="宋体" w:eastAsia="方正仿宋_GBK" w:cs="方正仿宋_GBK"/>
          <w:sz w:val="32"/>
          <w:szCs w:val="32"/>
        </w:rPr>
        <w:t>简要概述矿山企业基本情况……</w:t>
      </w:r>
    </w:p>
    <w:bookmarkEnd w:id="5"/>
    <w:p w14:paraId="685B1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640" w:lineRule="exact"/>
        <w:ind w:firstLine="0" w:firstLineChars="0"/>
        <w:jc w:val="center"/>
        <w:textAlignment w:val="auto"/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</w:pPr>
      <w:bookmarkStart w:id="6" w:name="_Toc165283035"/>
      <w:bookmarkStart w:id="7" w:name="_Toc504121015"/>
      <w:r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  <w:t>第二章  绿色矿山建设计划</w:t>
      </w:r>
      <w:bookmarkEnd w:id="6"/>
      <w:bookmarkStart w:id="8" w:name="_Toc165283036"/>
    </w:p>
    <w:p w14:paraId="36648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一、建设目标</w:t>
      </w:r>
      <w:bookmarkEnd w:id="8"/>
    </w:p>
    <w:p w14:paraId="0F16C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宋体" w:hAnsi="宋体" w:eastAsia="方正仿宋_GBK" w:cs="方正仿宋_GBK"/>
          <w:b/>
          <w:bCs/>
          <w:sz w:val="32"/>
          <w:szCs w:val="32"/>
        </w:rPr>
      </w:pP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新建矿山</w:t>
      </w:r>
      <w:r>
        <w:rPr>
          <w:rFonts w:hint="eastAsia" w:ascii="宋体" w:hAnsi="宋体" w:eastAsia="方正仿宋_GBK" w:cs="方正仿宋_GBK"/>
          <w:sz w:val="32"/>
          <w:szCs w:val="32"/>
        </w:rPr>
        <w:t>在取得采矿许可证后，严格按照绿色矿山建设标准、评价指标和安全生产、环境保护“三同时”（同时设计、同时施工、同时投产使用）要求同步建设绿色矿山，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自取得安全生产许可证之日起2年内完成绿色矿山建设任务（</w:t>
      </w:r>
      <w:r>
        <w:rPr>
          <w:rFonts w:hint="eastAsia" w:ascii="宋体" w:hAnsi="宋体" w:eastAsia="方正仿宋_GBK" w:cs="方正仿宋_GBK"/>
          <w:kern w:val="0"/>
          <w:sz w:val="32"/>
          <w:szCs w:val="32"/>
          <w:lang w:bidi="ar"/>
        </w:rPr>
        <w:t>预计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××年×月</w:t>
      </w:r>
      <w:r>
        <w:rPr>
          <w:rFonts w:hint="eastAsia" w:ascii="宋体" w:hAnsi="宋体" w:eastAsia="方正仿宋_GBK" w:cs="方正仿宋_GBK"/>
          <w:kern w:val="0"/>
          <w:sz w:val="32"/>
          <w:szCs w:val="32"/>
          <w:lang w:bidi="ar"/>
        </w:rPr>
        <w:t>前完成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）。</w:t>
      </w:r>
    </w:p>
    <w:p w14:paraId="51CF5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宋体" w:hAnsi="宋体" w:eastAsia="方正仿宋_GBK" w:cs="方正仿宋_GBK"/>
          <w:b/>
          <w:bCs/>
          <w:sz w:val="32"/>
          <w:szCs w:val="32"/>
        </w:rPr>
      </w:pP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持证在产矿山</w:t>
      </w:r>
      <w:r>
        <w:rPr>
          <w:rFonts w:hint="eastAsia" w:ascii="宋体" w:hAnsi="宋体" w:eastAsia="方正仿宋_GBK" w:cs="方正仿宋_GBK"/>
          <w:sz w:val="32"/>
          <w:szCs w:val="32"/>
        </w:rPr>
        <w:t>按照绿色矿山建设的标准要求，查漏补缺，找出企业目前在绿色矿山建设中存在的问题，提出针对性改进措施，并按照绿色矿山建设标准进行升级改造，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到××年×月前，完成绿色矿山建设任务。</w:t>
      </w:r>
    </w:p>
    <w:p w14:paraId="76BA6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建设任务包括：</w:t>
      </w:r>
    </w:p>
    <w:p w14:paraId="3A441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1.依法办矿，满足绿色矿山建设评价指标中的所有先决条件要求。</w:t>
      </w:r>
    </w:p>
    <w:p w14:paraId="00108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2.根据</w:t>
      </w:r>
      <w:bookmarkStart w:id="9" w:name="OLE_LINK16"/>
      <w:r>
        <w:rPr>
          <w:rFonts w:hint="eastAsia" w:ascii="宋体" w:hAnsi="宋体" w:eastAsia="方正仿宋_GBK" w:cs="方正仿宋_GBK"/>
          <w:sz w:val="32"/>
          <w:szCs w:val="32"/>
        </w:rPr>
        <w:t>××</w:t>
      </w:r>
      <w:bookmarkEnd w:id="9"/>
      <w:r>
        <w:rPr>
          <w:rFonts w:hint="eastAsia" w:ascii="宋体" w:hAnsi="宋体" w:eastAsia="方正仿宋_GBK" w:cs="方正仿宋_GBK"/>
          <w:sz w:val="32"/>
          <w:szCs w:val="32"/>
        </w:rPr>
        <w:t>行业绿色矿山建设规范，对照绿色矿山评价指标，完成矿区环境、资源开采、资源综合利用、绿色低碳、生态修复与环境治理、科技创新与规范管理等建设。达到绿色矿山建设评价指标中的各项建设要求，评价指标总分l20分，总得分不低于80分。其中，所有约束性指标必须得满分，若一项不得满分则不达标，共计47分；提升性指标及附加得分项按评分说明进行评分，总得分不低于33分。（经判定某项指标属于不涉及项的，按一级大类采用折合法计分）。</w:t>
      </w:r>
    </w:p>
    <w:p w14:paraId="548D6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3.通过绿色矿山评估核查。</w:t>
      </w:r>
      <w:bookmarkEnd w:id="7"/>
    </w:p>
    <w:p w14:paraId="38CF1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二、建设范围</w:t>
      </w:r>
    </w:p>
    <w:p w14:paraId="1F25C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bookmarkStart w:id="10" w:name="OLE_LINK17"/>
      <w:bookmarkStart w:id="11" w:name="OLE_LINK14"/>
      <w:r>
        <w:rPr>
          <w:rFonts w:hint="eastAsia" w:ascii="宋体" w:hAnsi="宋体" w:eastAsia="方正仿宋_GBK" w:cs="方正仿宋_GBK"/>
          <w:sz w:val="32"/>
          <w:szCs w:val="32"/>
        </w:rPr>
        <w:t>×</w:t>
      </w:r>
      <w:bookmarkEnd w:id="10"/>
      <w:r>
        <w:rPr>
          <w:rFonts w:hint="eastAsia" w:ascii="宋体" w:hAnsi="宋体" w:eastAsia="方正仿宋_GBK" w:cs="方正仿宋_GBK"/>
          <w:sz w:val="32"/>
          <w:szCs w:val="32"/>
        </w:rPr>
        <w:t>×</w:t>
      </w:r>
      <w:bookmarkEnd w:id="11"/>
      <w:r>
        <w:rPr>
          <w:rFonts w:hint="eastAsia" w:ascii="宋体" w:hAnsi="宋体" w:eastAsia="方正仿宋_GBK" w:cs="方正仿宋_GBK"/>
          <w:sz w:val="32"/>
          <w:szCs w:val="32"/>
        </w:rPr>
        <w:t>矿山绿色矿山建设范围包括整个矿区范围（采矿区）、临时排土场、弃渣场、生产加工区、矿山主要运输道路、办公生活区以及周边生态环境扰动范围（对接外部道路、周边民舍的安全、粉尘噪音影响范围等）。</w:t>
      </w:r>
    </w:p>
    <w:p w14:paraId="37559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三、工作部署</w:t>
      </w:r>
    </w:p>
    <w:p w14:paraId="27179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××矿山</w:t>
      </w:r>
      <w:r>
        <w:rPr>
          <w:rFonts w:hint="eastAsia" w:ascii="宋体" w:hAnsi="宋体" w:eastAsia="方正仿宋_GBK" w:cs="方正仿宋_GBK"/>
          <w:color w:val="000000"/>
          <w:sz w:val="32"/>
          <w:szCs w:val="32"/>
        </w:rPr>
        <w:t>自取得安全生产许可证之日起2年内</w:t>
      </w:r>
      <w:r>
        <w:rPr>
          <w:rFonts w:hint="eastAsia" w:ascii="宋体" w:hAnsi="宋体" w:eastAsia="方正仿宋_GBK" w:cs="方正仿宋_GBK"/>
          <w:sz w:val="32"/>
          <w:szCs w:val="32"/>
        </w:rPr>
        <w:t>完成绿色矿山建设任务，根据工作部署及矿山实际，绿色矿山建设年度工作进度安排见下表2-1。（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适用于新建矿山</w:t>
      </w:r>
      <w:r>
        <w:rPr>
          <w:rFonts w:hint="eastAsia" w:ascii="宋体" w:hAnsi="宋体" w:eastAsia="方正仿宋_GBK" w:cs="方正仿宋_GBK"/>
          <w:sz w:val="32"/>
          <w:szCs w:val="32"/>
        </w:rPr>
        <w:t>）</w:t>
      </w:r>
    </w:p>
    <w:p w14:paraId="181327B2">
      <w:pPr>
        <w:widowControl w:val="0"/>
        <w:tabs>
          <w:tab w:val="center" w:pos="4153"/>
          <w:tab w:val="left" w:pos="7150"/>
        </w:tabs>
        <w:spacing w:line="320" w:lineRule="exact"/>
        <w:ind w:firstLine="482"/>
        <w:jc w:val="center"/>
        <w:rPr>
          <w:rFonts w:ascii="宋体" w:hAnsi="宋体" w:cs="方正仿宋_GBK"/>
          <w:b/>
          <w:sz w:val="24"/>
        </w:rPr>
      </w:pPr>
      <w:r>
        <w:rPr>
          <w:rFonts w:hint="eastAsia" w:ascii="宋体" w:hAnsi="宋体" w:cs="方正仿宋_GBK"/>
          <w:b/>
          <w:sz w:val="24"/>
        </w:rPr>
        <w:t>表2-1  绿色矿山建设工作进度安排表（新建矿山）</w:t>
      </w:r>
    </w:p>
    <w:tbl>
      <w:tblPr>
        <w:tblStyle w:val="5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3028"/>
        <w:gridCol w:w="2475"/>
        <w:gridCol w:w="876"/>
        <w:gridCol w:w="1134"/>
        <w:gridCol w:w="850"/>
      </w:tblGrid>
      <w:tr w14:paraId="29C7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834" w:type="dxa"/>
            <w:noWrap/>
            <w:vAlign w:val="center"/>
          </w:tcPr>
          <w:p w14:paraId="6E8085E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3028" w:type="dxa"/>
            <w:noWrap w:val="0"/>
            <w:vAlign w:val="center"/>
          </w:tcPr>
          <w:p w14:paraId="39FB469C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目标任务</w:t>
            </w:r>
          </w:p>
        </w:tc>
        <w:tc>
          <w:tcPr>
            <w:tcW w:w="2475" w:type="dxa"/>
            <w:noWrap/>
            <w:vAlign w:val="center"/>
          </w:tcPr>
          <w:p w14:paraId="7523A394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工作部署</w:t>
            </w:r>
          </w:p>
        </w:tc>
        <w:tc>
          <w:tcPr>
            <w:tcW w:w="876" w:type="dxa"/>
            <w:noWrap/>
            <w:vAlign w:val="center"/>
          </w:tcPr>
          <w:p w14:paraId="6BC7E804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预计投入资金</w:t>
            </w:r>
          </w:p>
        </w:tc>
        <w:tc>
          <w:tcPr>
            <w:tcW w:w="1134" w:type="dxa"/>
            <w:noWrap/>
            <w:vAlign w:val="center"/>
          </w:tcPr>
          <w:p w14:paraId="051C63F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完成时限</w:t>
            </w:r>
          </w:p>
        </w:tc>
        <w:tc>
          <w:tcPr>
            <w:tcW w:w="850" w:type="dxa"/>
            <w:noWrap/>
            <w:vAlign w:val="center"/>
          </w:tcPr>
          <w:p w14:paraId="1B990D6C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责任人</w:t>
            </w:r>
          </w:p>
        </w:tc>
      </w:tr>
      <w:tr w14:paraId="6B89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34" w:type="dxa"/>
            <w:noWrap/>
            <w:vAlign w:val="center"/>
          </w:tcPr>
          <w:p w14:paraId="793CA4A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3028" w:type="dxa"/>
            <w:noWrap w:val="0"/>
            <w:vAlign w:val="center"/>
          </w:tcPr>
          <w:p w14:paraId="3170221F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矿区按生产区、管理区、生活区进行功能分区，符合分区要求。</w:t>
            </w:r>
          </w:p>
        </w:tc>
        <w:tc>
          <w:tcPr>
            <w:tcW w:w="2475" w:type="dxa"/>
            <w:noWrap w:val="0"/>
            <w:vAlign w:val="center"/>
          </w:tcPr>
          <w:p w14:paraId="44D9043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如：按照设计要求开展基建，制作矿区总平面布置图或示意图</w:t>
            </w: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  <w:t>，制定功能区管理制度。</w:t>
            </w:r>
          </w:p>
        </w:tc>
        <w:tc>
          <w:tcPr>
            <w:tcW w:w="876" w:type="dxa"/>
            <w:noWrap/>
            <w:vAlign w:val="center"/>
          </w:tcPr>
          <w:p w14:paraId="38E66E74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××万元</w:t>
            </w:r>
          </w:p>
        </w:tc>
        <w:tc>
          <w:tcPr>
            <w:tcW w:w="1134" w:type="dxa"/>
            <w:noWrap/>
            <w:vAlign w:val="center"/>
          </w:tcPr>
          <w:p w14:paraId="50E00B5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3个月</w:t>
            </w:r>
          </w:p>
        </w:tc>
        <w:tc>
          <w:tcPr>
            <w:tcW w:w="850" w:type="dxa"/>
            <w:noWrap/>
            <w:vAlign w:val="center"/>
          </w:tcPr>
          <w:p w14:paraId="10D7268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</w:t>
            </w:r>
          </w:p>
        </w:tc>
      </w:tr>
      <w:tr w14:paraId="0824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  <w:jc w:val="center"/>
        </w:trPr>
        <w:tc>
          <w:tcPr>
            <w:tcW w:w="834" w:type="dxa"/>
            <w:noWrap/>
            <w:vAlign w:val="center"/>
          </w:tcPr>
          <w:p w14:paraId="406D218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3028" w:type="dxa"/>
            <w:noWrap w:val="0"/>
            <w:vAlign w:val="center"/>
          </w:tcPr>
          <w:p w14:paraId="019F709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矿区地面运输、供水、供电等配套设施齐全、正常运行，食堂、澡堂、厕所等设施齐全、整洁规范，对矿区建筑、构筑物及时维护、维修或粉刷，生产区、管理区、生活区的所有场所不存在私搭乱建等临时建筑、废弃建构筑物。</w:t>
            </w:r>
          </w:p>
        </w:tc>
        <w:tc>
          <w:tcPr>
            <w:tcW w:w="2475" w:type="dxa"/>
            <w:noWrap w:val="0"/>
            <w:vAlign w:val="center"/>
          </w:tcPr>
          <w:p w14:paraId="6D3730B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如：建设或购买相关设施设备，制定相关区域管理制度，加强矿区巡查排查，对老化建筑及时维护，对临时建筑及时拆除。</w:t>
            </w:r>
          </w:p>
        </w:tc>
        <w:tc>
          <w:tcPr>
            <w:tcW w:w="876" w:type="dxa"/>
            <w:noWrap/>
            <w:vAlign w:val="center"/>
          </w:tcPr>
          <w:p w14:paraId="55E2132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××万元</w:t>
            </w:r>
          </w:p>
        </w:tc>
        <w:tc>
          <w:tcPr>
            <w:tcW w:w="1134" w:type="dxa"/>
            <w:noWrap/>
            <w:vAlign w:val="center"/>
          </w:tcPr>
          <w:p w14:paraId="0A4E42B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3个月</w:t>
            </w:r>
          </w:p>
        </w:tc>
        <w:tc>
          <w:tcPr>
            <w:tcW w:w="850" w:type="dxa"/>
            <w:noWrap/>
            <w:vAlign w:val="center"/>
          </w:tcPr>
          <w:p w14:paraId="4B5057F1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</w:t>
            </w:r>
          </w:p>
        </w:tc>
      </w:tr>
      <w:tr w14:paraId="5060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34" w:type="dxa"/>
            <w:noWrap/>
            <w:vAlign w:val="center"/>
          </w:tcPr>
          <w:p w14:paraId="4BAB274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3028" w:type="dxa"/>
            <w:noWrap w:val="0"/>
            <w:vAlign w:val="center"/>
          </w:tcPr>
          <w:p w14:paraId="25E89D5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  <w:t>矿区按要求设置采矿权标识牌、界桩、操作提示牌、说明牌、线路示意图牌等各类标牌，标牌的尺寸、形状、颜色设置符合规定。</w:t>
            </w:r>
          </w:p>
        </w:tc>
        <w:tc>
          <w:tcPr>
            <w:tcW w:w="2475" w:type="dxa"/>
            <w:noWrap/>
            <w:vAlign w:val="center"/>
          </w:tcPr>
          <w:p w14:paraId="7EC6802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14:paraId="01AAF51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 w14:paraId="2DA1D30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6B9315FB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0811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34" w:type="dxa"/>
            <w:noWrap/>
            <w:vAlign w:val="center"/>
          </w:tcPr>
          <w:p w14:paraId="14E4745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028" w:type="dxa"/>
            <w:noWrap w:val="0"/>
            <w:vAlign w:val="center"/>
          </w:tcPr>
          <w:p w14:paraId="55EDCD4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475" w:type="dxa"/>
            <w:noWrap/>
            <w:vAlign w:val="center"/>
          </w:tcPr>
          <w:p w14:paraId="3569F688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14:paraId="470AA772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 w14:paraId="20A5C885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59B73F2A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7731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34" w:type="dxa"/>
            <w:noWrap/>
            <w:vAlign w:val="center"/>
          </w:tcPr>
          <w:p w14:paraId="5EFA245C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49</w:t>
            </w:r>
          </w:p>
        </w:tc>
        <w:tc>
          <w:tcPr>
            <w:tcW w:w="3028" w:type="dxa"/>
            <w:noWrap w:val="0"/>
            <w:vAlign w:val="center"/>
          </w:tcPr>
          <w:p w14:paraId="5FA30B6D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  <w:t>建立职业健康管理制度。建立良好</w:t>
            </w: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  <w:lang w:bidi="ar"/>
              </w:rPr>
              <w:t>矿</w:t>
            </w:r>
            <w:r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  <w:t>地关系，制定和公开申诉回应制度，具有联系机构与人员，及时妥善处理与受采矿活动影响的社区等利益相关者间的纠纷矛盾，维护当地生产、生活相关生态环境。在劳务用工、基础设施、公益募捐、教育医疗支持等一个及以上方面开展帮扶，助力乡村振兴。</w:t>
            </w:r>
          </w:p>
        </w:tc>
        <w:tc>
          <w:tcPr>
            <w:tcW w:w="2475" w:type="dxa"/>
            <w:noWrap/>
            <w:vAlign w:val="center"/>
          </w:tcPr>
          <w:p w14:paraId="0FDB4A16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14:paraId="11F5AC53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 w14:paraId="03F3013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0F5ADE0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17103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34" w:type="dxa"/>
            <w:noWrap/>
            <w:vAlign w:val="center"/>
          </w:tcPr>
          <w:p w14:paraId="5831F27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028" w:type="dxa"/>
            <w:noWrap w:val="0"/>
            <w:vAlign w:val="center"/>
          </w:tcPr>
          <w:p w14:paraId="581EA3A0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475" w:type="dxa"/>
            <w:noWrap/>
            <w:vAlign w:val="center"/>
          </w:tcPr>
          <w:p w14:paraId="54C2582D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6" w:type="dxa"/>
            <w:noWrap/>
            <w:vAlign w:val="center"/>
          </w:tcPr>
          <w:p w14:paraId="1A2C1D3E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 w14:paraId="6EF4EDC9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793D9A07">
            <w:pPr>
              <w:widowControl/>
              <w:spacing w:line="240" w:lineRule="auto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5550B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197" w:type="dxa"/>
            <w:gridSpan w:val="6"/>
            <w:noWrap/>
            <w:vAlign w:val="center"/>
          </w:tcPr>
          <w:p w14:paraId="36E8A5AF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kern w:val="0"/>
                <w:szCs w:val="32"/>
                <w:lang w:bidi="ar"/>
              </w:rPr>
              <w:t>预计</w:t>
            </w:r>
            <w:r>
              <w:rPr>
                <w:rFonts w:hint="eastAsia" w:ascii="宋体" w:hAnsi="宋体" w:cs="方正仿宋_GBK"/>
                <w:b/>
                <w:bCs/>
                <w:szCs w:val="32"/>
              </w:rPr>
              <w:t>××年×月</w:t>
            </w:r>
            <w:r>
              <w:rPr>
                <w:rFonts w:ascii="宋体" w:hAnsi="宋体" w:cs="Times New Roman"/>
                <w:kern w:val="0"/>
                <w:szCs w:val="32"/>
                <w:lang w:bidi="ar"/>
              </w:rPr>
              <w:t>前</w:t>
            </w:r>
            <w:r>
              <w:rPr>
                <w:rFonts w:hint="eastAsia" w:ascii="宋体" w:hAnsi="宋体" w:cs="Times New Roman"/>
                <w:kern w:val="0"/>
                <w:szCs w:val="32"/>
                <w:lang w:bidi="ar"/>
              </w:rPr>
              <w:t>全面完成绿色矿山建设任务。</w:t>
            </w:r>
          </w:p>
        </w:tc>
      </w:tr>
    </w:tbl>
    <w:p w14:paraId="549F77D2">
      <w:pPr>
        <w:widowControl w:val="0"/>
        <w:tabs>
          <w:tab w:val="center" w:pos="4153"/>
          <w:tab w:val="left" w:pos="7150"/>
        </w:tabs>
        <w:spacing w:line="320" w:lineRule="exact"/>
        <w:ind w:firstLine="422"/>
        <w:rPr>
          <w:rFonts w:hint="eastAsia" w:ascii="宋体" w:hAnsi="宋体" w:cs="方正仿宋_GBK"/>
          <w:b/>
          <w:sz w:val="24"/>
        </w:rPr>
      </w:pPr>
      <w:r>
        <w:rPr>
          <w:rFonts w:hint="eastAsia" w:ascii="宋体" w:hAnsi="宋体" w:cs="Times New Roman"/>
          <w:b/>
          <w:bCs/>
          <w:color w:val="000000"/>
          <w:kern w:val="0"/>
          <w:sz w:val="21"/>
          <w:szCs w:val="21"/>
        </w:rPr>
        <w:t>填写说明：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以评价指标为目标任务，结合矿山实际情况，</w:t>
      </w:r>
      <w:r>
        <w:rPr>
          <w:rFonts w:hint="eastAsia" w:ascii="宋体" w:hAnsi="宋体" w:cs="Times New Roman"/>
          <w:b/>
          <w:bCs/>
          <w:color w:val="000000"/>
          <w:kern w:val="0"/>
          <w:sz w:val="21"/>
          <w:szCs w:val="21"/>
        </w:rPr>
        <w:t>逐项制定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工作部署（不涉及项不用列出），完成时限最多为2</w:t>
      </w:r>
      <w:r>
        <w:rPr>
          <w:rFonts w:ascii="宋体" w:hAnsi="宋体" w:cs="Times New Roman"/>
          <w:color w:val="000000"/>
          <w:kern w:val="0"/>
          <w:sz w:val="21"/>
          <w:szCs w:val="21"/>
        </w:rPr>
        <w:t>4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个月。</w:t>
      </w:r>
    </w:p>
    <w:p w14:paraId="531D8E4C">
      <w:pPr>
        <w:widowControl w:val="0"/>
        <w:spacing w:line="560" w:lineRule="exact"/>
        <w:ind w:firstLine="640"/>
        <w:rPr>
          <w:rFonts w:hint="eastAsia" w:ascii="宋体" w:hAnsi="宋体" w:cs="方正仿宋_GBK"/>
          <w:szCs w:val="32"/>
        </w:rPr>
      </w:pPr>
    </w:p>
    <w:p w14:paraId="2FD5658D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××矿山绿色矿山建设时间为××年××月～××年××月，结合矿山实际现状，计划在××年××月完成全部建设任务。绿色矿山建设年度工作进度安排见下表2-1。（</w:t>
      </w:r>
      <w:r>
        <w:rPr>
          <w:rFonts w:hint="eastAsia" w:ascii="宋体" w:hAnsi="宋体" w:eastAsia="方正仿宋_GBK" w:cs="方正仿宋_GBK"/>
          <w:b/>
          <w:bCs/>
          <w:sz w:val="32"/>
          <w:szCs w:val="32"/>
        </w:rPr>
        <w:t>适用于持证在产矿山</w:t>
      </w:r>
      <w:r>
        <w:rPr>
          <w:rFonts w:hint="eastAsia" w:ascii="宋体" w:hAnsi="宋体" w:eastAsia="方正仿宋_GBK" w:cs="方正仿宋_GBK"/>
          <w:sz w:val="32"/>
          <w:szCs w:val="32"/>
        </w:rPr>
        <w:t>）</w:t>
      </w:r>
    </w:p>
    <w:p w14:paraId="24E6EE9B">
      <w:pPr>
        <w:widowControl w:val="0"/>
        <w:tabs>
          <w:tab w:val="center" w:pos="4153"/>
          <w:tab w:val="left" w:pos="7150"/>
        </w:tabs>
        <w:spacing w:line="320" w:lineRule="exact"/>
        <w:ind w:firstLine="482"/>
        <w:jc w:val="center"/>
        <w:rPr>
          <w:rFonts w:ascii="宋体" w:hAnsi="宋体" w:cs="方正仿宋_GBK"/>
          <w:b/>
          <w:sz w:val="24"/>
        </w:rPr>
      </w:pPr>
      <w:r>
        <w:rPr>
          <w:rFonts w:hint="eastAsia" w:ascii="宋体" w:hAnsi="宋体" w:cs="方正仿宋_GBK"/>
          <w:b/>
          <w:sz w:val="24"/>
        </w:rPr>
        <w:t>表2-1  绿色矿山建设工作进度安排表（持证在产矿山）</w:t>
      </w:r>
    </w:p>
    <w:tbl>
      <w:tblPr>
        <w:tblStyle w:val="5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587"/>
        <w:gridCol w:w="925"/>
        <w:gridCol w:w="1861"/>
        <w:gridCol w:w="1245"/>
        <w:gridCol w:w="875"/>
        <w:gridCol w:w="920"/>
      </w:tblGrid>
      <w:tr w14:paraId="616F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01EBFE2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587" w:type="dxa"/>
            <w:noWrap w:val="0"/>
            <w:vAlign w:val="center"/>
          </w:tcPr>
          <w:p w14:paraId="3E50EB7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目标任务</w:t>
            </w:r>
          </w:p>
        </w:tc>
        <w:tc>
          <w:tcPr>
            <w:tcW w:w="925" w:type="dxa"/>
            <w:noWrap w:val="0"/>
            <w:vAlign w:val="center"/>
          </w:tcPr>
          <w:p w14:paraId="35C3DCA6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存在问题</w:t>
            </w:r>
          </w:p>
        </w:tc>
        <w:tc>
          <w:tcPr>
            <w:tcW w:w="1861" w:type="dxa"/>
            <w:noWrap/>
            <w:vAlign w:val="center"/>
          </w:tcPr>
          <w:p w14:paraId="40CAC09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改进措施</w:t>
            </w:r>
          </w:p>
        </w:tc>
        <w:tc>
          <w:tcPr>
            <w:tcW w:w="1245" w:type="dxa"/>
            <w:noWrap/>
            <w:vAlign w:val="center"/>
          </w:tcPr>
          <w:p w14:paraId="27D29CDE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预计投入资金</w:t>
            </w:r>
          </w:p>
        </w:tc>
        <w:tc>
          <w:tcPr>
            <w:tcW w:w="875" w:type="dxa"/>
            <w:noWrap/>
            <w:vAlign w:val="center"/>
          </w:tcPr>
          <w:p w14:paraId="33202E9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完成时限</w:t>
            </w:r>
          </w:p>
        </w:tc>
        <w:tc>
          <w:tcPr>
            <w:tcW w:w="920" w:type="dxa"/>
            <w:noWrap/>
            <w:vAlign w:val="center"/>
          </w:tcPr>
          <w:p w14:paraId="549635E4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黑体_GBK" w:cs="Times New Roman"/>
                <w:color w:val="000000"/>
                <w:kern w:val="0"/>
                <w:sz w:val="21"/>
                <w:szCs w:val="21"/>
              </w:rPr>
              <w:t>责任人</w:t>
            </w:r>
          </w:p>
        </w:tc>
      </w:tr>
      <w:tr w14:paraId="61A71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1B5926E4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587" w:type="dxa"/>
            <w:noWrap w:val="0"/>
            <w:vAlign w:val="center"/>
          </w:tcPr>
          <w:p w14:paraId="1A981E2C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矿区按生产区、管理区、生活区进行功能分区，符合分区要求。</w:t>
            </w:r>
          </w:p>
        </w:tc>
        <w:tc>
          <w:tcPr>
            <w:tcW w:w="925" w:type="dxa"/>
            <w:noWrap w:val="0"/>
            <w:vAlign w:val="center"/>
          </w:tcPr>
          <w:p w14:paraId="5308D952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  <w:t>如：分区不明显。</w:t>
            </w:r>
          </w:p>
        </w:tc>
        <w:tc>
          <w:tcPr>
            <w:tcW w:w="1861" w:type="dxa"/>
            <w:noWrap w:val="0"/>
            <w:vAlign w:val="center"/>
          </w:tcPr>
          <w:p w14:paraId="328902DF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如：制作矿区总平面布置图或示意图</w:t>
            </w: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  <w:t>，制定功能区管理制度</w:t>
            </w: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1245" w:type="dxa"/>
            <w:noWrap/>
            <w:vAlign w:val="center"/>
          </w:tcPr>
          <w:p w14:paraId="276D2929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××万元</w:t>
            </w:r>
          </w:p>
        </w:tc>
        <w:tc>
          <w:tcPr>
            <w:tcW w:w="875" w:type="dxa"/>
            <w:noWrap/>
            <w:vAlign w:val="center"/>
          </w:tcPr>
          <w:p w14:paraId="29E1F88B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3个月</w:t>
            </w:r>
          </w:p>
        </w:tc>
        <w:tc>
          <w:tcPr>
            <w:tcW w:w="920" w:type="dxa"/>
            <w:noWrap/>
            <w:vAlign w:val="center"/>
          </w:tcPr>
          <w:p w14:paraId="54C49F26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</w:t>
            </w:r>
          </w:p>
        </w:tc>
      </w:tr>
      <w:tr w14:paraId="0C37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06252A03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587" w:type="dxa"/>
            <w:noWrap w:val="0"/>
            <w:vAlign w:val="center"/>
          </w:tcPr>
          <w:p w14:paraId="3378AA09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矿区地面运输、供水、供电等配套设施齐全、正常运行，食堂、澡堂、厕所等设施齐全、整洁规范，对矿区建筑、构筑物及时维护、维修或粉刷，生产区、管理区、生活区的所有场所不存在私搭乱建等临时建筑、废弃建构筑物。</w:t>
            </w:r>
          </w:p>
        </w:tc>
        <w:tc>
          <w:tcPr>
            <w:tcW w:w="925" w:type="dxa"/>
            <w:noWrap w:val="0"/>
            <w:vAlign w:val="center"/>
          </w:tcPr>
          <w:p w14:paraId="5C65E519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1EB9434C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如：建设或购买相关设施设备，制定相关区域管理制度，加强矿区巡查排查，对老化建筑及时维护，对临时建筑及时拆除。</w:t>
            </w:r>
          </w:p>
        </w:tc>
        <w:tc>
          <w:tcPr>
            <w:tcW w:w="1245" w:type="dxa"/>
            <w:noWrap/>
            <w:vAlign w:val="center"/>
          </w:tcPr>
          <w:p w14:paraId="7E6D3B78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××万元</w:t>
            </w:r>
          </w:p>
        </w:tc>
        <w:tc>
          <w:tcPr>
            <w:tcW w:w="875" w:type="dxa"/>
            <w:noWrap/>
            <w:vAlign w:val="center"/>
          </w:tcPr>
          <w:p w14:paraId="2CE41358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3个月</w:t>
            </w:r>
          </w:p>
        </w:tc>
        <w:tc>
          <w:tcPr>
            <w:tcW w:w="920" w:type="dxa"/>
            <w:noWrap/>
            <w:vAlign w:val="center"/>
          </w:tcPr>
          <w:p w14:paraId="236829C5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××</w:t>
            </w:r>
          </w:p>
        </w:tc>
      </w:tr>
      <w:tr w14:paraId="5591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5CC198E7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587" w:type="dxa"/>
            <w:noWrap w:val="0"/>
            <w:vAlign w:val="center"/>
          </w:tcPr>
          <w:p w14:paraId="3B4E4283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  <w:t>矿区按要求设置采矿权标识牌、界桩、操作提示牌、说明牌、线路示意图牌等各类标牌，标牌的尺寸、形状、颜色设置符合规定。</w:t>
            </w:r>
          </w:p>
        </w:tc>
        <w:tc>
          <w:tcPr>
            <w:tcW w:w="925" w:type="dxa"/>
            <w:noWrap w:val="0"/>
            <w:vAlign w:val="center"/>
          </w:tcPr>
          <w:p w14:paraId="0FA17D80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61" w:type="dxa"/>
            <w:noWrap/>
            <w:vAlign w:val="center"/>
          </w:tcPr>
          <w:p w14:paraId="66DA9CB6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center"/>
          </w:tcPr>
          <w:p w14:paraId="2207B89B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5" w:type="dxa"/>
            <w:noWrap/>
            <w:vAlign w:val="center"/>
          </w:tcPr>
          <w:p w14:paraId="2264DD4C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noWrap/>
            <w:vAlign w:val="center"/>
          </w:tcPr>
          <w:p w14:paraId="238A203D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5474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78E829A1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87" w:type="dxa"/>
            <w:noWrap w:val="0"/>
            <w:vAlign w:val="center"/>
          </w:tcPr>
          <w:p w14:paraId="68F4A935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25" w:type="dxa"/>
            <w:noWrap w:val="0"/>
            <w:vAlign w:val="center"/>
          </w:tcPr>
          <w:p w14:paraId="43D766C5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61" w:type="dxa"/>
            <w:noWrap/>
            <w:vAlign w:val="center"/>
          </w:tcPr>
          <w:p w14:paraId="5B0C1085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center"/>
          </w:tcPr>
          <w:p w14:paraId="5EE1FEE4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5" w:type="dxa"/>
            <w:noWrap/>
            <w:vAlign w:val="center"/>
          </w:tcPr>
          <w:p w14:paraId="71A08303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noWrap/>
            <w:vAlign w:val="center"/>
          </w:tcPr>
          <w:p w14:paraId="3B33DC9F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1A6E1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4386725E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49</w:t>
            </w:r>
          </w:p>
        </w:tc>
        <w:tc>
          <w:tcPr>
            <w:tcW w:w="2587" w:type="dxa"/>
            <w:noWrap w:val="0"/>
            <w:vAlign w:val="center"/>
          </w:tcPr>
          <w:p w14:paraId="4576A39E">
            <w:pPr>
              <w:widowControl/>
              <w:spacing w:line="300" w:lineRule="exact"/>
              <w:ind w:firstLine="0" w:firstLineChars="0"/>
              <w:jc w:val="left"/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  <w:t>建立职业健康管理制度。建立良好</w:t>
            </w:r>
            <w:r>
              <w:rPr>
                <w:rFonts w:ascii="宋体" w:hAnsi="宋体" w:cs="Times New Roman"/>
                <w:color w:val="000000"/>
                <w:kern w:val="0"/>
                <w:sz w:val="21"/>
                <w:szCs w:val="21"/>
                <w:lang w:bidi="ar"/>
              </w:rPr>
              <w:t>矿</w:t>
            </w:r>
            <w:r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  <w:t>地关系，制定和公开申诉回应制度，具有联系机构与人员，及时妥善处理与受采矿活动影响的社区等利益相关者间的纠纷矛盾，维护当地生产、生活相关生态环境。在劳务用工、基础设施、公益募捐、教育医疗支持等一个及以上方面开展帮扶，助力乡村振兴。</w:t>
            </w:r>
          </w:p>
        </w:tc>
        <w:tc>
          <w:tcPr>
            <w:tcW w:w="925" w:type="dxa"/>
            <w:noWrap w:val="0"/>
            <w:vAlign w:val="center"/>
          </w:tcPr>
          <w:p w14:paraId="17319B85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61" w:type="dxa"/>
            <w:noWrap/>
            <w:vAlign w:val="center"/>
          </w:tcPr>
          <w:p w14:paraId="416A1E28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center"/>
          </w:tcPr>
          <w:p w14:paraId="03DC5BB6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5" w:type="dxa"/>
            <w:noWrap/>
            <w:vAlign w:val="center"/>
          </w:tcPr>
          <w:p w14:paraId="10327A00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noWrap/>
            <w:vAlign w:val="center"/>
          </w:tcPr>
          <w:p w14:paraId="45AB782E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</w:tr>
      <w:tr w14:paraId="22DC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4" w:type="dxa"/>
            <w:noWrap/>
            <w:vAlign w:val="center"/>
          </w:tcPr>
          <w:p w14:paraId="67E5AA15">
            <w:pPr>
              <w:widowControl/>
              <w:spacing w:line="300" w:lineRule="exact"/>
              <w:ind w:firstLine="0" w:firstLineChars="0"/>
              <w:jc w:val="center"/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87" w:type="dxa"/>
            <w:noWrap w:val="0"/>
            <w:vAlign w:val="center"/>
          </w:tcPr>
          <w:p w14:paraId="1C1122A1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925" w:type="dxa"/>
            <w:noWrap w:val="0"/>
            <w:vAlign w:val="center"/>
          </w:tcPr>
          <w:p w14:paraId="5C37546C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61" w:type="dxa"/>
            <w:noWrap/>
            <w:vAlign w:val="center"/>
          </w:tcPr>
          <w:p w14:paraId="042D4AF2">
            <w:pPr>
              <w:widowControl/>
              <w:spacing w:line="300" w:lineRule="exact"/>
              <w:ind w:firstLine="0" w:firstLineChars="0"/>
              <w:jc w:val="left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5" w:type="dxa"/>
            <w:noWrap/>
            <w:vAlign w:val="center"/>
          </w:tcPr>
          <w:p w14:paraId="23C304FE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75" w:type="dxa"/>
            <w:noWrap/>
            <w:vAlign w:val="center"/>
          </w:tcPr>
          <w:p w14:paraId="067085FF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noWrap/>
            <w:vAlign w:val="center"/>
          </w:tcPr>
          <w:p w14:paraId="60D4A297">
            <w:pPr>
              <w:widowControl/>
              <w:spacing w:line="300" w:lineRule="exact"/>
              <w:ind w:firstLine="0" w:firstLineChars="0"/>
              <w:jc w:val="center"/>
              <w:rPr>
                <w:rFonts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方正仿宋_GBK"/>
                <w:color w:val="000000"/>
                <w:kern w:val="0"/>
                <w:sz w:val="21"/>
                <w:szCs w:val="21"/>
              </w:rPr>
              <w:t>……</w:t>
            </w:r>
          </w:p>
        </w:tc>
      </w:tr>
      <w:tr w14:paraId="1F32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57" w:type="dxa"/>
            <w:gridSpan w:val="7"/>
            <w:noWrap w:val="0"/>
            <w:vAlign w:val="center"/>
          </w:tcPr>
          <w:p w14:paraId="77BE39EF">
            <w:pPr>
              <w:widowControl/>
              <w:spacing w:line="300" w:lineRule="exact"/>
              <w:ind w:firstLine="0" w:firstLineChars="0"/>
              <w:rPr>
                <w:rFonts w:hint="eastAsia" w:ascii="宋体" w:hAnsi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Times New Roman"/>
                <w:kern w:val="0"/>
                <w:szCs w:val="32"/>
                <w:lang w:bidi="ar"/>
              </w:rPr>
              <w:t>预计</w:t>
            </w:r>
            <w:r>
              <w:rPr>
                <w:rFonts w:hint="eastAsia" w:ascii="宋体" w:hAnsi="宋体" w:cs="方正仿宋_GBK"/>
                <w:b/>
                <w:bCs/>
                <w:szCs w:val="32"/>
              </w:rPr>
              <w:t>××年×月</w:t>
            </w:r>
            <w:r>
              <w:rPr>
                <w:rFonts w:ascii="宋体" w:hAnsi="宋体" w:cs="Times New Roman"/>
                <w:kern w:val="0"/>
                <w:szCs w:val="32"/>
                <w:lang w:bidi="ar"/>
              </w:rPr>
              <w:t>前</w:t>
            </w:r>
            <w:r>
              <w:rPr>
                <w:rFonts w:hint="eastAsia" w:ascii="宋体" w:hAnsi="宋体" w:cs="Times New Roman"/>
                <w:kern w:val="0"/>
                <w:szCs w:val="32"/>
                <w:lang w:bidi="ar"/>
              </w:rPr>
              <w:t>全面完成绿色矿山建设任务。</w:t>
            </w:r>
          </w:p>
        </w:tc>
      </w:tr>
    </w:tbl>
    <w:p w14:paraId="1EDE14BF">
      <w:pPr>
        <w:widowControl w:val="0"/>
        <w:tabs>
          <w:tab w:val="center" w:pos="4153"/>
          <w:tab w:val="left" w:pos="7150"/>
        </w:tabs>
        <w:spacing w:line="320" w:lineRule="exact"/>
        <w:ind w:firstLine="422"/>
        <w:rPr>
          <w:rFonts w:hint="eastAsia" w:ascii="宋体" w:hAnsi="宋体" w:cs="Times New Roman"/>
          <w:color w:val="000000"/>
          <w:kern w:val="0"/>
          <w:sz w:val="21"/>
          <w:szCs w:val="21"/>
        </w:rPr>
      </w:pPr>
      <w:r>
        <w:rPr>
          <w:rFonts w:hint="eastAsia" w:ascii="宋体" w:hAnsi="宋体" w:cs="Times New Roman"/>
          <w:b/>
          <w:bCs/>
          <w:color w:val="000000"/>
          <w:kern w:val="0"/>
          <w:sz w:val="21"/>
          <w:szCs w:val="21"/>
        </w:rPr>
        <w:t>填写说明：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以评价指标为目标任务，结合矿山实际情况，</w:t>
      </w:r>
      <w:r>
        <w:rPr>
          <w:rFonts w:hint="eastAsia" w:ascii="宋体" w:hAnsi="宋体" w:cs="Times New Roman"/>
          <w:b/>
          <w:bCs/>
          <w:color w:val="000000"/>
          <w:kern w:val="0"/>
          <w:sz w:val="21"/>
          <w:szCs w:val="21"/>
        </w:rPr>
        <w:t>逐项对标自评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，查找存在问题并有针对性制定改进措施（不涉及项不用列出），完成时限最多为2</w:t>
      </w:r>
      <w:r>
        <w:rPr>
          <w:rFonts w:ascii="宋体" w:hAnsi="宋体" w:cs="Times New Roman"/>
          <w:color w:val="000000"/>
          <w:kern w:val="0"/>
          <w:sz w:val="21"/>
          <w:szCs w:val="21"/>
        </w:rPr>
        <w:t>4</w:t>
      </w:r>
      <w:r>
        <w:rPr>
          <w:rFonts w:hint="eastAsia" w:ascii="宋体" w:hAnsi="宋体" w:cs="Times New Roman"/>
          <w:color w:val="000000"/>
          <w:kern w:val="0"/>
          <w:sz w:val="21"/>
          <w:szCs w:val="21"/>
        </w:rPr>
        <w:t>个月。</w:t>
      </w:r>
    </w:p>
    <w:p w14:paraId="5DCE6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640" w:lineRule="exact"/>
        <w:ind w:firstLine="0" w:firstLineChars="0"/>
        <w:jc w:val="center"/>
        <w:textAlignment w:val="auto"/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</w:pPr>
      <w:bookmarkStart w:id="12" w:name="_Toc165283047"/>
      <w:r>
        <w:rPr>
          <w:rFonts w:hint="eastAsia" w:ascii="宋体" w:hAnsi="宋体" w:eastAsia="方正黑体_GBK" w:cs="方正黑体_GBK"/>
          <w:bCs/>
          <w:kern w:val="2"/>
          <w:sz w:val="32"/>
          <w:szCs w:val="32"/>
          <w:lang w:val="en-US" w:eastAsia="zh-CN" w:bidi="ar-SA"/>
        </w:rPr>
        <w:t>第三章  保障措施</w:t>
      </w:r>
      <w:bookmarkEnd w:id="12"/>
    </w:p>
    <w:p w14:paraId="2F24F9DA">
      <w:pPr>
        <w:widowControl w:val="0"/>
        <w:spacing w:before="240" w:line="570" w:lineRule="exact"/>
        <w:ind w:firstLine="640" w:firstLineChars="200"/>
        <w:jc w:val="both"/>
        <w:outlineLvl w:val="0"/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bookmarkStart w:id="13" w:name="_Toc165283048"/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一、组织保障措施</w:t>
      </w:r>
      <w:bookmarkEnd w:id="13"/>
    </w:p>
    <w:p w14:paraId="16D2DF4C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说明要成立哪些负责绿色矿山建设的组织机构，机构人员要落实具体的责任人和承担的相应职责。（明确各成员角色、职务、联系方式、职责）</w:t>
      </w:r>
    </w:p>
    <w:p w14:paraId="1DE97AC7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组长：×× 职务 联系方式×× 职责：××</w:t>
      </w:r>
    </w:p>
    <w:p w14:paraId="7F119ABC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副组长：×× 职务 联系方式×× 职责：××</w:t>
      </w:r>
    </w:p>
    <w:p w14:paraId="332952AB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成员：×× 职务 联系方式×× 职责：××</w:t>
      </w:r>
    </w:p>
    <w:p w14:paraId="228CBCC1">
      <w:pPr>
        <w:widowControl w:val="0"/>
        <w:spacing w:before="240" w:line="570" w:lineRule="exact"/>
        <w:ind w:firstLine="640" w:firstLineChars="200"/>
        <w:jc w:val="both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bookmarkStart w:id="14" w:name="_Toc165283049"/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二、制度保障措施</w:t>
      </w:r>
      <w:bookmarkEnd w:id="14"/>
    </w:p>
    <w:p w14:paraId="126EFA0F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根据矿山现有的管理制度，对照绿色矿山建设标准，提出还需要补充完善哪些方面的管理制度。</w:t>
      </w:r>
    </w:p>
    <w:p w14:paraId="1511CE94">
      <w:pPr>
        <w:widowControl w:val="0"/>
        <w:spacing w:before="240" w:line="570" w:lineRule="exact"/>
        <w:ind w:firstLine="640" w:firstLineChars="200"/>
        <w:jc w:val="both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bookmarkStart w:id="15" w:name="_Toc165283050"/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三、资金保障措施</w:t>
      </w:r>
      <w:bookmarkEnd w:id="15"/>
    </w:p>
    <w:p w14:paraId="1BA1A2A4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说明绿色矿山资金计划投入量、使用情况，矿山要采取哪些保障措施。</w:t>
      </w:r>
    </w:p>
    <w:p w14:paraId="4B28EB21">
      <w:pPr>
        <w:widowControl w:val="0"/>
        <w:spacing w:before="240" w:line="570" w:lineRule="exact"/>
        <w:ind w:firstLine="640" w:firstLineChars="200"/>
        <w:jc w:val="both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bookmarkStart w:id="16" w:name="_Toc165283051"/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四、技术保障措施</w:t>
      </w:r>
      <w:bookmarkEnd w:id="16"/>
    </w:p>
    <w:p w14:paraId="7020F423">
      <w:pPr>
        <w:widowControl w:val="0"/>
        <w:spacing w:line="56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说明在绿色矿山建设过程中，从技术把关上要采取哪些保障措施。</w:t>
      </w:r>
    </w:p>
    <w:p w14:paraId="4DAAF108">
      <w:pPr>
        <w:widowControl w:val="0"/>
        <w:spacing w:before="240" w:line="570" w:lineRule="exact"/>
        <w:ind w:firstLine="640" w:firstLineChars="200"/>
        <w:jc w:val="both"/>
        <w:outlineLvl w:val="0"/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方正黑体_GBK" w:cs="方正黑体_GBK"/>
          <w:bCs/>
          <w:kern w:val="44"/>
          <w:sz w:val="32"/>
          <w:szCs w:val="32"/>
          <w:lang w:val="en-US" w:eastAsia="zh-CN" w:bidi="ar-SA"/>
        </w:rPr>
        <w:t>五、进度保障措施</w:t>
      </w:r>
    </w:p>
    <w:p w14:paraId="51C8D6F3">
      <w:r>
        <w:rPr>
          <w:rFonts w:hint="eastAsia" w:ascii="宋体" w:hAnsi="宋体" w:eastAsia="方正仿宋_GBK" w:cs="方正仿宋_GBK"/>
          <w:sz w:val="32"/>
          <w:szCs w:val="32"/>
        </w:rPr>
        <w:t>说明在绿色矿山建设过程中，如何保障矿山在规定时限内达到绿色矿山评价指标要求。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6086D"/>
    <w:rsid w:val="46E73152"/>
    <w:rsid w:val="471F1043"/>
    <w:rsid w:val="599259E9"/>
    <w:rsid w:val="7D15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napToGrid w:val="0"/>
      <w:spacing w:line="300" w:lineRule="auto"/>
      <w:ind w:firstLine="556"/>
    </w:pPr>
    <w:rPr>
      <w:rFonts w:ascii="仿宋_GB2312" w:hAnsi="Times New Roman" w:eastAsia="仿宋_GB2312"/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2262</Words>
  <Characters>2282</Characters>
  <Lines>0</Lines>
  <Paragraphs>0</Paragraphs>
  <TotalTime>0</TotalTime>
  <ScaleCrop>false</ScaleCrop>
  <LinksUpToDate>false</LinksUpToDate>
  <CharactersWithSpaces>2307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2025-04-22T03:34:00Z</dcterms:created>
  <dc:creator>Lenovo</dc:creator>
  <cp:lastModifiedBy>莫语</cp:lastModifiedBy>
  <dcterms:modified xsi:type="dcterms:W3CDTF">2025-04-22T03:41:14Z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eyJoZGlkIjoiOWYzOGRiNDNiM2UxMzI1NzY2YjQ2MDA1ODRkNTQzY2YiLCJ1c2VySWQiOiIzNDA1ODU0MDcifQ==</vt:lpwstr>
  </property>
  <property fmtid="{D5CDD505-2E9C-101B-9397-08002B2CF9AE}" pid="4" name="ICV">
    <vt:lpwstr>EF4E7CB05DA54517A25F8425C6B7D454_12</vt:lpwstr>
  </property>
</Properties>
</file>