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9B30C">
      <w:pPr>
        <w:widowControl w:val="0"/>
        <w:adjustRightInd w:val="0"/>
        <w:snapToGrid w:val="0"/>
        <w:spacing w:line="570" w:lineRule="exact"/>
        <w:ind w:firstLine="0" w:firstLineChars="0"/>
        <w:outlineLvl w:val="0"/>
        <w:rPr>
          <w:rFonts w:hint="eastAsia" w:ascii="宋体" w:hAnsi="宋体" w:eastAsia="方正小标宋_GBK" w:cs="Times New Roman"/>
          <w:bCs/>
          <w:color w:val="000000"/>
          <w:kern w:val="2"/>
          <w:sz w:val="44"/>
          <w:szCs w:val="32"/>
          <w:lang w:val="en-US" w:eastAsia="zh-CN" w:bidi="ar"/>
        </w:rPr>
      </w:pPr>
      <w:bookmarkStart w:id="7" w:name="_GoBack"/>
      <w:bookmarkEnd w:id="7"/>
      <w:r>
        <w:rPr>
          <w:rFonts w:hint="eastAsia" w:ascii="宋体" w:hAnsi="宋体" w:eastAsia="方正黑体_GBK" w:cs="方正黑体_GBK"/>
          <w:bCs/>
          <w:color w:val="000000"/>
          <w:kern w:val="0"/>
          <w:sz w:val="32"/>
          <w:szCs w:val="32"/>
          <w:lang w:bidi="ar"/>
        </w:rPr>
        <w:t>附件1</w:t>
      </w:r>
    </w:p>
    <w:p w14:paraId="58A28568">
      <w:pPr>
        <w:widowControl w:val="0"/>
        <w:spacing w:after="240" w:line="640" w:lineRule="exact"/>
        <w:ind w:firstLine="0" w:firstLineChars="0"/>
        <w:jc w:val="center"/>
        <w:rPr>
          <w:rFonts w:hint="eastAsia" w:ascii="宋体" w:hAnsi="宋体"/>
          <w:sz w:val="44"/>
          <w:szCs w:val="44"/>
          <w:lang w:val="en-US" w:eastAsia="zh-CN"/>
        </w:rPr>
      </w:pPr>
      <w:r>
        <w:rPr>
          <w:rFonts w:hint="eastAsia" w:ascii="宋体" w:hAnsi="宋体" w:eastAsia="方正小标宋_GBK" w:cs="Times New Roman"/>
          <w:bCs/>
          <w:color w:val="000000"/>
          <w:kern w:val="2"/>
          <w:sz w:val="44"/>
          <w:szCs w:val="44"/>
          <w:lang w:val="en-US" w:eastAsia="zh-CN" w:bidi="ar"/>
        </w:rPr>
        <w:t>云南省省级绿色矿山建设评价指标（试行）</w:t>
      </w:r>
    </w:p>
    <w:tbl>
      <w:tblPr>
        <w:tblStyle w:val="5"/>
        <w:tblW w:w="15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
        <w:gridCol w:w="988"/>
        <w:gridCol w:w="1134"/>
        <w:gridCol w:w="300"/>
        <w:gridCol w:w="834"/>
        <w:gridCol w:w="850"/>
        <w:gridCol w:w="5670"/>
        <w:gridCol w:w="992"/>
        <w:gridCol w:w="682"/>
        <w:gridCol w:w="1586"/>
        <w:gridCol w:w="599"/>
        <w:gridCol w:w="511"/>
        <w:gridCol w:w="596"/>
        <w:gridCol w:w="521"/>
      </w:tblGrid>
      <w:tr w14:paraId="0EBE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jc w:val="center"/>
        </w:trPr>
        <w:tc>
          <w:tcPr>
            <w:tcW w:w="2438" w:type="dxa"/>
            <w:gridSpan w:val="4"/>
            <w:noWrap w:val="0"/>
            <w:tcMar>
              <w:top w:w="28" w:type="dxa"/>
              <w:left w:w="28" w:type="dxa"/>
              <w:bottom w:w="28" w:type="dxa"/>
              <w:right w:w="28" w:type="dxa"/>
            </w:tcMar>
            <w:vAlign w:val="center"/>
          </w:tcPr>
          <w:p w14:paraId="081CC5C6">
            <w:pPr>
              <w:widowControl w:val="0"/>
              <w:spacing w:line="500" w:lineRule="exact"/>
              <w:ind w:firstLine="0" w:firstLineChars="0"/>
              <w:jc w:val="center"/>
              <w:outlineLvl w:val="0"/>
              <w:rPr>
                <w:rFonts w:hint="eastAsia" w:ascii="宋体" w:hAnsi="宋体" w:eastAsia="方正黑体_GBK" w:cs="Times New Roman"/>
                <w:b/>
                <w:bCs/>
                <w:color w:val="000000"/>
                <w:kern w:val="44"/>
                <w:sz w:val="28"/>
                <w:szCs w:val="40"/>
                <w:lang w:val="en-US" w:eastAsia="zh-CN" w:bidi="ar"/>
              </w:rPr>
            </w:pPr>
            <w:r>
              <w:rPr>
                <w:rFonts w:ascii="宋体" w:hAnsi="宋体" w:eastAsia="方正黑体_GBK" w:cs="Times New Roman"/>
                <w:bCs/>
                <w:color w:val="000000"/>
                <w:kern w:val="44"/>
                <w:sz w:val="28"/>
                <w:szCs w:val="40"/>
                <w:lang w:val="en-US" w:eastAsia="zh-CN" w:bidi="ar"/>
              </w:rPr>
              <w:t>先决条件</w:t>
            </w:r>
          </w:p>
        </w:tc>
        <w:tc>
          <w:tcPr>
            <w:tcW w:w="9028" w:type="dxa"/>
            <w:gridSpan w:val="5"/>
            <w:noWrap w:val="0"/>
            <w:tcMar>
              <w:top w:w="28" w:type="dxa"/>
              <w:left w:w="28" w:type="dxa"/>
              <w:bottom w:w="28" w:type="dxa"/>
              <w:right w:w="28" w:type="dxa"/>
            </w:tcMar>
            <w:vAlign w:val="center"/>
          </w:tcPr>
          <w:p w14:paraId="49F5EC7D">
            <w:pPr>
              <w:widowControl w:val="0"/>
              <w:spacing w:line="500" w:lineRule="exact"/>
              <w:ind w:firstLine="0" w:firstLineChars="0"/>
              <w:jc w:val="center"/>
              <w:outlineLvl w:val="0"/>
              <w:rPr>
                <w:rFonts w:hint="eastAsia" w:ascii="宋体" w:hAnsi="宋体" w:eastAsia="方正黑体_GBK" w:cs="Times New Roman"/>
                <w:b/>
                <w:bCs/>
                <w:color w:val="000000"/>
                <w:kern w:val="44"/>
                <w:sz w:val="28"/>
                <w:szCs w:val="40"/>
                <w:lang w:val="en-US" w:eastAsia="zh-CN" w:bidi="ar"/>
              </w:rPr>
            </w:pPr>
            <w:r>
              <w:rPr>
                <w:rFonts w:ascii="宋体" w:hAnsi="宋体" w:eastAsia="方正黑体_GBK" w:cs="Times New Roman"/>
                <w:bCs/>
                <w:color w:val="000000"/>
                <w:kern w:val="44"/>
                <w:sz w:val="28"/>
                <w:szCs w:val="40"/>
                <w:lang w:val="en-US" w:eastAsia="zh-CN" w:bidi="ar"/>
              </w:rPr>
              <w:t>要求</w:t>
            </w:r>
          </w:p>
        </w:tc>
        <w:tc>
          <w:tcPr>
            <w:tcW w:w="3813" w:type="dxa"/>
            <w:gridSpan w:val="5"/>
            <w:noWrap w:val="0"/>
            <w:tcMar>
              <w:top w:w="28" w:type="dxa"/>
              <w:left w:w="28" w:type="dxa"/>
              <w:bottom w:w="28" w:type="dxa"/>
              <w:right w:w="28" w:type="dxa"/>
            </w:tcMar>
            <w:vAlign w:val="center"/>
          </w:tcPr>
          <w:p w14:paraId="147843DF">
            <w:pPr>
              <w:widowControl w:val="0"/>
              <w:spacing w:line="500" w:lineRule="exact"/>
              <w:ind w:firstLine="0" w:firstLineChars="0"/>
              <w:jc w:val="center"/>
              <w:outlineLvl w:val="0"/>
              <w:rPr>
                <w:rFonts w:hint="eastAsia" w:ascii="宋体" w:hAnsi="宋体" w:eastAsia="方正黑体_GBK" w:cs="Times New Roman"/>
                <w:b/>
                <w:bCs/>
                <w:color w:val="000000"/>
                <w:kern w:val="44"/>
                <w:sz w:val="28"/>
                <w:szCs w:val="40"/>
                <w:lang w:val="en-US" w:eastAsia="zh-CN" w:bidi="ar"/>
              </w:rPr>
            </w:pPr>
            <w:r>
              <w:rPr>
                <w:rFonts w:ascii="宋体" w:hAnsi="宋体" w:eastAsia="方正黑体_GBK" w:cs="Times New Roman"/>
                <w:bCs/>
                <w:color w:val="000000"/>
                <w:kern w:val="44"/>
                <w:sz w:val="28"/>
                <w:szCs w:val="40"/>
                <w:lang w:val="en-US" w:eastAsia="zh-CN" w:bidi="ar"/>
              </w:rPr>
              <w:t>说明</w:t>
            </w:r>
          </w:p>
        </w:tc>
      </w:tr>
      <w:tr w14:paraId="19C1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7" w:hRule="atLeast"/>
          <w:jc w:val="center"/>
        </w:trPr>
        <w:tc>
          <w:tcPr>
            <w:tcW w:w="2438" w:type="dxa"/>
            <w:gridSpan w:val="4"/>
            <w:noWrap w:val="0"/>
            <w:tcMar>
              <w:top w:w="12" w:type="dxa"/>
              <w:left w:w="12" w:type="dxa"/>
              <w:right w:w="12" w:type="dxa"/>
            </w:tcMar>
            <w:vAlign w:val="center"/>
          </w:tcPr>
          <w:p w14:paraId="3F50BDB8">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手续齐全，证照合法有效</w:t>
            </w:r>
          </w:p>
        </w:tc>
        <w:tc>
          <w:tcPr>
            <w:tcW w:w="9028" w:type="dxa"/>
            <w:gridSpan w:val="5"/>
            <w:noWrap w:val="0"/>
            <w:tcMar>
              <w:top w:w="12" w:type="dxa"/>
              <w:left w:w="12" w:type="dxa"/>
              <w:right w:w="12" w:type="dxa"/>
            </w:tcMar>
            <w:vAlign w:val="center"/>
          </w:tcPr>
          <w:p w14:paraId="73441903">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《采矿许可证》《安全生产许可证》《营业执照》证照合法有效，依法办理环评和排污许可手续，并依法完成竣工环保验收。</w:t>
            </w:r>
          </w:p>
        </w:tc>
        <w:tc>
          <w:tcPr>
            <w:tcW w:w="3813" w:type="dxa"/>
            <w:gridSpan w:val="5"/>
            <w:vMerge w:val="restart"/>
            <w:noWrap w:val="0"/>
            <w:tcMar>
              <w:top w:w="12" w:type="dxa"/>
              <w:left w:w="12" w:type="dxa"/>
              <w:right w:w="12" w:type="dxa"/>
            </w:tcMar>
            <w:vAlign w:val="center"/>
          </w:tcPr>
          <w:p w14:paraId="2AF1F573">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sz w:val="28"/>
                <w:szCs w:val="40"/>
                <w:lang w:bidi="ar"/>
              </w:rPr>
            </w:pPr>
            <w:r>
              <w:rPr>
                <w:rFonts w:ascii="宋体" w:hAnsi="宋体" w:cs="Times New Roman"/>
                <w:color w:val="000000"/>
                <w:sz w:val="28"/>
                <w:szCs w:val="40"/>
                <w:lang w:bidi="ar"/>
              </w:rPr>
              <w:br w:type="textWrapping"/>
            </w:r>
            <w:r>
              <w:rPr>
                <w:rFonts w:ascii="宋体" w:hAnsi="宋体" w:cs="Times New Roman"/>
                <w:color w:val="000000"/>
                <w:sz w:val="28"/>
                <w:szCs w:val="40"/>
                <w:lang w:bidi="ar"/>
              </w:rPr>
              <w:t xml:space="preserve">             合格    □</w:t>
            </w:r>
            <w:r>
              <w:rPr>
                <w:rFonts w:ascii="宋体" w:hAnsi="宋体" w:cs="Times New Roman"/>
                <w:color w:val="000000"/>
                <w:sz w:val="28"/>
                <w:szCs w:val="40"/>
                <w:lang w:bidi="ar"/>
              </w:rPr>
              <w:br w:type="textWrapping"/>
            </w:r>
            <w:r>
              <w:rPr>
                <w:rFonts w:ascii="宋体" w:hAnsi="宋体" w:cs="Times New Roman"/>
                <w:color w:val="000000"/>
                <w:sz w:val="28"/>
                <w:szCs w:val="40"/>
                <w:lang w:bidi="ar"/>
              </w:rPr>
              <w:t xml:space="preserve">            不合格    □</w:t>
            </w:r>
          </w:p>
          <w:p w14:paraId="53E2F19F">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sz w:val="28"/>
                <w:szCs w:val="40"/>
              </w:rPr>
            </w:pPr>
          </w:p>
          <w:p w14:paraId="26C6D9CB">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sz w:val="28"/>
                <w:szCs w:val="40"/>
              </w:rPr>
            </w:pPr>
            <w:r>
              <w:rPr>
                <w:rFonts w:ascii="宋体" w:hAnsi="宋体" w:cs="Times New Roman"/>
                <w:color w:val="000000"/>
                <w:sz w:val="28"/>
                <w:szCs w:val="40"/>
              </w:rPr>
              <w:t>满足所有先决条件方可进行打分评价，其中1条不满足的，即为不合格。</w:t>
            </w:r>
          </w:p>
          <w:p w14:paraId="654F7090">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b/>
                <w:color w:val="000000"/>
                <w:sz w:val="28"/>
                <w:szCs w:val="40"/>
                <w:lang w:bidi="ar"/>
              </w:rPr>
            </w:pPr>
          </w:p>
        </w:tc>
      </w:tr>
      <w:tr w14:paraId="0876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5" w:hRule="atLeast"/>
          <w:jc w:val="center"/>
        </w:trPr>
        <w:tc>
          <w:tcPr>
            <w:tcW w:w="2438" w:type="dxa"/>
            <w:gridSpan w:val="4"/>
            <w:noWrap w:val="0"/>
            <w:tcMar>
              <w:top w:w="12" w:type="dxa"/>
              <w:left w:w="12" w:type="dxa"/>
              <w:right w:w="12" w:type="dxa"/>
            </w:tcMar>
            <w:vAlign w:val="center"/>
          </w:tcPr>
          <w:p w14:paraId="00B45F94">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三年内未受行政处罚或已整改到位</w:t>
            </w:r>
          </w:p>
        </w:tc>
        <w:tc>
          <w:tcPr>
            <w:tcW w:w="9028" w:type="dxa"/>
            <w:gridSpan w:val="5"/>
            <w:noWrap w:val="0"/>
            <w:tcMar>
              <w:top w:w="12" w:type="dxa"/>
              <w:left w:w="12" w:type="dxa"/>
              <w:right w:w="12" w:type="dxa"/>
            </w:tcMar>
            <w:vAlign w:val="center"/>
          </w:tcPr>
          <w:p w14:paraId="7AEBC4B8">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近三年内（自遴选通知下发之日起前三年），未受到自然资源和生态环境等部门行政处罚，或受到处罚在履行期限内已执行到位（出具相关证明材料），且未发生过较大及以上安全生产事故、环境事件的。</w:t>
            </w:r>
          </w:p>
        </w:tc>
        <w:tc>
          <w:tcPr>
            <w:tcW w:w="3813" w:type="dxa"/>
            <w:gridSpan w:val="5"/>
            <w:vMerge w:val="continue"/>
            <w:noWrap w:val="0"/>
            <w:tcMar>
              <w:top w:w="12" w:type="dxa"/>
              <w:left w:w="12" w:type="dxa"/>
              <w:right w:w="12" w:type="dxa"/>
            </w:tcMar>
            <w:vAlign w:val="center"/>
          </w:tcPr>
          <w:p w14:paraId="67BFD9BA">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b/>
                <w:color w:val="000000"/>
                <w:sz w:val="28"/>
                <w:szCs w:val="40"/>
                <w:lang w:bidi="ar"/>
              </w:rPr>
            </w:pPr>
          </w:p>
        </w:tc>
      </w:tr>
      <w:tr w14:paraId="683F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6" w:hRule="atLeast"/>
          <w:jc w:val="center"/>
        </w:trPr>
        <w:tc>
          <w:tcPr>
            <w:tcW w:w="2438" w:type="dxa"/>
            <w:gridSpan w:val="4"/>
            <w:noWrap w:val="0"/>
            <w:tcMar>
              <w:top w:w="12" w:type="dxa"/>
              <w:left w:w="12" w:type="dxa"/>
              <w:right w:w="12" w:type="dxa"/>
            </w:tcMar>
            <w:vAlign w:val="center"/>
          </w:tcPr>
          <w:p w14:paraId="405E5904">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矿业权人异常名录</w:t>
            </w:r>
          </w:p>
        </w:tc>
        <w:tc>
          <w:tcPr>
            <w:tcW w:w="9028" w:type="dxa"/>
            <w:gridSpan w:val="5"/>
            <w:noWrap w:val="0"/>
            <w:tcMar>
              <w:top w:w="12" w:type="dxa"/>
              <w:left w:w="12" w:type="dxa"/>
              <w:right w:w="12" w:type="dxa"/>
            </w:tcMar>
            <w:vAlign w:val="center"/>
          </w:tcPr>
          <w:p w14:paraId="692A3F7F">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矿山参加遴选期间，矿业权人未被列入矿业权人勘查开采信息</w:t>
            </w:r>
            <w:r>
              <w:rPr>
                <w:rFonts w:hint="eastAsia" w:ascii="宋体" w:hAnsi="宋体" w:cs="Times New Roman"/>
                <w:color w:val="000000"/>
                <w:kern w:val="0"/>
                <w:sz w:val="24"/>
                <w:szCs w:val="24"/>
                <w:shd w:val="clear" w:color="auto" w:fill="FFFFFF"/>
              </w:rPr>
              <w:t>管理</w:t>
            </w:r>
            <w:r>
              <w:rPr>
                <w:rFonts w:ascii="宋体" w:hAnsi="宋体" w:cs="Times New Roman"/>
                <w:color w:val="000000"/>
                <w:kern w:val="0"/>
                <w:sz w:val="24"/>
                <w:szCs w:val="24"/>
                <w:shd w:val="clear" w:color="auto" w:fill="FFFFFF"/>
              </w:rPr>
              <w:t>系统异常名录或严重失信主体名单。</w:t>
            </w:r>
          </w:p>
        </w:tc>
        <w:tc>
          <w:tcPr>
            <w:tcW w:w="3813" w:type="dxa"/>
            <w:gridSpan w:val="5"/>
            <w:vMerge w:val="continue"/>
            <w:noWrap w:val="0"/>
            <w:tcMar>
              <w:top w:w="12" w:type="dxa"/>
              <w:left w:w="12" w:type="dxa"/>
              <w:right w:w="12" w:type="dxa"/>
            </w:tcMar>
            <w:vAlign w:val="center"/>
          </w:tcPr>
          <w:p w14:paraId="282BE3D7">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b/>
                <w:color w:val="000000"/>
                <w:sz w:val="28"/>
                <w:szCs w:val="40"/>
                <w:lang w:bidi="ar"/>
              </w:rPr>
            </w:pPr>
          </w:p>
        </w:tc>
      </w:tr>
      <w:tr w14:paraId="6E39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jc w:val="center"/>
        </w:trPr>
        <w:tc>
          <w:tcPr>
            <w:tcW w:w="2438" w:type="dxa"/>
            <w:gridSpan w:val="4"/>
            <w:noWrap w:val="0"/>
            <w:tcMar>
              <w:top w:w="12" w:type="dxa"/>
              <w:left w:w="12" w:type="dxa"/>
              <w:right w:w="12" w:type="dxa"/>
            </w:tcMar>
            <w:vAlign w:val="center"/>
          </w:tcPr>
          <w:p w14:paraId="204FB90B">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矿山要求</w:t>
            </w:r>
          </w:p>
        </w:tc>
        <w:tc>
          <w:tcPr>
            <w:tcW w:w="9028" w:type="dxa"/>
            <w:gridSpan w:val="5"/>
            <w:noWrap w:val="0"/>
            <w:tcMar>
              <w:top w:w="12" w:type="dxa"/>
              <w:left w:w="12" w:type="dxa"/>
              <w:right w:w="12" w:type="dxa"/>
            </w:tcMar>
            <w:vAlign w:val="center"/>
          </w:tcPr>
          <w:p w14:paraId="19878BB3">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矿山近三年内正常生产运营，且剩余储量可采年限（按储量年度报告）不少于三年。</w:t>
            </w:r>
          </w:p>
        </w:tc>
        <w:tc>
          <w:tcPr>
            <w:tcW w:w="3813" w:type="dxa"/>
            <w:gridSpan w:val="5"/>
            <w:vMerge w:val="continue"/>
            <w:noWrap w:val="0"/>
            <w:tcMar>
              <w:top w:w="12" w:type="dxa"/>
              <w:left w:w="12" w:type="dxa"/>
              <w:right w:w="12" w:type="dxa"/>
            </w:tcMar>
            <w:vAlign w:val="center"/>
          </w:tcPr>
          <w:p w14:paraId="4A3E9B6D">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b/>
                <w:color w:val="000000"/>
                <w:sz w:val="28"/>
                <w:szCs w:val="40"/>
                <w:lang w:bidi="ar"/>
              </w:rPr>
            </w:pPr>
          </w:p>
        </w:tc>
      </w:tr>
      <w:tr w14:paraId="6EDE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jc w:val="center"/>
        </w:trPr>
        <w:tc>
          <w:tcPr>
            <w:tcW w:w="2438" w:type="dxa"/>
            <w:gridSpan w:val="4"/>
            <w:noWrap w:val="0"/>
            <w:tcMar>
              <w:top w:w="12" w:type="dxa"/>
              <w:left w:w="12" w:type="dxa"/>
              <w:right w:w="12" w:type="dxa"/>
            </w:tcMar>
            <w:vAlign w:val="center"/>
          </w:tcPr>
          <w:p w14:paraId="1FCDD85A">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矿区范围</w:t>
            </w:r>
          </w:p>
        </w:tc>
        <w:tc>
          <w:tcPr>
            <w:tcW w:w="9028" w:type="dxa"/>
            <w:gridSpan w:val="5"/>
            <w:noWrap w:val="0"/>
            <w:tcMar>
              <w:top w:w="12" w:type="dxa"/>
              <w:left w:w="12" w:type="dxa"/>
              <w:right w:w="12" w:type="dxa"/>
            </w:tcMar>
            <w:vAlign w:val="center"/>
          </w:tcPr>
          <w:p w14:paraId="7295E71F">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color w:val="000000"/>
                <w:kern w:val="0"/>
                <w:sz w:val="24"/>
                <w:szCs w:val="24"/>
                <w:shd w:val="clear" w:color="auto" w:fill="FFFFFF"/>
              </w:rPr>
            </w:pPr>
            <w:r>
              <w:rPr>
                <w:rFonts w:ascii="宋体" w:hAnsi="宋体" w:cs="Times New Roman"/>
                <w:color w:val="000000"/>
                <w:kern w:val="0"/>
                <w:sz w:val="24"/>
                <w:szCs w:val="24"/>
                <w:shd w:val="clear" w:color="auto" w:fill="FFFFFF"/>
              </w:rPr>
              <w:t>矿区范围未涉及生态保护红线（国家有规定的除外），符合国土空间规划及规划环评要求。</w:t>
            </w:r>
          </w:p>
        </w:tc>
        <w:tc>
          <w:tcPr>
            <w:tcW w:w="3813" w:type="dxa"/>
            <w:gridSpan w:val="5"/>
            <w:vMerge w:val="continue"/>
            <w:noWrap w:val="0"/>
            <w:tcMar>
              <w:top w:w="12" w:type="dxa"/>
              <w:left w:w="12" w:type="dxa"/>
              <w:right w:w="12" w:type="dxa"/>
            </w:tcMar>
            <w:vAlign w:val="center"/>
          </w:tcPr>
          <w:p w14:paraId="66BD89DA">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ascii="宋体" w:hAnsi="宋体" w:cs="Times New Roman"/>
                <w:b/>
                <w:color w:val="000000"/>
                <w:sz w:val="28"/>
                <w:szCs w:val="40"/>
                <w:lang w:bidi="ar"/>
              </w:rPr>
            </w:pPr>
          </w:p>
        </w:tc>
      </w:tr>
      <w:tr w14:paraId="3326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565" w:hRule="atLeast"/>
          <w:tblHeader/>
          <w:jc w:val="center"/>
        </w:trPr>
        <w:tc>
          <w:tcPr>
            <w:tcW w:w="988" w:type="dxa"/>
            <w:noWrap w:val="0"/>
            <w:tcMar>
              <w:top w:w="12" w:type="dxa"/>
              <w:left w:w="12" w:type="dxa"/>
              <w:right w:w="12" w:type="dxa"/>
            </w:tcMar>
            <w:vAlign w:val="center"/>
          </w:tcPr>
          <w:p w14:paraId="614C94D1">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一级指标</w:t>
            </w:r>
          </w:p>
        </w:tc>
        <w:tc>
          <w:tcPr>
            <w:tcW w:w="1134" w:type="dxa"/>
            <w:noWrap w:val="0"/>
            <w:tcMar>
              <w:top w:w="12" w:type="dxa"/>
              <w:left w:w="12" w:type="dxa"/>
              <w:right w:w="12" w:type="dxa"/>
            </w:tcMar>
            <w:vAlign w:val="center"/>
          </w:tcPr>
          <w:p w14:paraId="64339728">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二级指标</w:t>
            </w:r>
          </w:p>
        </w:tc>
        <w:tc>
          <w:tcPr>
            <w:tcW w:w="1134" w:type="dxa"/>
            <w:gridSpan w:val="2"/>
            <w:noWrap w:val="0"/>
            <w:tcMar>
              <w:top w:w="12" w:type="dxa"/>
              <w:left w:w="12" w:type="dxa"/>
              <w:right w:w="12" w:type="dxa"/>
            </w:tcMar>
            <w:vAlign w:val="center"/>
          </w:tcPr>
          <w:p w14:paraId="60D2AA9E">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三级指标</w:t>
            </w:r>
          </w:p>
        </w:tc>
        <w:tc>
          <w:tcPr>
            <w:tcW w:w="850" w:type="dxa"/>
            <w:noWrap w:val="0"/>
            <w:tcMar>
              <w:top w:w="12" w:type="dxa"/>
              <w:left w:w="12" w:type="dxa"/>
              <w:right w:w="12" w:type="dxa"/>
            </w:tcMar>
            <w:vAlign w:val="center"/>
          </w:tcPr>
          <w:p w14:paraId="28D11E7B">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标准分</w:t>
            </w:r>
          </w:p>
        </w:tc>
        <w:tc>
          <w:tcPr>
            <w:tcW w:w="5670" w:type="dxa"/>
            <w:noWrap w:val="0"/>
            <w:tcMar>
              <w:top w:w="12" w:type="dxa"/>
              <w:left w:w="12" w:type="dxa"/>
              <w:right w:w="12" w:type="dxa"/>
            </w:tcMar>
            <w:vAlign w:val="center"/>
          </w:tcPr>
          <w:p w14:paraId="0550BF0C">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评分说明</w:t>
            </w:r>
          </w:p>
        </w:tc>
        <w:tc>
          <w:tcPr>
            <w:tcW w:w="992" w:type="dxa"/>
            <w:noWrap w:val="0"/>
            <w:tcMar>
              <w:top w:w="12" w:type="dxa"/>
              <w:left w:w="12" w:type="dxa"/>
              <w:right w:w="12" w:type="dxa"/>
            </w:tcMar>
            <w:vAlign w:val="center"/>
          </w:tcPr>
          <w:p w14:paraId="472B3D04">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考核方法</w:t>
            </w:r>
          </w:p>
        </w:tc>
        <w:tc>
          <w:tcPr>
            <w:tcW w:w="2268" w:type="dxa"/>
            <w:gridSpan w:val="2"/>
            <w:noWrap w:val="0"/>
            <w:tcMar>
              <w:top w:w="12" w:type="dxa"/>
              <w:left w:w="12" w:type="dxa"/>
              <w:right w:w="12" w:type="dxa"/>
            </w:tcMar>
            <w:vAlign w:val="center"/>
          </w:tcPr>
          <w:p w14:paraId="2A54BEB3">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依据或标准</w:t>
            </w:r>
          </w:p>
        </w:tc>
        <w:tc>
          <w:tcPr>
            <w:tcW w:w="599" w:type="dxa"/>
            <w:noWrap w:val="0"/>
            <w:vAlign w:val="center"/>
          </w:tcPr>
          <w:p w14:paraId="04A8496C">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指标</w:t>
            </w:r>
          </w:p>
          <w:p w14:paraId="0B5234FB">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属性</w:t>
            </w:r>
          </w:p>
        </w:tc>
        <w:tc>
          <w:tcPr>
            <w:tcW w:w="511" w:type="dxa"/>
            <w:noWrap w:val="0"/>
            <w:tcMar>
              <w:top w:w="12" w:type="dxa"/>
              <w:left w:w="12" w:type="dxa"/>
              <w:right w:w="12" w:type="dxa"/>
            </w:tcMar>
            <w:vAlign w:val="center"/>
          </w:tcPr>
          <w:p w14:paraId="7B4C10E0">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检查</w:t>
            </w:r>
          </w:p>
          <w:p w14:paraId="0B6FB08B">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记录</w:t>
            </w:r>
          </w:p>
        </w:tc>
        <w:tc>
          <w:tcPr>
            <w:tcW w:w="596" w:type="dxa"/>
            <w:noWrap w:val="0"/>
            <w:tcMar>
              <w:top w:w="12" w:type="dxa"/>
              <w:left w:w="12" w:type="dxa"/>
              <w:right w:w="12" w:type="dxa"/>
            </w:tcMar>
            <w:vAlign w:val="center"/>
          </w:tcPr>
          <w:p w14:paraId="748E3E47">
            <w:pPr>
              <w:keepNext w:val="0"/>
              <w:keepLines w:val="0"/>
              <w:pageBreakBefore w:val="0"/>
              <w:widowControl w:val="0"/>
              <w:kinsoku/>
              <w:wordWrap/>
              <w:overflowPunct/>
              <w:topLinePunct w:val="0"/>
              <w:autoSpaceDE/>
              <w:autoSpaceDN/>
              <w:bidi w:val="0"/>
              <w:spacing w:line="240" w:lineRule="exact"/>
              <w:ind w:firstLine="0" w:firstLineChars="0"/>
              <w:jc w:val="center"/>
              <w:outlineLvl w:val="0"/>
              <w:rPr>
                <w:rFonts w:ascii="宋体" w:hAnsi="宋体" w:eastAsia="方正黑体_GBK" w:cs="Times New Roman"/>
                <w:b/>
                <w:bCs/>
                <w:color w:val="000000"/>
                <w:kern w:val="44"/>
                <w:sz w:val="24"/>
                <w:szCs w:val="36"/>
                <w:lang w:val="en-US" w:eastAsia="zh-CN" w:bidi="ar-SA"/>
              </w:rPr>
            </w:pPr>
            <w:r>
              <w:rPr>
                <w:rFonts w:ascii="宋体" w:hAnsi="宋体" w:eastAsia="方正黑体_GBK" w:cs="Times New Roman"/>
                <w:bCs/>
                <w:color w:val="000000"/>
                <w:kern w:val="44"/>
                <w:sz w:val="24"/>
                <w:szCs w:val="36"/>
                <w:lang w:val="en-US" w:eastAsia="zh-CN" w:bidi="ar-SA"/>
              </w:rPr>
              <w:t>得分</w:t>
            </w:r>
          </w:p>
        </w:tc>
      </w:tr>
      <w:tr w14:paraId="32FD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917" w:hRule="atLeast"/>
          <w:jc w:val="center"/>
        </w:trPr>
        <w:tc>
          <w:tcPr>
            <w:tcW w:w="988" w:type="dxa"/>
            <w:vMerge w:val="restart"/>
            <w:noWrap w:val="0"/>
            <w:tcMar>
              <w:top w:w="12" w:type="dxa"/>
              <w:left w:w="12" w:type="dxa"/>
              <w:right w:w="12" w:type="dxa"/>
            </w:tcMar>
            <w:vAlign w:val="center"/>
          </w:tcPr>
          <w:p w14:paraId="31B8B03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一、矿区环境(7项，12分)</w:t>
            </w:r>
          </w:p>
        </w:tc>
        <w:tc>
          <w:tcPr>
            <w:tcW w:w="1134" w:type="dxa"/>
            <w:vMerge w:val="restart"/>
            <w:noWrap w:val="0"/>
            <w:tcMar>
              <w:top w:w="12" w:type="dxa"/>
              <w:left w:w="12" w:type="dxa"/>
              <w:right w:w="12" w:type="dxa"/>
            </w:tcMar>
            <w:vAlign w:val="center"/>
          </w:tcPr>
          <w:p w14:paraId="0A833A4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1矿容矿貌（9分）</w:t>
            </w:r>
          </w:p>
        </w:tc>
        <w:tc>
          <w:tcPr>
            <w:tcW w:w="1134" w:type="dxa"/>
            <w:gridSpan w:val="2"/>
            <w:noWrap w:val="0"/>
            <w:tcMar>
              <w:top w:w="12" w:type="dxa"/>
              <w:left w:w="12" w:type="dxa"/>
              <w:right w:w="12" w:type="dxa"/>
            </w:tcMar>
            <w:vAlign w:val="center"/>
          </w:tcPr>
          <w:p w14:paraId="33974DA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1功能分区</w:t>
            </w:r>
          </w:p>
        </w:tc>
        <w:tc>
          <w:tcPr>
            <w:tcW w:w="850" w:type="dxa"/>
            <w:noWrap w:val="0"/>
            <w:tcMar>
              <w:top w:w="12" w:type="dxa"/>
              <w:left w:w="12" w:type="dxa"/>
              <w:right w:w="12" w:type="dxa"/>
            </w:tcMar>
            <w:vAlign w:val="center"/>
          </w:tcPr>
          <w:p w14:paraId="7A7CBCA0">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301AD9FD">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矿区按生产区、管理区、生活区进行功能分区，符合分区要求。符合要求得2分，管理区、生活区分区不明显扣0.5分，生产区、管理区分区不明显扣1.5分。</w:t>
            </w:r>
          </w:p>
        </w:tc>
        <w:tc>
          <w:tcPr>
            <w:tcW w:w="992" w:type="dxa"/>
            <w:noWrap w:val="0"/>
            <w:tcMar>
              <w:top w:w="12" w:type="dxa"/>
              <w:left w:w="12" w:type="dxa"/>
              <w:right w:w="12" w:type="dxa"/>
            </w:tcMar>
            <w:vAlign w:val="center"/>
          </w:tcPr>
          <w:p w14:paraId="0FFDEA8A">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68" w:type="dxa"/>
            <w:gridSpan w:val="2"/>
            <w:noWrap w:val="0"/>
            <w:tcMar>
              <w:top w:w="12" w:type="dxa"/>
              <w:left w:w="12" w:type="dxa"/>
              <w:right w:w="12" w:type="dxa"/>
            </w:tcMar>
            <w:vAlign w:val="center"/>
          </w:tcPr>
          <w:p w14:paraId="6EA707F7">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矿区总平面布置图或示意图，《工业企业总平面设计规范》（GB 50187）</w:t>
            </w:r>
          </w:p>
        </w:tc>
        <w:tc>
          <w:tcPr>
            <w:tcW w:w="599" w:type="dxa"/>
            <w:noWrap w:val="0"/>
            <w:vAlign w:val="center"/>
          </w:tcPr>
          <w:p w14:paraId="5BEA052C">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67368602">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19A37371">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7C5E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1020" w:hRule="atLeast"/>
          <w:jc w:val="center"/>
        </w:trPr>
        <w:tc>
          <w:tcPr>
            <w:tcW w:w="988" w:type="dxa"/>
            <w:vMerge w:val="continue"/>
            <w:noWrap w:val="0"/>
            <w:tcMar>
              <w:top w:w="12" w:type="dxa"/>
              <w:left w:w="12" w:type="dxa"/>
              <w:right w:w="12" w:type="dxa"/>
            </w:tcMar>
            <w:vAlign w:val="center"/>
          </w:tcPr>
          <w:p w14:paraId="43E1DC29">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207104D8">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gridSpan w:val="2"/>
            <w:noWrap w:val="0"/>
            <w:tcMar>
              <w:top w:w="12" w:type="dxa"/>
              <w:left w:w="12" w:type="dxa"/>
              <w:right w:w="12" w:type="dxa"/>
            </w:tcMar>
            <w:vAlign w:val="center"/>
          </w:tcPr>
          <w:p w14:paraId="4F843D3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2配套设施</w:t>
            </w:r>
          </w:p>
        </w:tc>
        <w:tc>
          <w:tcPr>
            <w:tcW w:w="850" w:type="dxa"/>
            <w:noWrap w:val="0"/>
            <w:tcMar>
              <w:top w:w="12" w:type="dxa"/>
              <w:left w:w="12" w:type="dxa"/>
              <w:right w:w="12" w:type="dxa"/>
            </w:tcMar>
            <w:vAlign w:val="center"/>
          </w:tcPr>
          <w:p w14:paraId="740BE30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73BAFF8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地面运输、供水、供电等配套设施齐全、正常运行，食堂、澡堂、厕所等设施齐全、整洁规范，对矿区建筑、构筑物及时维护、维修或粉刷，生产区、管理区、生活区的所有场所不存在私搭乱建等临时建筑、废弃建构筑物。符合要求得2分，发现一处不符合扣0.5分。</w:t>
            </w:r>
          </w:p>
        </w:tc>
        <w:tc>
          <w:tcPr>
            <w:tcW w:w="992" w:type="dxa"/>
            <w:noWrap w:val="0"/>
            <w:tcMar>
              <w:top w:w="12" w:type="dxa"/>
              <w:left w:w="12" w:type="dxa"/>
              <w:right w:w="12" w:type="dxa"/>
            </w:tcMar>
            <w:vAlign w:val="center"/>
          </w:tcPr>
          <w:p w14:paraId="2731D95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68" w:type="dxa"/>
            <w:gridSpan w:val="2"/>
            <w:noWrap w:val="0"/>
            <w:tcMar>
              <w:top w:w="12" w:type="dxa"/>
              <w:left w:w="12" w:type="dxa"/>
              <w:right w:w="12" w:type="dxa"/>
            </w:tcMar>
            <w:vAlign w:val="center"/>
          </w:tcPr>
          <w:p w14:paraId="6615005A">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矿区总平面布置图</w:t>
            </w:r>
          </w:p>
        </w:tc>
        <w:tc>
          <w:tcPr>
            <w:tcW w:w="599" w:type="dxa"/>
            <w:noWrap w:val="0"/>
            <w:vAlign w:val="center"/>
          </w:tcPr>
          <w:p w14:paraId="5A522F7B">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397C6496">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2EA2D798">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3388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887" w:hRule="atLeast"/>
          <w:jc w:val="center"/>
        </w:trPr>
        <w:tc>
          <w:tcPr>
            <w:tcW w:w="988" w:type="dxa"/>
            <w:vMerge w:val="continue"/>
            <w:noWrap w:val="0"/>
            <w:tcMar>
              <w:top w:w="12" w:type="dxa"/>
              <w:left w:w="12" w:type="dxa"/>
              <w:right w:w="12" w:type="dxa"/>
            </w:tcMar>
            <w:vAlign w:val="center"/>
          </w:tcPr>
          <w:p w14:paraId="25E20FA3">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37C7288B">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gridSpan w:val="2"/>
            <w:noWrap w:val="0"/>
            <w:tcMar>
              <w:top w:w="12" w:type="dxa"/>
              <w:left w:w="12" w:type="dxa"/>
              <w:right w:w="12" w:type="dxa"/>
            </w:tcMar>
            <w:vAlign w:val="center"/>
          </w:tcPr>
          <w:p w14:paraId="1B970549">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3标识标牌</w:t>
            </w:r>
          </w:p>
        </w:tc>
        <w:tc>
          <w:tcPr>
            <w:tcW w:w="850" w:type="dxa"/>
            <w:noWrap w:val="0"/>
            <w:tcMar>
              <w:top w:w="12" w:type="dxa"/>
              <w:left w:w="12" w:type="dxa"/>
              <w:right w:w="12" w:type="dxa"/>
            </w:tcMar>
            <w:vAlign w:val="center"/>
          </w:tcPr>
          <w:p w14:paraId="1EA444B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5444D3F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矿区按要求设置采矿权标识牌、界桩、操作提示牌、说明牌、线路示意图牌等各类标牌，标牌的尺寸、形状、颜色设置符合规定。符合要求得1分，发现一处不符合扣0.2分。</w:t>
            </w:r>
          </w:p>
        </w:tc>
        <w:tc>
          <w:tcPr>
            <w:tcW w:w="992" w:type="dxa"/>
            <w:noWrap w:val="0"/>
            <w:tcMar>
              <w:top w:w="12" w:type="dxa"/>
              <w:left w:w="12" w:type="dxa"/>
              <w:right w:w="12" w:type="dxa"/>
            </w:tcMar>
            <w:vAlign w:val="center"/>
          </w:tcPr>
          <w:p w14:paraId="0E4C458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查现场</w:t>
            </w:r>
          </w:p>
        </w:tc>
        <w:tc>
          <w:tcPr>
            <w:tcW w:w="2268" w:type="dxa"/>
            <w:gridSpan w:val="2"/>
            <w:noWrap w:val="0"/>
            <w:tcMar>
              <w:top w:w="12" w:type="dxa"/>
              <w:left w:w="12" w:type="dxa"/>
              <w:right w:w="12" w:type="dxa"/>
            </w:tcMar>
            <w:vAlign w:val="center"/>
          </w:tcPr>
          <w:p w14:paraId="78F35817">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《标牌》（GB/T 13306），《矿山安全标志》（GB 14161）</w:t>
            </w:r>
          </w:p>
        </w:tc>
        <w:tc>
          <w:tcPr>
            <w:tcW w:w="599" w:type="dxa"/>
            <w:noWrap w:val="0"/>
            <w:vAlign w:val="center"/>
          </w:tcPr>
          <w:p w14:paraId="7E8EF32B">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7F61C806">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4282D537">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4AE5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1020" w:hRule="atLeast"/>
          <w:jc w:val="center"/>
        </w:trPr>
        <w:tc>
          <w:tcPr>
            <w:tcW w:w="988" w:type="dxa"/>
            <w:vMerge w:val="continue"/>
            <w:noWrap w:val="0"/>
            <w:tcMar>
              <w:top w:w="12" w:type="dxa"/>
              <w:left w:w="12" w:type="dxa"/>
              <w:right w:w="12" w:type="dxa"/>
            </w:tcMar>
            <w:vAlign w:val="center"/>
          </w:tcPr>
          <w:p w14:paraId="49E42335">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2134CCF2">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gridSpan w:val="2"/>
            <w:noWrap w:val="0"/>
            <w:tcMar>
              <w:top w:w="12" w:type="dxa"/>
              <w:left w:w="12" w:type="dxa"/>
              <w:right w:w="12" w:type="dxa"/>
            </w:tcMar>
            <w:vAlign w:val="center"/>
          </w:tcPr>
          <w:p w14:paraId="22F36D4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4定置管理</w:t>
            </w:r>
          </w:p>
        </w:tc>
        <w:tc>
          <w:tcPr>
            <w:tcW w:w="850" w:type="dxa"/>
            <w:noWrap w:val="0"/>
            <w:tcMar>
              <w:top w:w="12" w:type="dxa"/>
              <w:left w:w="12" w:type="dxa"/>
              <w:right w:w="12" w:type="dxa"/>
            </w:tcMar>
            <w:vAlign w:val="center"/>
          </w:tcPr>
          <w:p w14:paraId="31954D30">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300AC687">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设备、物资材料规范管理，做到分类分区、摆放有序、堆码整齐。符合要求得2分，发现一处不符合扣0.5分。</w:t>
            </w:r>
          </w:p>
        </w:tc>
        <w:tc>
          <w:tcPr>
            <w:tcW w:w="992" w:type="dxa"/>
            <w:noWrap w:val="0"/>
            <w:tcMar>
              <w:top w:w="12" w:type="dxa"/>
              <w:left w:w="12" w:type="dxa"/>
              <w:right w:w="12" w:type="dxa"/>
            </w:tcMar>
            <w:vAlign w:val="center"/>
          </w:tcPr>
          <w:p w14:paraId="241398F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查现场</w:t>
            </w:r>
          </w:p>
        </w:tc>
        <w:tc>
          <w:tcPr>
            <w:tcW w:w="2268" w:type="dxa"/>
            <w:gridSpan w:val="2"/>
            <w:noWrap w:val="0"/>
            <w:tcMar>
              <w:top w:w="12" w:type="dxa"/>
              <w:left w:w="12" w:type="dxa"/>
              <w:right w:w="12" w:type="dxa"/>
            </w:tcMar>
            <w:vAlign w:val="center"/>
          </w:tcPr>
          <w:p w14:paraId="71780B4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p>
        </w:tc>
        <w:tc>
          <w:tcPr>
            <w:tcW w:w="599" w:type="dxa"/>
            <w:noWrap w:val="0"/>
            <w:vAlign w:val="center"/>
          </w:tcPr>
          <w:p w14:paraId="1BF7ECE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6477EF09">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63B56650">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09D4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1020" w:hRule="atLeast"/>
          <w:jc w:val="center"/>
        </w:trPr>
        <w:tc>
          <w:tcPr>
            <w:tcW w:w="988" w:type="dxa"/>
            <w:vMerge w:val="continue"/>
            <w:noWrap w:val="0"/>
            <w:tcMar>
              <w:top w:w="12" w:type="dxa"/>
              <w:left w:w="12" w:type="dxa"/>
              <w:right w:w="12" w:type="dxa"/>
            </w:tcMar>
            <w:vAlign w:val="center"/>
          </w:tcPr>
          <w:p w14:paraId="4256E229">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3F9307BD">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gridSpan w:val="2"/>
            <w:noWrap w:val="0"/>
            <w:tcMar>
              <w:top w:w="12" w:type="dxa"/>
              <w:left w:w="12" w:type="dxa"/>
              <w:right w:w="12" w:type="dxa"/>
            </w:tcMar>
            <w:vAlign w:val="center"/>
          </w:tcPr>
          <w:p w14:paraId="0A28C8CC">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5清洁卫生</w:t>
            </w:r>
          </w:p>
        </w:tc>
        <w:tc>
          <w:tcPr>
            <w:tcW w:w="850" w:type="dxa"/>
            <w:noWrap w:val="0"/>
            <w:tcMar>
              <w:top w:w="12" w:type="dxa"/>
              <w:left w:w="12" w:type="dxa"/>
              <w:right w:w="12" w:type="dxa"/>
            </w:tcMar>
            <w:vAlign w:val="center"/>
          </w:tcPr>
          <w:p w14:paraId="040661E4">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16D32CBF">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保持清洁卫生，主干道路表面平整、密实和粗糙度适当，内部道路或专用道路及时清理无洒落物，生产区及管理区无垃圾、无废石乱扔乱放，生产现场管线无跑、冒、滴、漏现象。符合要求得2分，发现一处不符合扣0.5分。</w:t>
            </w:r>
          </w:p>
        </w:tc>
        <w:tc>
          <w:tcPr>
            <w:tcW w:w="992" w:type="dxa"/>
            <w:noWrap w:val="0"/>
            <w:tcMar>
              <w:top w:w="12" w:type="dxa"/>
              <w:left w:w="12" w:type="dxa"/>
              <w:right w:w="12" w:type="dxa"/>
            </w:tcMar>
            <w:vAlign w:val="center"/>
          </w:tcPr>
          <w:p w14:paraId="7A2BF4CC">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查现场</w:t>
            </w:r>
          </w:p>
        </w:tc>
        <w:tc>
          <w:tcPr>
            <w:tcW w:w="2268" w:type="dxa"/>
            <w:gridSpan w:val="2"/>
            <w:noWrap w:val="0"/>
            <w:tcMar>
              <w:top w:w="12" w:type="dxa"/>
              <w:left w:w="12" w:type="dxa"/>
              <w:right w:w="12" w:type="dxa"/>
            </w:tcMar>
            <w:vAlign w:val="center"/>
          </w:tcPr>
          <w:p w14:paraId="4431ABE4">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《厂矿道路设计规范》（GBJ 22）</w:t>
            </w:r>
          </w:p>
        </w:tc>
        <w:tc>
          <w:tcPr>
            <w:tcW w:w="599" w:type="dxa"/>
            <w:noWrap w:val="0"/>
            <w:vAlign w:val="center"/>
          </w:tcPr>
          <w:p w14:paraId="508ED509">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3D65EF5D">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40AC5544">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2CA5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1020" w:hRule="atLeast"/>
          <w:jc w:val="center"/>
        </w:trPr>
        <w:tc>
          <w:tcPr>
            <w:tcW w:w="988" w:type="dxa"/>
            <w:vMerge w:val="continue"/>
            <w:noWrap w:val="0"/>
            <w:tcMar>
              <w:top w:w="12" w:type="dxa"/>
              <w:left w:w="12" w:type="dxa"/>
              <w:right w:w="12" w:type="dxa"/>
            </w:tcMar>
            <w:vAlign w:val="center"/>
          </w:tcPr>
          <w:p w14:paraId="669C8AE7">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restart"/>
            <w:noWrap w:val="0"/>
            <w:tcMar>
              <w:top w:w="12" w:type="dxa"/>
              <w:left w:w="12" w:type="dxa"/>
              <w:right w:w="12" w:type="dxa"/>
            </w:tcMar>
            <w:vAlign w:val="center"/>
          </w:tcPr>
          <w:p w14:paraId="5534BE8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2矿区绿化美化（3分）</w:t>
            </w:r>
          </w:p>
        </w:tc>
        <w:tc>
          <w:tcPr>
            <w:tcW w:w="1134" w:type="dxa"/>
            <w:gridSpan w:val="2"/>
            <w:noWrap w:val="0"/>
            <w:tcMar>
              <w:top w:w="12" w:type="dxa"/>
              <w:left w:w="12" w:type="dxa"/>
              <w:right w:w="12" w:type="dxa"/>
            </w:tcMar>
            <w:vAlign w:val="center"/>
          </w:tcPr>
          <w:p w14:paraId="1508D94C">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6矿区绿化</w:t>
            </w:r>
          </w:p>
        </w:tc>
        <w:tc>
          <w:tcPr>
            <w:tcW w:w="850" w:type="dxa"/>
            <w:noWrap w:val="0"/>
            <w:tcMar>
              <w:top w:w="12" w:type="dxa"/>
              <w:left w:w="12" w:type="dxa"/>
              <w:right w:w="12" w:type="dxa"/>
            </w:tcMar>
            <w:vAlign w:val="center"/>
          </w:tcPr>
          <w:p w14:paraId="4CB60277">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312737CC">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矿区可绿化区域实现全覆盖，且无大面积表土裸露。符合要求得2分，发现一处不符合扣0.5分。</w:t>
            </w:r>
          </w:p>
        </w:tc>
        <w:tc>
          <w:tcPr>
            <w:tcW w:w="992" w:type="dxa"/>
            <w:noWrap w:val="0"/>
            <w:tcMar>
              <w:top w:w="12" w:type="dxa"/>
              <w:left w:w="12" w:type="dxa"/>
              <w:right w:w="12" w:type="dxa"/>
            </w:tcMar>
            <w:vAlign w:val="center"/>
          </w:tcPr>
          <w:p w14:paraId="65C768F8">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查现场</w:t>
            </w:r>
          </w:p>
        </w:tc>
        <w:tc>
          <w:tcPr>
            <w:tcW w:w="2268" w:type="dxa"/>
            <w:gridSpan w:val="2"/>
            <w:noWrap w:val="0"/>
            <w:tcMar>
              <w:top w:w="12" w:type="dxa"/>
              <w:left w:w="12" w:type="dxa"/>
              <w:right w:w="12" w:type="dxa"/>
            </w:tcMar>
            <w:vAlign w:val="center"/>
          </w:tcPr>
          <w:p w14:paraId="35F728DD">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可绿化区域是指除采场、建筑覆盖区、硬化地面等不宜进行绿化区域以外的区域</w:t>
            </w:r>
          </w:p>
        </w:tc>
        <w:tc>
          <w:tcPr>
            <w:tcW w:w="599" w:type="dxa"/>
            <w:noWrap w:val="0"/>
            <w:vAlign w:val="center"/>
          </w:tcPr>
          <w:p w14:paraId="012396C9">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0694F10F">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031D92D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5CB1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gridAfter w:val="1"/>
          <w:wBefore w:w="16" w:type="dxa"/>
          <w:wAfter w:w="521" w:type="dxa"/>
          <w:trHeight w:val="1020" w:hRule="atLeast"/>
          <w:jc w:val="center"/>
        </w:trPr>
        <w:tc>
          <w:tcPr>
            <w:tcW w:w="988" w:type="dxa"/>
            <w:vMerge w:val="continue"/>
            <w:noWrap w:val="0"/>
            <w:tcMar>
              <w:top w:w="12" w:type="dxa"/>
              <w:left w:w="12" w:type="dxa"/>
              <w:right w:w="12" w:type="dxa"/>
            </w:tcMar>
            <w:vAlign w:val="center"/>
          </w:tcPr>
          <w:p w14:paraId="61ADF89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4B63D582">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4" w:type="dxa"/>
            <w:gridSpan w:val="2"/>
            <w:noWrap w:val="0"/>
            <w:tcMar>
              <w:top w:w="12" w:type="dxa"/>
              <w:left w:w="12" w:type="dxa"/>
              <w:right w:w="12" w:type="dxa"/>
            </w:tcMar>
            <w:vAlign w:val="center"/>
          </w:tcPr>
          <w:p w14:paraId="603CB4F8">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7绿化效果</w:t>
            </w:r>
          </w:p>
        </w:tc>
        <w:tc>
          <w:tcPr>
            <w:tcW w:w="850" w:type="dxa"/>
            <w:noWrap w:val="0"/>
            <w:tcMar>
              <w:top w:w="12" w:type="dxa"/>
              <w:left w:w="12" w:type="dxa"/>
              <w:right w:w="12" w:type="dxa"/>
            </w:tcMar>
            <w:vAlign w:val="center"/>
          </w:tcPr>
          <w:p w14:paraId="63A12A28">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579E7661">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绿化植物以本土物种为主，宜林则林、宜草则草，搭配合理，与周边环境协调一致，符合当地气候条件。绿化植物无严重枯枝黄叶、缺苗死苗。符合要求得1分，发现一处不符合扣0.5分。</w:t>
            </w:r>
          </w:p>
        </w:tc>
        <w:tc>
          <w:tcPr>
            <w:tcW w:w="992" w:type="dxa"/>
            <w:noWrap w:val="0"/>
            <w:tcMar>
              <w:top w:w="12" w:type="dxa"/>
              <w:left w:w="12" w:type="dxa"/>
              <w:right w:w="12" w:type="dxa"/>
            </w:tcMar>
            <w:vAlign w:val="center"/>
          </w:tcPr>
          <w:p w14:paraId="56A2819D">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68" w:type="dxa"/>
            <w:gridSpan w:val="2"/>
            <w:noWrap w:val="0"/>
            <w:tcMar>
              <w:top w:w="12" w:type="dxa"/>
              <w:left w:w="12" w:type="dxa"/>
              <w:right w:w="12" w:type="dxa"/>
            </w:tcMar>
            <w:vAlign w:val="center"/>
          </w:tcPr>
          <w:p w14:paraId="1DC11C87">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p>
        </w:tc>
        <w:tc>
          <w:tcPr>
            <w:tcW w:w="599" w:type="dxa"/>
            <w:noWrap w:val="0"/>
            <w:vAlign w:val="center"/>
          </w:tcPr>
          <w:p w14:paraId="51694CBA">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11" w:type="dxa"/>
            <w:noWrap w:val="0"/>
            <w:tcMar>
              <w:top w:w="12" w:type="dxa"/>
              <w:left w:w="12" w:type="dxa"/>
              <w:right w:w="12" w:type="dxa"/>
            </w:tcMar>
            <w:vAlign w:val="center"/>
          </w:tcPr>
          <w:p w14:paraId="40313613">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6" w:type="dxa"/>
            <w:noWrap w:val="0"/>
            <w:tcMar>
              <w:top w:w="12" w:type="dxa"/>
              <w:left w:w="12" w:type="dxa"/>
              <w:right w:w="12" w:type="dxa"/>
            </w:tcMar>
            <w:vAlign w:val="center"/>
          </w:tcPr>
          <w:p w14:paraId="7BF7DDC0">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bl>
    <w:p w14:paraId="7C74CAF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headerReference r:id="rId3" w:type="default"/>
          <w:footerReference r:id="rId4" w:type="default"/>
          <w:pgSz w:w="16838" w:h="11906" w:orient="landscape"/>
          <w:pgMar w:top="2098" w:right="1474" w:bottom="1984" w:left="1587" w:header="284" w:footer="283" w:gutter="0"/>
          <w:pgNumType w:fmt="decimal"/>
          <w:cols w:space="720" w:num="1"/>
          <w:docGrid w:type="lines" w:linePitch="435" w:charSpace="0"/>
        </w:sectPr>
      </w:pPr>
    </w:p>
    <w:tbl>
      <w:tblPr>
        <w:tblStyle w:val="5"/>
        <w:tblW w:w="14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3"/>
        <w:gridCol w:w="1116"/>
        <w:gridCol w:w="1116"/>
        <w:gridCol w:w="837"/>
        <w:gridCol w:w="5584"/>
        <w:gridCol w:w="977"/>
        <w:gridCol w:w="2233"/>
        <w:gridCol w:w="506"/>
        <w:gridCol w:w="587"/>
        <w:gridCol w:w="587"/>
      </w:tblGrid>
      <w:tr w14:paraId="0E55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4" w:hRule="atLeast"/>
          <w:jc w:val="center"/>
        </w:trPr>
        <w:tc>
          <w:tcPr>
            <w:tcW w:w="973" w:type="dxa"/>
            <w:vMerge w:val="restart"/>
            <w:noWrap w:val="0"/>
            <w:tcMar>
              <w:top w:w="12" w:type="dxa"/>
              <w:left w:w="12" w:type="dxa"/>
              <w:right w:w="12" w:type="dxa"/>
            </w:tcMar>
            <w:vAlign w:val="center"/>
          </w:tcPr>
          <w:p w14:paraId="4B6E2631">
            <w:pPr>
              <w:pStyle w:val="2"/>
              <w:keepNext w:val="0"/>
              <w:keepLines w:val="0"/>
              <w:pageBreakBefore w:val="0"/>
              <w:kinsoku/>
              <w:wordWrap/>
              <w:overflowPunct/>
              <w:topLinePunct w:val="0"/>
              <w:autoSpaceDE/>
              <w:autoSpaceDN/>
              <w:bidi w:val="0"/>
              <w:spacing w:line="240" w:lineRule="exact"/>
            </w:pPr>
          </w:p>
          <w:p w14:paraId="3454781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2EEE09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11D285C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C868D8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96F5EE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142E21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37401E0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8BF2C6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2E030A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38812D0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2F3E31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327302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B87A57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56257C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EB7ABA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bookmarkStart w:id="0" w:name="OLE_LINK3"/>
            <w:r>
              <w:rPr>
                <w:rFonts w:ascii="宋体" w:hAnsi="宋体" w:cs="Times New Roman"/>
                <w:color w:val="000000"/>
                <w:kern w:val="0"/>
                <w:sz w:val="21"/>
                <w:szCs w:val="21"/>
              </w:rPr>
              <w:t>二、资源开采（4项，20分）</w:t>
            </w:r>
          </w:p>
          <w:bookmarkEnd w:id="0"/>
          <w:p w14:paraId="7902E63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1993CBD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4D05C97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A6CCDC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3505DAB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3C5499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DA46B9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11856A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26F133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E5EE22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A2BE7A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287DE4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796543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3D985D4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BFE2D4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6569B1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326C90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210F785">
            <w:pPr>
              <w:pStyle w:val="2"/>
              <w:keepNext w:val="0"/>
              <w:keepLines w:val="0"/>
              <w:pageBreakBefore w:val="0"/>
              <w:kinsoku/>
              <w:wordWrap/>
              <w:overflowPunct/>
              <w:topLinePunct w:val="0"/>
              <w:autoSpaceDE/>
              <w:autoSpaceDN/>
              <w:bidi w:val="0"/>
              <w:spacing w:line="240" w:lineRule="exact"/>
              <w:rPr>
                <w:rFonts w:ascii="宋体" w:hAnsi="宋体"/>
                <w:sz w:val="21"/>
                <w:szCs w:val="13"/>
              </w:rPr>
            </w:pPr>
          </w:p>
          <w:p w14:paraId="78D4E77D">
            <w:pPr>
              <w:rPr>
                <w:rFonts w:ascii="宋体" w:hAnsi="宋体"/>
                <w:sz w:val="21"/>
                <w:szCs w:val="13"/>
              </w:rPr>
            </w:pPr>
          </w:p>
          <w:p w14:paraId="25CBE935">
            <w:pPr>
              <w:pStyle w:val="2"/>
            </w:pPr>
          </w:p>
          <w:p w14:paraId="4B519DE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47563DA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490D53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4D0DD2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二、资源开采（4项，20分）</w:t>
            </w:r>
          </w:p>
          <w:p w14:paraId="6E0BB82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D9E2D4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both"/>
              <w:rPr>
                <w:rFonts w:ascii="宋体" w:hAnsi="宋体" w:cs="Times New Roman"/>
                <w:color w:val="000000"/>
                <w:kern w:val="0"/>
                <w:sz w:val="21"/>
                <w:szCs w:val="21"/>
              </w:rPr>
            </w:pPr>
          </w:p>
          <w:p w14:paraId="0BF2805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D46E20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7634FD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0417EE7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752637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2A6F0CD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B942C7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vMerge w:val="restart"/>
            <w:noWrap w:val="0"/>
            <w:tcMar>
              <w:top w:w="12" w:type="dxa"/>
              <w:left w:w="12" w:type="dxa"/>
              <w:right w:w="12" w:type="dxa"/>
            </w:tcMar>
            <w:vAlign w:val="center"/>
          </w:tcPr>
          <w:p w14:paraId="4FB6137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1开采活动（15分）</w:t>
            </w:r>
          </w:p>
        </w:tc>
        <w:tc>
          <w:tcPr>
            <w:tcW w:w="1116" w:type="dxa"/>
            <w:noWrap w:val="0"/>
            <w:tcMar>
              <w:top w:w="12" w:type="dxa"/>
              <w:left w:w="12" w:type="dxa"/>
              <w:right w:w="12" w:type="dxa"/>
            </w:tcMar>
            <w:vAlign w:val="center"/>
          </w:tcPr>
          <w:p w14:paraId="3E8DD80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8开采方式</w:t>
            </w:r>
          </w:p>
        </w:tc>
        <w:tc>
          <w:tcPr>
            <w:tcW w:w="837" w:type="dxa"/>
            <w:noWrap w:val="0"/>
            <w:tcMar>
              <w:top w:w="12" w:type="dxa"/>
              <w:left w:w="12" w:type="dxa"/>
              <w:right w:w="12" w:type="dxa"/>
            </w:tcMar>
            <w:vAlign w:val="center"/>
          </w:tcPr>
          <w:p w14:paraId="6783751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5</w:t>
            </w:r>
          </w:p>
        </w:tc>
        <w:tc>
          <w:tcPr>
            <w:tcW w:w="5584" w:type="dxa"/>
            <w:noWrap w:val="0"/>
            <w:tcMar>
              <w:top w:w="12" w:type="dxa"/>
              <w:left w:w="12" w:type="dxa"/>
              <w:right w:w="12" w:type="dxa"/>
            </w:tcMar>
            <w:vAlign w:val="center"/>
          </w:tcPr>
          <w:p w14:paraId="52D7648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露天开采：</w:t>
            </w:r>
          </w:p>
          <w:p w14:paraId="5F19B0A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露天开采采用自上而下分台阶开采，符合开采设计要求。坚持采剥并举、剥离先行的原则，优化开采布局，选择合理工艺，科学制定采排计划，尽量减少对地表的破坏。</w:t>
            </w:r>
          </w:p>
          <w:p w14:paraId="68221C1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地下开采：</w:t>
            </w:r>
          </w:p>
          <w:p w14:paraId="20C372E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地下开采方法和顺序合理，符合开采设计要求，开采技术符合生态环境保护要求。</w:t>
            </w:r>
          </w:p>
          <w:p w14:paraId="1F3AF73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符合要求得5分，不符合得0分。</w:t>
            </w:r>
          </w:p>
        </w:tc>
        <w:tc>
          <w:tcPr>
            <w:tcW w:w="977" w:type="dxa"/>
            <w:noWrap w:val="0"/>
            <w:tcMar>
              <w:top w:w="12" w:type="dxa"/>
              <w:left w:w="12" w:type="dxa"/>
              <w:right w:w="12" w:type="dxa"/>
            </w:tcMar>
            <w:vAlign w:val="center"/>
          </w:tcPr>
          <w:p w14:paraId="18B7972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33" w:type="dxa"/>
            <w:noWrap w:val="0"/>
            <w:tcMar>
              <w:top w:w="12" w:type="dxa"/>
              <w:left w:w="12" w:type="dxa"/>
              <w:right w:w="12" w:type="dxa"/>
            </w:tcMar>
            <w:vAlign w:val="center"/>
          </w:tcPr>
          <w:p w14:paraId="5264713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开采设计</w:t>
            </w:r>
          </w:p>
        </w:tc>
        <w:tc>
          <w:tcPr>
            <w:tcW w:w="506" w:type="dxa"/>
            <w:noWrap w:val="0"/>
            <w:vAlign w:val="center"/>
          </w:tcPr>
          <w:p w14:paraId="34EFAD6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7" w:type="dxa"/>
            <w:noWrap w:val="0"/>
            <w:tcMar>
              <w:top w:w="12" w:type="dxa"/>
              <w:left w:w="12" w:type="dxa"/>
              <w:right w:w="12" w:type="dxa"/>
            </w:tcMar>
            <w:vAlign w:val="center"/>
          </w:tcPr>
          <w:p w14:paraId="50C14E6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7" w:type="dxa"/>
            <w:noWrap w:val="0"/>
            <w:tcMar>
              <w:top w:w="12" w:type="dxa"/>
              <w:left w:w="12" w:type="dxa"/>
              <w:right w:w="12" w:type="dxa"/>
            </w:tcMar>
            <w:vAlign w:val="center"/>
          </w:tcPr>
          <w:p w14:paraId="41F6891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4410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61" w:hRule="atLeast"/>
          <w:jc w:val="center"/>
        </w:trPr>
        <w:tc>
          <w:tcPr>
            <w:tcW w:w="973" w:type="dxa"/>
            <w:vMerge w:val="continue"/>
            <w:noWrap w:val="0"/>
            <w:tcMar>
              <w:top w:w="12" w:type="dxa"/>
              <w:left w:w="12" w:type="dxa"/>
              <w:right w:w="12" w:type="dxa"/>
            </w:tcMar>
            <w:vAlign w:val="center"/>
          </w:tcPr>
          <w:p w14:paraId="170155C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vMerge w:val="continue"/>
            <w:noWrap w:val="0"/>
            <w:tcMar>
              <w:top w:w="12" w:type="dxa"/>
              <w:left w:w="12" w:type="dxa"/>
              <w:right w:w="12" w:type="dxa"/>
            </w:tcMar>
            <w:vAlign w:val="center"/>
          </w:tcPr>
          <w:p w14:paraId="7A7D977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noWrap w:val="0"/>
            <w:tcMar>
              <w:top w:w="12" w:type="dxa"/>
              <w:left w:w="12" w:type="dxa"/>
              <w:right w:w="12" w:type="dxa"/>
            </w:tcMar>
            <w:vAlign w:val="center"/>
          </w:tcPr>
          <w:p w14:paraId="4256BE0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9开采技术</w:t>
            </w:r>
          </w:p>
        </w:tc>
        <w:tc>
          <w:tcPr>
            <w:tcW w:w="837" w:type="dxa"/>
            <w:noWrap w:val="0"/>
            <w:tcMar>
              <w:top w:w="12" w:type="dxa"/>
              <w:left w:w="12" w:type="dxa"/>
              <w:right w:w="12" w:type="dxa"/>
            </w:tcMar>
            <w:vAlign w:val="center"/>
          </w:tcPr>
          <w:p w14:paraId="43DDBBA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8</w:t>
            </w:r>
          </w:p>
        </w:tc>
        <w:tc>
          <w:tcPr>
            <w:tcW w:w="5584" w:type="dxa"/>
            <w:noWrap w:val="0"/>
            <w:tcMar>
              <w:top w:w="12" w:type="dxa"/>
              <w:left w:w="12" w:type="dxa"/>
              <w:right w:w="12" w:type="dxa"/>
            </w:tcMar>
            <w:vAlign w:val="center"/>
          </w:tcPr>
          <w:p w14:paraId="7F7201E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露天开采：</w:t>
            </w:r>
          </w:p>
          <w:p w14:paraId="2A8FD8A3">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钻孔：采用湿式、干式（带收尘）等凿岩作业</w:t>
            </w:r>
            <w:r>
              <w:rPr>
                <w:rFonts w:ascii="宋体" w:hAnsi="宋体" w:cs="Times New Roman"/>
                <w:color w:val="000000"/>
                <w:kern w:val="0"/>
                <w:sz w:val="21"/>
                <w:szCs w:val="21"/>
              </w:rPr>
              <w:t>，得2分</w:t>
            </w:r>
            <w:r>
              <w:rPr>
                <w:rFonts w:ascii="宋体" w:hAnsi="宋体" w:cs="Times New Roman"/>
                <w:color w:val="000000"/>
                <w:kern w:val="0"/>
                <w:sz w:val="21"/>
                <w:szCs w:val="21"/>
                <w:lang w:bidi="ar"/>
              </w:rPr>
              <w:t>；</w:t>
            </w:r>
          </w:p>
          <w:p w14:paraId="50FD94C7">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②</w:t>
            </w:r>
            <w:r>
              <w:rPr>
                <w:rFonts w:ascii="宋体" w:hAnsi="宋体" w:cs="Times New Roman"/>
                <w:color w:val="000000"/>
                <w:kern w:val="0"/>
                <w:sz w:val="21"/>
                <w:szCs w:val="21"/>
                <w:lang w:bidi="ar"/>
              </w:rPr>
              <w:t>爆破：采用微差爆破、预裂爆破、光面爆破等爆破作业</w:t>
            </w:r>
            <w:r>
              <w:rPr>
                <w:rFonts w:ascii="宋体" w:hAnsi="宋体" w:cs="Times New Roman"/>
                <w:color w:val="000000"/>
                <w:kern w:val="0"/>
                <w:sz w:val="21"/>
                <w:szCs w:val="21"/>
              </w:rPr>
              <w:t>，得2分</w:t>
            </w:r>
            <w:r>
              <w:rPr>
                <w:rFonts w:ascii="宋体" w:hAnsi="宋体" w:cs="Times New Roman"/>
                <w:color w:val="000000"/>
                <w:kern w:val="0"/>
                <w:sz w:val="21"/>
                <w:szCs w:val="21"/>
                <w:lang w:bidi="ar"/>
              </w:rPr>
              <w:t>；</w:t>
            </w:r>
          </w:p>
          <w:p w14:paraId="17BD74A7">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③</w:t>
            </w:r>
            <w:r>
              <w:rPr>
                <w:rFonts w:ascii="宋体" w:hAnsi="宋体" w:cs="Times New Roman"/>
                <w:color w:val="000000"/>
                <w:kern w:val="0"/>
                <w:sz w:val="21"/>
                <w:szCs w:val="21"/>
                <w:lang w:bidi="ar"/>
              </w:rPr>
              <w:t>铲装：采用大型化自动化液压铲装设备、液压挖掘机或装载机、自卸式矿车、大型自移式破碎机等先进设备进行铲装作业</w:t>
            </w:r>
            <w:r>
              <w:rPr>
                <w:rFonts w:ascii="宋体" w:hAnsi="宋体" w:cs="Times New Roman"/>
                <w:color w:val="000000"/>
                <w:kern w:val="0"/>
                <w:sz w:val="21"/>
                <w:szCs w:val="21"/>
              </w:rPr>
              <w:t>，得2分</w:t>
            </w:r>
            <w:r>
              <w:rPr>
                <w:rFonts w:ascii="宋体" w:hAnsi="宋体" w:cs="Times New Roman"/>
                <w:color w:val="000000"/>
                <w:kern w:val="0"/>
                <w:sz w:val="21"/>
                <w:szCs w:val="21"/>
                <w:lang w:bidi="ar"/>
              </w:rPr>
              <w:t>；</w:t>
            </w:r>
          </w:p>
          <w:p w14:paraId="4262ED7B">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④</w:t>
            </w:r>
            <w:r>
              <w:rPr>
                <w:rFonts w:ascii="宋体" w:hAnsi="宋体" w:cs="Times New Roman"/>
                <w:color w:val="000000"/>
                <w:kern w:val="0"/>
                <w:sz w:val="21"/>
                <w:szCs w:val="21"/>
                <w:lang w:bidi="ar"/>
              </w:rPr>
              <w:t>排土：生产期采用分期内排技术，最大化利用内排土场排土，减少外部土地占用</w:t>
            </w:r>
            <w:r>
              <w:rPr>
                <w:rFonts w:ascii="宋体" w:hAnsi="宋体" w:cs="Times New Roman"/>
                <w:color w:val="000000"/>
                <w:kern w:val="0"/>
                <w:sz w:val="21"/>
                <w:szCs w:val="21"/>
              </w:rPr>
              <w:t>，得2分</w:t>
            </w:r>
            <w:r>
              <w:rPr>
                <w:rFonts w:ascii="宋体" w:hAnsi="宋体" w:cs="Times New Roman"/>
                <w:color w:val="000000"/>
                <w:kern w:val="0"/>
                <w:sz w:val="21"/>
                <w:szCs w:val="21"/>
                <w:lang w:bidi="ar"/>
              </w:rPr>
              <w:t>。</w:t>
            </w:r>
          </w:p>
          <w:p w14:paraId="6E966485">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lang w:bidi="ar"/>
              </w:rPr>
              <w:t>（兼备地下和露天开采的，以现阶段主要开采方式选择其一进行评分，分数不可累加）</w:t>
            </w:r>
          </w:p>
          <w:p w14:paraId="27249EF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地下开采：</w:t>
            </w:r>
          </w:p>
          <w:p w14:paraId="30A5DFD1">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采用减轻地表沉陷变形、减少对土壤和地下水污染的开采方式，</w:t>
            </w:r>
            <w:r>
              <w:rPr>
                <w:rFonts w:ascii="宋体" w:hAnsi="宋体" w:cs="Times New Roman"/>
                <w:color w:val="000000"/>
                <w:kern w:val="0"/>
                <w:sz w:val="21"/>
                <w:szCs w:val="21"/>
              </w:rPr>
              <w:t>得3分</w:t>
            </w:r>
            <w:r>
              <w:rPr>
                <w:rFonts w:ascii="宋体" w:hAnsi="宋体" w:cs="Times New Roman"/>
                <w:color w:val="000000"/>
                <w:kern w:val="0"/>
                <w:sz w:val="21"/>
                <w:szCs w:val="21"/>
                <w:lang w:bidi="ar"/>
              </w:rPr>
              <w:t>；</w:t>
            </w:r>
          </w:p>
          <w:p w14:paraId="293A60E8">
            <w:pPr>
              <w:keepNext w:val="0"/>
              <w:keepLines w:val="0"/>
              <w:pageBreakBefore w:val="0"/>
              <w:widowControl/>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hint="eastAsia" w:ascii="宋体" w:hAnsi="宋体" w:eastAsia="宋体" w:cs="宋体"/>
                <w:color w:val="000000"/>
                <w:kern w:val="0"/>
                <w:sz w:val="21"/>
                <w:szCs w:val="21"/>
              </w:rPr>
              <w:t>②</w:t>
            </w:r>
            <w:r>
              <w:rPr>
                <w:rFonts w:ascii="宋体" w:hAnsi="宋体" w:cs="Times New Roman"/>
                <w:color w:val="000000"/>
                <w:kern w:val="0"/>
                <w:sz w:val="21"/>
                <w:szCs w:val="21"/>
                <w:lang w:bidi="ar"/>
              </w:rPr>
              <w:t>利用采空区规模化环保化处置尾矿、废石、煤矸石等，</w:t>
            </w:r>
            <w:r>
              <w:rPr>
                <w:rFonts w:ascii="宋体" w:hAnsi="宋体" w:cs="Times New Roman"/>
                <w:color w:val="000000"/>
                <w:kern w:val="0"/>
                <w:sz w:val="21"/>
                <w:szCs w:val="21"/>
              </w:rPr>
              <w:t>得3分</w:t>
            </w:r>
            <w:r>
              <w:rPr>
                <w:rFonts w:ascii="宋体" w:hAnsi="宋体" w:cs="Times New Roman"/>
                <w:color w:val="000000"/>
                <w:kern w:val="0"/>
                <w:sz w:val="21"/>
                <w:szCs w:val="21"/>
                <w:lang w:bidi="ar"/>
              </w:rPr>
              <w:t>；</w:t>
            </w:r>
          </w:p>
          <w:p w14:paraId="3E8A086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hint="eastAsia" w:ascii="宋体" w:hAnsi="宋体" w:eastAsia="宋体" w:cs="宋体"/>
                <w:color w:val="000000"/>
                <w:kern w:val="0"/>
                <w:sz w:val="21"/>
                <w:szCs w:val="21"/>
              </w:rPr>
              <w:t>③</w:t>
            </w:r>
            <w:r>
              <w:rPr>
                <w:rFonts w:ascii="宋体" w:hAnsi="宋体" w:cs="Times New Roman"/>
                <w:color w:val="000000"/>
                <w:kern w:val="0"/>
                <w:sz w:val="21"/>
                <w:szCs w:val="21"/>
              </w:rPr>
              <w:t>应用其他无废开采、深部开采等先进开采技术，得2分。</w:t>
            </w:r>
          </w:p>
          <w:p w14:paraId="33B5E6B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ascii="宋体" w:hAnsi="宋体" w:cs="Times New Roman"/>
                <w:color w:val="000000"/>
                <w:kern w:val="0"/>
                <w:sz w:val="21"/>
                <w:szCs w:val="21"/>
                <w:lang w:bidi="ar"/>
              </w:rPr>
              <w:t>（兼备地下和露天开采的，以现阶段主要开采方式选择其一进行评分，分数不可累加）</w:t>
            </w:r>
          </w:p>
          <w:p w14:paraId="3B9CCFE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w:t>
            </w:r>
            <w:r>
              <w:rPr>
                <w:rFonts w:ascii="宋体" w:hAnsi="宋体" w:cs="Times New Roman"/>
                <w:color w:val="000000"/>
                <w:kern w:val="0"/>
                <w:sz w:val="21"/>
                <w:szCs w:val="21"/>
              </w:rPr>
              <w:t>石油天然气、地热矿泉水等：</w:t>
            </w:r>
          </w:p>
          <w:p w14:paraId="7532C39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hint="eastAsia" w:ascii="宋体" w:hAnsi="宋体" w:eastAsia="宋体" w:cs="宋体"/>
                <w:color w:val="000000"/>
                <w:kern w:val="0"/>
                <w:sz w:val="21"/>
                <w:szCs w:val="21"/>
              </w:rPr>
              <w:t>①</w:t>
            </w:r>
            <w:r>
              <w:rPr>
                <w:rFonts w:ascii="宋体" w:hAnsi="宋体" w:cs="Times New Roman"/>
                <w:color w:val="000000"/>
                <w:kern w:val="0"/>
                <w:sz w:val="21"/>
                <w:szCs w:val="21"/>
              </w:rPr>
              <w:t>采用电动钻机及顶驱等钻井装置</w:t>
            </w:r>
            <w:r>
              <w:rPr>
                <w:rFonts w:ascii="宋体" w:hAnsi="宋体" w:cs="Times New Roman"/>
                <w:color w:val="000000"/>
                <w:kern w:val="0"/>
                <w:sz w:val="21"/>
                <w:szCs w:val="21"/>
                <w:lang w:bidi="ar"/>
              </w:rPr>
              <w:t>，</w:t>
            </w:r>
            <w:r>
              <w:rPr>
                <w:rFonts w:ascii="宋体" w:hAnsi="宋体" w:cs="Times New Roman"/>
                <w:color w:val="000000"/>
                <w:kern w:val="0"/>
                <w:sz w:val="21"/>
                <w:szCs w:val="21"/>
              </w:rPr>
              <w:t>得2分；</w:t>
            </w:r>
          </w:p>
          <w:p w14:paraId="417931C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hint="eastAsia" w:ascii="宋体" w:hAnsi="宋体" w:eastAsia="宋体" w:cs="宋体"/>
                <w:color w:val="000000"/>
                <w:kern w:val="0"/>
                <w:sz w:val="21"/>
                <w:szCs w:val="21"/>
              </w:rPr>
              <w:t>②</w:t>
            </w:r>
            <w:r>
              <w:rPr>
                <w:rFonts w:ascii="宋体" w:hAnsi="宋体" w:cs="Times New Roman"/>
                <w:color w:val="000000"/>
                <w:kern w:val="0"/>
                <w:sz w:val="21"/>
                <w:szCs w:val="21"/>
              </w:rPr>
              <w:t>采用优快、控压等钻井技术</w:t>
            </w:r>
            <w:r>
              <w:rPr>
                <w:rFonts w:ascii="宋体" w:hAnsi="宋体" w:cs="Times New Roman"/>
                <w:color w:val="000000"/>
                <w:kern w:val="0"/>
                <w:sz w:val="21"/>
                <w:szCs w:val="21"/>
                <w:lang w:bidi="ar"/>
              </w:rPr>
              <w:t>，</w:t>
            </w:r>
            <w:r>
              <w:rPr>
                <w:rFonts w:ascii="宋体" w:hAnsi="宋体" w:cs="Times New Roman"/>
                <w:color w:val="000000"/>
                <w:kern w:val="0"/>
                <w:sz w:val="21"/>
                <w:szCs w:val="21"/>
              </w:rPr>
              <w:t>得2分；</w:t>
            </w:r>
          </w:p>
          <w:p w14:paraId="4481560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hint="eastAsia" w:ascii="宋体" w:hAnsi="宋体" w:eastAsia="宋体" w:cs="宋体"/>
                <w:color w:val="000000"/>
                <w:kern w:val="0"/>
                <w:sz w:val="21"/>
                <w:szCs w:val="21"/>
              </w:rPr>
              <w:t>③</w:t>
            </w:r>
            <w:r>
              <w:rPr>
                <w:rFonts w:ascii="宋体" w:hAnsi="宋体" w:cs="Times New Roman"/>
                <w:color w:val="000000"/>
                <w:kern w:val="0"/>
                <w:sz w:val="21"/>
                <w:szCs w:val="21"/>
              </w:rPr>
              <w:t>采用环保型钻井液及循环利用技术</w:t>
            </w:r>
            <w:r>
              <w:rPr>
                <w:rFonts w:ascii="宋体" w:hAnsi="宋体" w:cs="Times New Roman"/>
                <w:color w:val="000000"/>
                <w:kern w:val="0"/>
                <w:sz w:val="21"/>
                <w:szCs w:val="21"/>
                <w:lang w:bidi="ar"/>
              </w:rPr>
              <w:t>，</w:t>
            </w:r>
            <w:r>
              <w:rPr>
                <w:rFonts w:ascii="宋体" w:hAnsi="宋体" w:cs="Times New Roman"/>
                <w:color w:val="000000"/>
                <w:kern w:val="0"/>
                <w:sz w:val="21"/>
                <w:szCs w:val="21"/>
              </w:rPr>
              <w:t>得2分；</w:t>
            </w:r>
          </w:p>
          <w:p w14:paraId="787A8305">
            <w:pPr>
              <w:keepNext w:val="0"/>
              <w:keepLines w:val="0"/>
              <w:pageBreakBefore w:val="0"/>
              <w:widowControl w:val="0"/>
              <w:kinsoku/>
              <w:wordWrap/>
              <w:overflowPunct/>
              <w:topLinePunct w:val="0"/>
              <w:autoSpaceDE/>
              <w:autoSpaceDN/>
              <w:bidi w:val="0"/>
              <w:spacing w:line="240" w:lineRule="exact"/>
              <w:ind w:firstLine="0" w:firstLineChars="0"/>
              <w:rPr>
                <w:rFonts w:ascii="宋体" w:hAnsi="宋体" w:cs="Times New Roman"/>
                <w:color w:val="000000"/>
                <w:kern w:val="0"/>
                <w:sz w:val="21"/>
                <w:szCs w:val="21"/>
              </w:rPr>
            </w:pPr>
            <w:r>
              <w:rPr>
                <w:rFonts w:hint="eastAsia" w:ascii="宋体" w:hAnsi="宋体" w:eastAsia="宋体" w:cs="宋体"/>
                <w:color w:val="000000"/>
                <w:kern w:val="0"/>
                <w:sz w:val="21"/>
                <w:szCs w:val="21"/>
              </w:rPr>
              <w:t>④</w:t>
            </w:r>
            <w:r>
              <w:rPr>
                <w:rFonts w:ascii="宋体" w:hAnsi="宋体" w:cs="Times New Roman"/>
                <w:color w:val="000000"/>
                <w:kern w:val="0"/>
                <w:sz w:val="21"/>
                <w:szCs w:val="21"/>
              </w:rPr>
              <w:t>及时无害化处置钻井泥浆等钻井废弃物</w:t>
            </w:r>
            <w:r>
              <w:rPr>
                <w:rFonts w:ascii="宋体" w:hAnsi="宋体" w:cs="Times New Roman"/>
                <w:color w:val="000000"/>
                <w:kern w:val="0"/>
                <w:sz w:val="21"/>
                <w:szCs w:val="21"/>
                <w:lang w:bidi="ar"/>
              </w:rPr>
              <w:t>，</w:t>
            </w:r>
            <w:r>
              <w:rPr>
                <w:rFonts w:ascii="宋体" w:hAnsi="宋体" w:cs="Times New Roman"/>
                <w:color w:val="000000"/>
                <w:kern w:val="0"/>
                <w:sz w:val="21"/>
                <w:szCs w:val="21"/>
              </w:rPr>
              <w:t>得2分。</w:t>
            </w:r>
          </w:p>
        </w:tc>
        <w:tc>
          <w:tcPr>
            <w:tcW w:w="977" w:type="dxa"/>
            <w:noWrap w:val="0"/>
            <w:tcMar>
              <w:top w:w="12" w:type="dxa"/>
              <w:left w:w="12" w:type="dxa"/>
              <w:right w:w="12" w:type="dxa"/>
            </w:tcMar>
            <w:vAlign w:val="center"/>
          </w:tcPr>
          <w:p w14:paraId="2F8069B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33" w:type="dxa"/>
            <w:noWrap w:val="0"/>
            <w:tcMar>
              <w:top w:w="12" w:type="dxa"/>
              <w:left w:w="12" w:type="dxa"/>
              <w:right w:w="12" w:type="dxa"/>
            </w:tcMar>
            <w:vAlign w:val="center"/>
          </w:tcPr>
          <w:p w14:paraId="77C1A24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工艺技术装备资料</w:t>
            </w:r>
          </w:p>
        </w:tc>
        <w:tc>
          <w:tcPr>
            <w:tcW w:w="506" w:type="dxa"/>
            <w:noWrap w:val="0"/>
            <w:vAlign w:val="center"/>
          </w:tcPr>
          <w:p w14:paraId="4F5B63C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7" w:type="dxa"/>
            <w:noWrap w:val="0"/>
            <w:tcMar>
              <w:top w:w="12" w:type="dxa"/>
              <w:left w:w="12" w:type="dxa"/>
              <w:right w:w="12" w:type="dxa"/>
            </w:tcMar>
            <w:vAlign w:val="center"/>
          </w:tcPr>
          <w:p w14:paraId="4761EC0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7" w:type="dxa"/>
            <w:noWrap w:val="0"/>
            <w:tcMar>
              <w:top w:w="12" w:type="dxa"/>
              <w:left w:w="12" w:type="dxa"/>
              <w:right w:w="12" w:type="dxa"/>
            </w:tcMar>
            <w:vAlign w:val="center"/>
          </w:tcPr>
          <w:p w14:paraId="398825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2A14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0" w:hRule="atLeast"/>
          <w:jc w:val="center"/>
        </w:trPr>
        <w:tc>
          <w:tcPr>
            <w:tcW w:w="973" w:type="dxa"/>
            <w:vMerge w:val="continue"/>
            <w:noWrap w:val="0"/>
            <w:tcMar>
              <w:top w:w="12" w:type="dxa"/>
              <w:left w:w="12" w:type="dxa"/>
              <w:right w:w="12" w:type="dxa"/>
            </w:tcMar>
            <w:vAlign w:val="center"/>
          </w:tcPr>
          <w:p w14:paraId="331F8B4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vMerge w:val="continue"/>
            <w:noWrap w:val="0"/>
            <w:tcMar>
              <w:top w:w="12" w:type="dxa"/>
              <w:left w:w="12" w:type="dxa"/>
              <w:right w:w="12" w:type="dxa"/>
            </w:tcMar>
            <w:vAlign w:val="center"/>
          </w:tcPr>
          <w:p w14:paraId="1084087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noWrap w:val="0"/>
            <w:tcMar>
              <w:top w:w="12" w:type="dxa"/>
              <w:left w:w="12" w:type="dxa"/>
              <w:right w:w="12" w:type="dxa"/>
            </w:tcMar>
            <w:vAlign w:val="center"/>
          </w:tcPr>
          <w:p w14:paraId="6F6CA93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10开采回采率</w:t>
            </w:r>
          </w:p>
        </w:tc>
        <w:tc>
          <w:tcPr>
            <w:tcW w:w="837" w:type="dxa"/>
            <w:noWrap w:val="0"/>
            <w:tcMar>
              <w:top w:w="12" w:type="dxa"/>
              <w:left w:w="12" w:type="dxa"/>
              <w:right w:w="12" w:type="dxa"/>
            </w:tcMar>
            <w:vAlign w:val="center"/>
          </w:tcPr>
          <w:p w14:paraId="398E693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584" w:type="dxa"/>
            <w:noWrap w:val="0"/>
            <w:tcMar>
              <w:top w:w="12" w:type="dxa"/>
              <w:left w:w="12" w:type="dxa"/>
              <w:right w:w="12" w:type="dxa"/>
            </w:tcMar>
            <w:vAlign w:val="center"/>
          </w:tcPr>
          <w:p w14:paraId="29AAEF0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开采回采率符合矿产资源合理开发利用“三率”指标最低要求。</w:t>
            </w:r>
            <w:r>
              <w:rPr>
                <w:rFonts w:hint="eastAsia" w:ascii="宋体" w:hAnsi="宋体" w:cs="Times New Roman"/>
                <w:color w:val="000000"/>
                <w:kern w:val="0"/>
                <w:sz w:val="21"/>
                <w:szCs w:val="21"/>
              </w:rPr>
              <w:t>符合要求得2分，不符合得0分。</w:t>
            </w:r>
          </w:p>
        </w:tc>
        <w:tc>
          <w:tcPr>
            <w:tcW w:w="977" w:type="dxa"/>
            <w:noWrap w:val="0"/>
            <w:tcMar>
              <w:top w:w="12" w:type="dxa"/>
              <w:left w:w="12" w:type="dxa"/>
              <w:right w:w="12" w:type="dxa"/>
            </w:tcMar>
            <w:vAlign w:val="center"/>
          </w:tcPr>
          <w:p w14:paraId="08EC456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lang w:bidi="ar"/>
              </w:rPr>
              <w:t>查资料</w:t>
            </w:r>
          </w:p>
        </w:tc>
        <w:tc>
          <w:tcPr>
            <w:tcW w:w="2233" w:type="dxa"/>
            <w:noWrap w:val="0"/>
            <w:tcMar>
              <w:top w:w="12" w:type="dxa"/>
              <w:left w:w="12" w:type="dxa"/>
              <w:right w:w="12" w:type="dxa"/>
            </w:tcMar>
            <w:vAlign w:val="center"/>
          </w:tcPr>
          <w:p w14:paraId="7463081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自然资源部发布的“三率”指标要求（矿产资源“三率”指标要求 DZ/T 0462）</w:t>
            </w:r>
          </w:p>
        </w:tc>
        <w:tc>
          <w:tcPr>
            <w:tcW w:w="506" w:type="dxa"/>
            <w:noWrap w:val="0"/>
            <w:vAlign w:val="center"/>
          </w:tcPr>
          <w:p w14:paraId="745D4DE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7" w:type="dxa"/>
            <w:noWrap w:val="0"/>
            <w:tcMar>
              <w:top w:w="12" w:type="dxa"/>
              <w:left w:w="12" w:type="dxa"/>
              <w:right w:w="12" w:type="dxa"/>
            </w:tcMar>
            <w:vAlign w:val="center"/>
          </w:tcPr>
          <w:p w14:paraId="357B82D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7" w:type="dxa"/>
            <w:noWrap w:val="0"/>
            <w:tcMar>
              <w:top w:w="12" w:type="dxa"/>
              <w:left w:w="12" w:type="dxa"/>
              <w:right w:w="12" w:type="dxa"/>
            </w:tcMar>
            <w:vAlign w:val="center"/>
          </w:tcPr>
          <w:p w14:paraId="6075DAB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6A924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4" w:hRule="atLeast"/>
          <w:jc w:val="center"/>
        </w:trPr>
        <w:tc>
          <w:tcPr>
            <w:tcW w:w="973" w:type="dxa"/>
            <w:vMerge w:val="continue"/>
            <w:noWrap w:val="0"/>
            <w:tcMar>
              <w:top w:w="12" w:type="dxa"/>
              <w:left w:w="12" w:type="dxa"/>
              <w:right w:w="12" w:type="dxa"/>
            </w:tcMar>
            <w:vAlign w:val="center"/>
          </w:tcPr>
          <w:p w14:paraId="7DF2B46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6" w:type="dxa"/>
            <w:noWrap w:val="0"/>
            <w:tcMar>
              <w:top w:w="12" w:type="dxa"/>
              <w:left w:w="12" w:type="dxa"/>
              <w:right w:w="12" w:type="dxa"/>
            </w:tcMar>
            <w:vAlign w:val="center"/>
          </w:tcPr>
          <w:p w14:paraId="412514E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2开采工作面（5分）</w:t>
            </w:r>
          </w:p>
        </w:tc>
        <w:tc>
          <w:tcPr>
            <w:tcW w:w="1116" w:type="dxa"/>
            <w:noWrap w:val="0"/>
            <w:tcMar>
              <w:top w:w="12" w:type="dxa"/>
              <w:left w:w="12" w:type="dxa"/>
              <w:right w:w="12" w:type="dxa"/>
            </w:tcMar>
            <w:vAlign w:val="center"/>
          </w:tcPr>
          <w:p w14:paraId="6CCD1F1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11质量要求</w:t>
            </w:r>
          </w:p>
        </w:tc>
        <w:tc>
          <w:tcPr>
            <w:tcW w:w="837" w:type="dxa"/>
            <w:noWrap w:val="0"/>
            <w:tcMar>
              <w:top w:w="12" w:type="dxa"/>
              <w:left w:w="12" w:type="dxa"/>
              <w:right w:w="12" w:type="dxa"/>
            </w:tcMar>
            <w:vAlign w:val="center"/>
          </w:tcPr>
          <w:p w14:paraId="013E560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5</w:t>
            </w:r>
          </w:p>
        </w:tc>
        <w:tc>
          <w:tcPr>
            <w:tcW w:w="5584" w:type="dxa"/>
            <w:noWrap w:val="0"/>
            <w:tcMar>
              <w:top w:w="12" w:type="dxa"/>
              <w:left w:w="12" w:type="dxa"/>
              <w:right w:w="12" w:type="dxa"/>
            </w:tcMar>
            <w:vAlign w:val="center"/>
          </w:tcPr>
          <w:p w14:paraId="05444AE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露天开采：</w:t>
            </w:r>
          </w:p>
          <w:p w14:paraId="609661D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作业平台干净，保持平整、通畅，无杂物、无积水，工作台阶与非工作台阶坡面无危石，非工作台阶滚落物及时清理，并在安全隐患位置设置警戒线或安全牌。符合要求得5分，发现一处不符合扣1分。</w:t>
            </w:r>
          </w:p>
          <w:p w14:paraId="7479A8F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rPr>
              <w:t>地下开采：</w:t>
            </w:r>
          </w:p>
          <w:p w14:paraId="24090D64">
            <w:pPr>
              <w:keepNext w:val="0"/>
              <w:keepLines w:val="0"/>
              <w:pageBreakBefore w:val="0"/>
              <w:widowControl/>
              <w:kinsoku/>
              <w:wordWrap/>
              <w:overflowPunct/>
              <w:topLinePunct w:val="0"/>
              <w:autoSpaceDE/>
              <w:autoSpaceDN/>
              <w:bidi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工作面满足通风、运输、行人、设备安装、检修的需要，支护完好；无较大面积积水、无浮碴、无杂物，材料堆放整齐</w:t>
            </w:r>
            <w:r>
              <w:rPr>
                <w:rFonts w:ascii="宋体" w:hAnsi="宋体" w:cs="Times New Roman"/>
                <w:color w:val="000000"/>
                <w:kern w:val="0"/>
                <w:sz w:val="21"/>
                <w:szCs w:val="21"/>
              </w:rPr>
              <w:t>。符合要求得5分</w:t>
            </w:r>
            <w:r>
              <w:rPr>
                <w:rFonts w:ascii="宋体" w:hAnsi="宋体" w:cs="Times New Roman"/>
                <w:color w:val="000000"/>
                <w:kern w:val="0"/>
                <w:sz w:val="21"/>
                <w:szCs w:val="21"/>
                <w:lang w:bidi="ar"/>
              </w:rPr>
              <w:t>，</w:t>
            </w:r>
            <w:r>
              <w:rPr>
                <w:rFonts w:ascii="宋体" w:hAnsi="宋体" w:cs="Times New Roman"/>
                <w:color w:val="000000"/>
                <w:kern w:val="0"/>
                <w:sz w:val="21"/>
                <w:szCs w:val="21"/>
              </w:rPr>
              <w:t>发现一处不符合扣1分。</w:t>
            </w:r>
          </w:p>
          <w:p w14:paraId="3774931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w:t>
            </w:r>
            <w:r>
              <w:rPr>
                <w:rFonts w:ascii="宋体" w:hAnsi="宋体" w:cs="Times New Roman"/>
                <w:color w:val="000000"/>
                <w:kern w:val="0"/>
                <w:sz w:val="21"/>
                <w:szCs w:val="21"/>
              </w:rPr>
              <w:t>石油天然气等：</w:t>
            </w:r>
          </w:p>
          <w:p w14:paraId="0DFF8BA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生产作业场地无明显油污，无“跑冒滴漏”及对井场表层土壤造成污染；钻井废弃物不落地，进行集中无害化处理。符合要求得5分，发现一处不符合扣1分。</w:t>
            </w:r>
          </w:p>
          <w:p w14:paraId="7D83C8D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w:t>
            </w:r>
            <w:r>
              <w:rPr>
                <w:rFonts w:ascii="宋体" w:hAnsi="宋体" w:cs="Times New Roman"/>
                <w:color w:val="000000"/>
                <w:kern w:val="0"/>
                <w:sz w:val="21"/>
                <w:szCs w:val="21"/>
              </w:rPr>
              <w:t>地热矿泉水等：</w:t>
            </w:r>
          </w:p>
          <w:p w14:paraId="7C4A74B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生产作业场所应干净整洁、无污渍；井（泉）及其附属设施保持完好并正常运行，无堵塞或泄露；应建有规范完备的污废水处理设施，正常运行合理处置污水、废水。符合要求得5分，发现一处不符合扣1分。</w:t>
            </w:r>
          </w:p>
        </w:tc>
        <w:tc>
          <w:tcPr>
            <w:tcW w:w="977" w:type="dxa"/>
            <w:noWrap w:val="0"/>
            <w:tcMar>
              <w:top w:w="12" w:type="dxa"/>
              <w:left w:w="12" w:type="dxa"/>
              <w:right w:w="12" w:type="dxa"/>
            </w:tcMar>
            <w:vAlign w:val="center"/>
          </w:tcPr>
          <w:p w14:paraId="68189F7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lang w:bidi="ar"/>
              </w:rPr>
            </w:pPr>
            <w:r>
              <w:rPr>
                <w:rFonts w:ascii="宋体" w:hAnsi="宋体" w:cs="Times New Roman"/>
                <w:color w:val="000000"/>
                <w:kern w:val="0"/>
                <w:sz w:val="21"/>
                <w:szCs w:val="21"/>
              </w:rPr>
              <w:t>查资料、查现场</w:t>
            </w:r>
          </w:p>
        </w:tc>
        <w:tc>
          <w:tcPr>
            <w:tcW w:w="2233" w:type="dxa"/>
            <w:noWrap w:val="0"/>
            <w:tcMar>
              <w:top w:w="12" w:type="dxa"/>
              <w:left w:w="12" w:type="dxa"/>
              <w:right w:w="12" w:type="dxa"/>
            </w:tcMar>
            <w:vAlign w:val="center"/>
          </w:tcPr>
          <w:p w14:paraId="5F3A2F7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06" w:type="dxa"/>
            <w:noWrap w:val="0"/>
            <w:vAlign w:val="center"/>
          </w:tcPr>
          <w:p w14:paraId="4FD5904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7" w:type="dxa"/>
            <w:noWrap w:val="0"/>
            <w:tcMar>
              <w:top w:w="12" w:type="dxa"/>
              <w:left w:w="12" w:type="dxa"/>
              <w:right w:w="12" w:type="dxa"/>
            </w:tcMar>
            <w:vAlign w:val="center"/>
          </w:tcPr>
          <w:p w14:paraId="1810629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7" w:type="dxa"/>
            <w:noWrap w:val="0"/>
            <w:tcMar>
              <w:top w:w="12" w:type="dxa"/>
              <w:left w:w="12" w:type="dxa"/>
              <w:right w:w="12" w:type="dxa"/>
            </w:tcMar>
            <w:vAlign w:val="center"/>
          </w:tcPr>
          <w:p w14:paraId="1559173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13A3B7E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sectPr>
          <w:footerReference r:id="rId5" w:type="default"/>
          <w:pgSz w:w="16838" w:h="11906" w:orient="landscape"/>
          <w:pgMar w:top="2098" w:right="1474" w:bottom="1984" w:left="1587" w:header="284" w:footer="283" w:gutter="0"/>
          <w:pgNumType w:fmt="decimal"/>
          <w:cols w:space="720" w:num="1"/>
          <w:docGrid w:type="lines" w:linePitch="435" w:charSpace="0"/>
        </w:sectPr>
      </w:pPr>
    </w:p>
    <w:tbl>
      <w:tblPr>
        <w:tblStyle w:val="5"/>
        <w:tblW w:w="13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2"/>
        <w:gridCol w:w="1072"/>
        <w:gridCol w:w="1072"/>
        <w:gridCol w:w="802"/>
        <w:gridCol w:w="5376"/>
        <w:gridCol w:w="936"/>
        <w:gridCol w:w="2321"/>
        <w:gridCol w:w="447"/>
        <w:gridCol w:w="425"/>
        <w:gridCol w:w="596"/>
      </w:tblGrid>
      <w:tr w14:paraId="4FD0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jc w:val="center"/>
        </w:trPr>
        <w:tc>
          <w:tcPr>
            <w:tcW w:w="932" w:type="dxa"/>
            <w:vMerge w:val="restart"/>
            <w:noWrap w:val="0"/>
            <w:tcMar>
              <w:top w:w="12" w:type="dxa"/>
              <w:left w:w="12" w:type="dxa"/>
              <w:right w:w="12" w:type="dxa"/>
            </w:tcMar>
            <w:vAlign w:val="center"/>
          </w:tcPr>
          <w:p w14:paraId="16D3F406">
            <w:pPr>
              <w:pStyle w:val="2"/>
              <w:keepNext w:val="0"/>
              <w:keepLines w:val="0"/>
              <w:pageBreakBefore w:val="0"/>
              <w:kinsoku/>
              <w:wordWrap/>
              <w:overflowPunct/>
              <w:topLinePunct w:val="0"/>
              <w:autoSpaceDE/>
              <w:autoSpaceDN/>
              <w:bidi w:val="0"/>
              <w:spacing w:line="240" w:lineRule="exact"/>
            </w:pPr>
          </w:p>
          <w:p w14:paraId="15AF563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p>
          <w:p w14:paraId="6DCF893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p>
          <w:p w14:paraId="037640F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p>
          <w:p w14:paraId="12AC0C74">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21F9430">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49FF5339">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C80BC9D">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31DFDD0">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088892EA">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C939775">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44D257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三、资源综合利用（9项18分；4项18分）</w:t>
            </w:r>
          </w:p>
          <w:p w14:paraId="62CFC6C8">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5CE01DC8">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8FB5E2E">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3AAC30F">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5151EB3B">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07ADA817">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18AAA07">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697B4B82">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6BC30E41">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0060A17">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DFF095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both"/>
              <w:rPr>
                <w:rFonts w:ascii="宋体" w:hAnsi="宋体"/>
              </w:rPr>
            </w:pPr>
          </w:p>
        </w:tc>
        <w:tc>
          <w:tcPr>
            <w:tcW w:w="13047" w:type="dxa"/>
            <w:gridSpan w:val="9"/>
            <w:noWrap w:val="0"/>
            <w:tcMar>
              <w:top w:w="12" w:type="dxa"/>
              <w:left w:w="12" w:type="dxa"/>
              <w:right w:w="12" w:type="dxa"/>
            </w:tcMar>
            <w:vAlign w:val="center"/>
          </w:tcPr>
          <w:p w14:paraId="231431C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（1）非金属、化工、黄金、冶金、有色、油气、煤炭、地热、矿泉水等行业</w:t>
            </w:r>
          </w:p>
        </w:tc>
      </w:tr>
      <w:tr w14:paraId="0674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jc w:val="center"/>
        </w:trPr>
        <w:tc>
          <w:tcPr>
            <w:tcW w:w="932" w:type="dxa"/>
            <w:vMerge w:val="continue"/>
            <w:noWrap w:val="0"/>
            <w:tcMar>
              <w:top w:w="12" w:type="dxa"/>
              <w:left w:w="12" w:type="dxa"/>
              <w:right w:w="12" w:type="dxa"/>
            </w:tcMar>
            <w:vAlign w:val="center"/>
          </w:tcPr>
          <w:p w14:paraId="2D20D4B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restart"/>
            <w:noWrap w:val="0"/>
            <w:tcMar>
              <w:top w:w="12" w:type="dxa"/>
              <w:left w:w="12" w:type="dxa"/>
              <w:right w:w="12" w:type="dxa"/>
            </w:tcMar>
            <w:vAlign w:val="center"/>
          </w:tcPr>
          <w:p w14:paraId="0490DF7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1选矿回收（5分）</w:t>
            </w:r>
          </w:p>
        </w:tc>
        <w:tc>
          <w:tcPr>
            <w:tcW w:w="1072" w:type="dxa"/>
            <w:noWrap w:val="0"/>
            <w:tcMar>
              <w:top w:w="12" w:type="dxa"/>
              <w:left w:w="12" w:type="dxa"/>
              <w:right w:w="12" w:type="dxa"/>
            </w:tcMar>
            <w:vAlign w:val="center"/>
          </w:tcPr>
          <w:p w14:paraId="3FD618E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12选矿加工工艺</w:t>
            </w:r>
          </w:p>
        </w:tc>
        <w:tc>
          <w:tcPr>
            <w:tcW w:w="802" w:type="dxa"/>
            <w:noWrap w:val="0"/>
            <w:tcMar>
              <w:top w:w="12" w:type="dxa"/>
              <w:left w:w="12" w:type="dxa"/>
              <w:right w:w="12" w:type="dxa"/>
            </w:tcMar>
            <w:vAlign w:val="center"/>
          </w:tcPr>
          <w:p w14:paraId="0CF079A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5376" w:type="dxa"/>
            <w:noWrap w:val="0"/>
            <w:tcMar>
              <w:top w:w="12" w:type="dxa"/>
              <w:left w:w="12" w:type="dxa"/>
              <w:right w:w="12" w:type="dxa"/>
            </w:tcMar>
            <w:vAlign w:val="center"/>
          </w:tcPr>
          <w:p w14:paraId="4374BCD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选矿工艺符合设计规范，不得使用国家规定的限制类和淘汰类技术、工艺和装备。地热、矿泉水的利用做到资源分级利用、优质优用。符合要求得3分，不符合得0分。</w:t>
            </w:r>
          </w:p>
        </w:tc>
        <w:tc>
          <w:tcPr>
            <w:tcW w:w="936" w:type="dxa"/>
            <w:noWrap w:val="0"/>
            <w:tcMar>
              <w:top w:w="12" w:type="dxa"/>
              <w:left w:w="12" w:type="dxa"/>
              <w:right w:w="12" w:type="dxa"/>
            </w:tcMar>
            <w:vAlign w:val="center"/>
          </w:tcPr>
          <w:p w14:paraId="6E4BC46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321" w:type="dxa"/>
            <w:noWrap w:val="0"/>
            <w:tcMar>
              <w:top w:w="12" w:type="dxa"/>
              <w:left w:w="12" w:type="dxa"/>
              <w:right w:w="12" w:type="dxa"/>
            </w:tcMar>
            <w:vAlign w:val="center"/>
          </w:tcPr>
          <w:p w14:paraId="284AA8A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 xml:space="preserve">《煤炭洗选工程设计规范》（GB 50359-2016）等矿山选矿工艺设计规范，符合环评批复相关要求 </w:t>
            </w:r>
          </w:p>
        </w:tc>
        <w:tc>
          <w:tcPr>
            <w:tcW w:w="447" w:type="dxa"/>
            <w:noWrap w:val="0"/>
            <w:tcMar>
              <w:top w:w="12" w:type="dxa"/>
              <w:left w:w="12" w:type="dxa"/>
              <w:right w:w="12" w:type="dxa"/>
            </w:tcMar>
            <w:vAlign w:val="center"/>
          </w:tcPr>
          <w:p w14:paraId="6FA204D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425" w:type="dxa"/>
            <w:noWrap w:val="0"/>
            <w:vAlign w:val="center"/>
          </w:tcPr>
          <w:p w14:paraId="592F13E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399092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698B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4" w:hRule="atLeast"/>
          <w:jc w:val="center"/>
        </w:trPr>
        <w:tc>
          <w:tcPr>
            <w:tcW w:w="932" w:type="dxa"/>
            <w:vMerge w:val="continue"/>
            <w:noWrap w:val="0"/>
            <w:tcMar>
              <w:top w:w="12" w:type="dxa"/>
              <w:left w:w="12" w:type="dxa"/>
              <w:right w:w="12" w:type="dxa"/>
            </w:tcMar>
            <w:vAlign w:val="center"/>
          </w:tcPr>
          <w:p w14:paraId="75BDF82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continue"/>
            <w:noWrap w:val="0"/>
            <w:tcMar>
              <w:top w:w="12" w:type="dxa"/>
              <w:left w:w="12" w:type="dxa"/>
              <w:right w:w="12" w:type="dxa"/>
            </w:tcMar>
            <w:vAlign w:val="center"/>
          </w:tcPr>
          <w:p w14:paraId="5CAA4DA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072" w:type="dxa"/>
            <w:noWrap w:val="0"/>
            <w:tcMar>
              <w:top w:w="12" w:type="dxa"/>
              <w:left w:w="12" w:type="dxa"/>
              <w:right w:w="12" w:type="dxa"/>
            </w:tcMar>
            <w:vAlign w:val="center"/>
          </w:tcPr>
          <w:p w14:paraId="370C0B1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13选矿回收率</w:t>
            </w:r>
          </w:p>
        </w:tc>
        <w:tc>
          <w:tcPr>
            <w:tcW w:w="802" w:type="dxa"/>
            <w:noWrap w:val="0"/>
            <w:tcMar>
              <w:top w:w="12" w:type="dxa"/>
              <w:left w:w="12" w:type="dxa"/>
              <w:right w:w="12" w:type="dxa"/>
            </w:tcMar>
            <w:vAlign w:val="center"/>
          </w:tcPr>
          <w:p w14:paraId="31E7758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376" w:type="dxa"/>
            <w:noWrap w:val="0"/>
            <w:tcMar>
              <w:top w:w="12" w:type="dxa"/>
              <w:left w:w="12" w:type="dxa"/>
              <w:right w:w="12" w:type="dxa"/>
            </w:tcMar>
            <w:vAlign w:val="center"/>
          </w:tcPr>
          <w:p w14:paraId="3BEE874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选矿回收率符合矿产资源合理开发利用“三率”指标最低要求。</w:t>
            </w:r>
            <w:r>
              <w:rPr>
                <w:rFonts w:hint="eastAsia" w:ascii="宋体" w:hAnsi="宋体" w:cs="Times New Roman"/>
                <w:color w:val="000000"/>
                <w:kern w:val="0"/>
                <w:sz w:val="21"/>
                <w:szCs w:val="21"/>
              </w:rPr>
              <w:t>符合要求得2分，不符合得0分。</w:t>
            </w:r>
          </w:p>
        </w:tc>
        <w:tc>
          <w:tcPr>
            <w:tcW w:w="936" w:type="dxa"/>
            <w:noWrap w:val="0"/>
            <w:tcMar>
              <w:top w:w="12" w:type="dxa"/>
              <w:left w:w="12" w:type="dxa"/>
              <w:right w:w="12" w:type="dxa"/>
            </w:tcMar>
            <w:vAlign w:val="center"/>
          </w:tcPr>
          <w:p w14:paraId="2CE1895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w:t>
            </w:r>
          </w:p>
        </w:tc>
        <w:tc>
          <w:tcPr>
            <w:tcW w:w="2321" w:type="dxa"/>
            <w:noWrap w:val="0"/>
            <w:tcMar>
              <w:top w:w="12" w:type="dxa"/>
              <w:left w:w="12" w:type="dxa"/>
              <w:right w:w="12" w:type="dxa"/>
            </w:tcMar>
            <w:vAlign w:val="center"/>
          </w:tcPr>
          <w:p w14:paraId="1C18193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自然资源部发布的“三率”指标要求，符合环评批复相关要求（矿产资源“三率”指标要求 DZ/T 0462）</w:t>
            </w:r>
          </w:p>
        </w:tc>
        <w:tc>
          <w:tcPr>
            <w:tcW w:w="447" w:type="dxa"/>
            <w:noWrap w:val="0"/>
            <w:tcMar>
              <w:top w:w="12" w:type="dxa"/>
              <w:left w:w="12" w:type="dxa"/>
              <w:right w:w="12" w:type="dxa"/>
            </w:tcMar>
            <w:vAlign w:val="center"/>
          </w:tcPr>
          <w:p w14:paraId="704E360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425" w:type="dxa"/>
            <w:noWrap w:val="0"/>
            <w:vAlign w:val="center"/>
          </w:tcPr>
          <w:p w14:paraId="070AA10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712D506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0481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jc w:val="center"/>
        </w:trPr>
        <w:tc>
          <w:tcPr>
            <w:tcW w:w="932" w:type="dxa"/>
            <w:vMerge w:val="continue"/>
            <w:noWrap w:val="0"/>
            <w:tcMar>
              <w:top w:w="12" w:type="dxa"/>
              <w:left w:w="12" w:type="dxa"/>
              <w:right w:w="12" w:type="dxa"/>
            </w:tcMar>
            <w:vAlign w:val="center"/>
          </w:tcPr>
          <w:p w14:paraId="575C856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restart"/>
            <w:noWrap w:val="0"/>
            <w:tcMar>
              <w:top w:w="12" w:type="dxa"/>
              <w:left w:w="12" w:type="dxa"/>
              <w:right w:w="12" w:type="dxa"/>
            </w:tcMar>
            <w:vAlign w:val="center"/>
          </w:tcPr>
          <w:p w14:paraId="157C15A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2综合利用（5分）</w:t>
            </w:r>
          </w:p>
        </w:tc>
        <w:tc>
          <w:tcPr>
            <w:tcW w:w="1072" w:type="dxa"/>
            <w:noWrap w:val="0"/>
            <w:tcMar>
              <w:top w:w="12" w:type="dxa"/>
              <w:left w:w="12" w:type="dxa"/>
              <w:right w:w="12" w:type="dxa"/>
            </w:tcMar>
            <w:vAlign w:val="center"/>
          </w:tcPr>
          <w:p w14:paraId="215EC66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14共伴生资源综合勘查与评价</w:t>
            </w:r>
          </w:p>
        </w:tc>
        <w:tc>
          <w:tcPr>
            <w:tcW w:w="802" w:type="dxa"/>
            <w:noWrap w:val="0"/>
            <w:tcMar>
              <w:top w:w="12" w:type="dxa"/>
              <w:left w:w="12" w:type="dxa"/>
              <w:right w:w="12" w:type="dxa"/>
            </w:tcMar>
            <w:vAlign w:val="center"/>
          </w:tcPr>
          <w:p w14:paraId="386E413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376" w:type="dxa"/>
            <w:noWrap w:val="0"/>
            <w:tcMar>
              <w:top w:w="12" w:type="dxa"/>
              <w:left w:w="12" w:type="dxa"/>
              <w:right w:w="12" w:type="dxa"/>
            </w:tcMar>
            <w:vAlign w:val="center"/>
          </w:tcPr>
          <w:p w14:paraId="74FD4AA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按矿产资源综合勘查评价规范进行综合勘查、综合评价。符合要求得2分，不符合得0分。</w:t>
            </w:r>
          </w:p>
        </w:tc>
        <w:tc>
          <w:tcPr>
            <w:tcW w:w="936" w:type="dxa"/>
            <w:noWrap w:val="0"/>
            <w:tcMar>
              <w:top w:w="12" w:type="dxa"/>
              <w:left w:w="12" w:type="dxa"/>
              <w:right w:w="12" w:type="dxa"/>
            </w:tcMar>
            <w:vAlign w:val="center"/>
          </w:tcPr>
          <w:p w14:paraId="52FCAA3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321" w:type="dxa"/>
            <w:noWrap w:val="0"/>
            <w:tcMar>
              <w:top w:w="12" w:type="dxa"/>
              <w:left w:w="12" w:type="dxa"/>
              <w:right w:w="12" w:type="dxa"/>
            </w:tcMar>
            <w:vAlign w:val="center"/>
          </w:tcPr>
          <w:p w14:paraId="476AABB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《矿产资源综合勘查评价规范》（GB/T 25283），符合环评批复相关要求</w:t>
            </w:r>
          </w:p>
        </w:tc>
        <w:tc>
          <w:tcPr>
            <w:tcW w:w="447" w:type="dxa"/>
            <w:noWrap w:val="0"/>
            <w:tcMar>
              <w:top w:w="12" w:type="dxa"/>
              <w:left w:w="12" w:type="dxa"/>
              <w:right w:w="12" w:type="dxa"/>
            </w:tcMar>
            <w:vAlign w:val="center"/>
          </w:tcPr>
          <w:p w14:paraId="7E1AB1F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425" w:type="dxa"/>
            <w:noWrap w:val="0"/>
            <w:vAlign w:val="center"/>
          </w:tcPr>
          <w:p w14:paraId="0FF095F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0DC1736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46E9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4" w:hRule="atLeast"/>
          <w:jc w:val="center"/>
        </w:trPr>
        <w:tc>
          <w:tcPr>
            <w:tcW w:w="932" w:type="dxa"/>
            <w:vMerge w:val="continue"/>
            <w:noWrap w:val="0"/>
            <w:tcMar>
              <w:top w:w="12" w:type="dxa"/>
              <w:left w:w="12" w:type="dxa"/>
              <w:right w:w="12" w:type="dxa"/>
            </w:tcMar>
            <w:vAlign w:val="center"/>
          </w:tcPr>
          <w:p w14:paraId="0304E41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continue"/>
            <w:noWrap w:val="0"/>
            <w:tcMar>
              <w:top w:w="12" w:type="dxa"/>
              <w:left w:w="12" w:type="dxa"/>
              <w:right w:w="12" w:type="dxa"/>
            </w:tcMar>
            <w:vAlign w:val="center"/>
          </w:tcPr>
          <w:p w14:paraId="5218B77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072" w:type="dxa"/>
            <w:noWrap w:val="0"/>
            <w:tcMar>
              <w:top w:w="12" w:type="dxa"/>
              <w:left w:w="12" w:type="dxa"/>
              <w:right w:w="12" w:type="dxa"/>
            </w:tcMar>
            <w:vAlign w:val="center"/>
          </w:tcPr>
          <w:p w14:paraId="5984DA0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15</w:t>
            </w:r>
            <w:r>
              <w:rPr>
                <w:rFonts w:ascii="宋体" w:hAnsi="宋体" w:cs="Times New Roman"/>
                <w:color w:val="000000"/>
                <w:kern w:val="0"/>
                <w:sz w:val="21"/>
                <w:szCs w:val="21"/>
              </w:rPr>
              <w:t>共伴生矿产资源综合利用率</w:t>
            </w:r>
          </w:p>
        </w:tc>
        <w:tc>
          <w:tcPr>
            <w:tcW w:w="802" w:type="dxa"/>
            <w:noWrap w:val="0"/>
            <w:tcMar>
              <w:top w:w="12" w:type="dxa"/>
              <w:left w:w="12" w:type="dxa"/>
              <w:right w:w="12" w:type="dxa"/>
            </w:tcMar>
            <w:vAlign w:val="center"/>
          </w:tcPr>
          <w:p w14:paraId="05676D2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376" w:type="dxa"/>
            <w:noWrap w:val="0"/>
            <w:tcMar>
              <w:top w:w="12" w:type="dxa"/>
              <w:left w:w="12" w:type="dxa"/>
              <w:right w:w="12" w:type="dxa"/>
            </w:tcMar>
            <w:vAlign w:val="center"/>
          </w:tcPr>
          <w:p w14:paraId="159D77D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共伴生矿产综合利用率符合矿产资源合理开发利用“三率”指标最低要求。</w:t>
            </w:r>
            <w:r>
              <w:rPr>
                <w:rFonts w:hint="eastAsia" w:ascii="宋体" w:hAnsi="宋体" w:cs="Times New Roman"/>
                <w:color w:val="000000"/>
                <w:kern w:val="0"/>
                <w:sz w:val="21"/>
                <w:szCs w:val="21"/>
              </w:rPr>
              <w:t>符合要求得2分，不符合得0分。</w:t>
            </w:r>
          </w:p>
        </w:tc>
        <w:tc>
          <w:tcPr>
            <w:tcW w:w="936" w:type="dxa"/>
            <w:noWrap w:val="0"/>
            <w:tcMar>
              <w:top w:w="12" w:type="dxa"/>
              <w:left w:w="12" w:type="dxa"/>
              <w:right w:w="12" w:type="dxa"/>
            </w:tcMar>
            <w:vAlign w:val="center"/>
          </w:tcPr>
          <w:p w14:paraId="5B34582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w:t>
            </w:r>
          </w:p>
        </w:tc>
        <w:tc>
          <w:tcPr>
            <w:tcW w:w="2321" w:type="dxa"/>
            <w:noWrap w:val="0"/>
            <w:tcMar>
              <w:top w:w="12" w:type="dxa"/>
              <w:left w:w="12" w:type="dxa"/>
              <w:right w:w="12" w:type="dxa"/>
            </w:tcMar>
            <w:vAlign w:val="center"/>
          </w:tcPr>
          <w:p w14:paraId="2499C92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自然资源部发布的“三率”指标要求，符合环评批复相关要求（矿产资源“三率”指标要求 DZ/T 0462）</w:t>
            </w:r>
          </w:p>
        </w:tc>
        <w:tc>
          <w:tcPr>
            <w:tcW w:w="447" w:type="dxa"/>
            <w:noWrap w:val="0"/>
            <w:tcMar>
              <w:top w:w="12" w:type="dxa"/>
              <w:left w:w="12" w:type="dxa"/>
              <w:right w:w="12" w:type="dxa"/>
            </w:tcMar>
            <w:vAlign w:val="center"/>
          </w:tcPr>
          <w:p w14:paraId="58F85F5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425" w:type="dxa"/>
            <w:noWrap w:val="0"/>
            <w:vAlign w:val="center"/>
          </w:tcPr>
          <w:p w14:paraId="28D235C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568CCB2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639A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jc w:val="center"/>
        </w:trPr>
        <w:tc>
          <w:tcPr>
            <w:tcW w:w="932" w:type="dxa"/>
            <w:vMerge w:val="continue"/>
            <w:noWrap w:val="0"/>
            <w:tcMar>
              <w:top w:w="12" w:type="dxa"/>
              <w:left w:w="12" w:type="dxa"/>
              <w:right w:w="12" w:type="dxa"/>
            </w:tcMar>
            <w:vAlign w:val="center"/>
          </w:tcPr>
          <w:p w14:paraId="06F8DD2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continue"/>
            <w:noWrap w:val="0"/>
            <w:tcMar>
              <w:top w:w="12" w:type="dxa"/>
              <w:left w:w="12" w:type="dxa"/>
              <w:right w:w="12" w:type="dxa"/>
            </w:tcMar>
            <w:vAlign w:val="center"/>
          </w:tcPr>
          <w:p w14:paraId="35F496E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072" w:type="dxa"/>
            <w:noWrap w:val="0"/>
            <w:tcMar>
              <w:top w:w="12" w:type="dxa"/>
              <w:left w:w="12" w:type="dxa"/>
              <w:right w:w="12" w:type="dxa"/>
            </w:tcMar>
            <w:vAlign w:val="center"/>
          </w:tcPr>
          <w:p w14:paraId="78556DC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16对暂不能开采利用的矿产</w:t>
            </w:r>
          </w:p>
        </w:tc>
        <w:tc>
          <w:tcPr>
            <w:tcW w:w="802" w:type="dxa"/>
            <w:noWrap w:val="0"/>
            <w:tcMar>
              <w:top w:w="12" w:type="dxa"/>
              <w:left w:w="12" w:type="dxa"/>
              <w:right w:w="12" w:type="dxa"/>
            </w:tcMar>
            <w:vAlign w:val="center"/>
          </w:tcPr>
          <w:p w14:paraId="44AD31A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376" w:type="dxa"/>
            <w:noWrap w:val="0"/>
            <w:tcMar>
              <w:top w:w="12" w:type="dxa"/>
              <w:left w:w="12" w:type="dxa"/>
              <w:right w:w="12" w:type="dxa"/>
            </w:tcMar>
            <w:vAlign w:val="center"/>
          </w:tcPr>
          <w:p w14:paraId="5CEE927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对暂不能开采利用的共伴生矿产采取保护措施。</w:t>
            </w:r>
            <w:r>
              <w:rPr>
                <w:rFonts w:ascii="宋体" w:hAnsi="宋体" w:cs="Times New Roman"/>
                <w:color w:val="000000"/>
                <w:kern w:val="0"/>
                <w:sz w:val="21"/>
                <w:szCs w:val="21"/>
              </w:rPr>
              <w:t>符合要求得1分，不符合得0分。</w:t>
            </w:r>
          </w:p>
        </w:tc>
        <w:tc>
          <w:tcPr>
            <w:tcW w:w="936" w:type="dxa"/>
            <w:noWrap w:val="0"/>
            <w:tcMar>
              <w:top w:w="12" w:type="dxa"/>
              <w:left w:w="12" w:type="dxa"/>
              <w:right w:w="12" w:type="dxa"/>
            </w:tcMar>
            <w:vAlign w:val="center"/>
          </w:tcPr>
          <w:p w14:paraId="6F931D7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321" w:type="dxa"/>
            <w:noWrap w:val="0"/>
            <w:tcMar>
              <w:top w:w="12" w:type="dxa"/>
              <w:left w:w="12" w:type="dxa"/>
              <w:right w:w="12" w:type="dxa"/>
            </w:tcMar>
            <w:vAlign w:val="center"/>
          </w:tcPr>
          <w:p w14:paraId="0213F54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《矿产资源开发利用方案》，矿山设计，</w:t>
            </w:r>
            <w:r>
              <w:rPr>
                <w:rFonts w:ascii="宋体" w:hAnsi="宋体" w:cs="Times New Roman"/>
                <w:color w:val="000000"/>
                <w:kern w:val="0"/>
                <w:sz w:val="21"/>
                <w:szCs w:val="21"/>
              </w:rPr>
              <w:t>符合环评批复相关要求</w:t>
            </w:r>
          </w:p>
        </w:tc>
        <w:tc>
          <w:tcPr>
            <w:tcW w:w="447" w:type="dxa"/>
            <w:noWrap w:val="0"/>
            <w:tcMar>
              <w:top w:w="12" w:type="dxa"/>
              <w:left w:w="12" w:type="dxa"/>
              <w:right w:w="12" w:type="dxa"/>
            </w:tcMar>
            <w:vAlign w:val="center"/>
          </w:tcPr>
          <w:p w14:paraId="1DFE0C2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425" w:type="dxa"/>
            <w:noWrap w:val="0"/>
            <w:vAlign w:val="center"/>
          </w:tcPr>
          <w:p w14:paraId="5D490D9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0011959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07F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7" w:hRule="atLeast"/>
          <w:jc w:val="center"/>
        </w:trPr>
        <w:tc>
          <w:tcPr>
            <w:tcW w:w="932" w:type="dxa"/>
            <w:vMerge w:val="continue"/>
            <w:noWrap w:val="0"/>
            <w:tcMar>
              <w:top w:w="12" w:type="dxa"/>
              <w:left w:w="12" w:type="dxa"/>
              <w:right w:w="12" w:type="dxa"/>
            </w:tcMar>
            <w:vAlign w:val="center"/>
          </w:tcPr>
          <w:p w14:paraId="730518F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restart"/>
            <w:noWrap w:val="0"/>
            <w:tcMar>
              <w:top w:w="12" w:type="dxa"/>
              <w:left w:w="12" w:type="dxa"/>
              <w:right w:w="12" w:type="dxa"/>
            </w:tcMar>
            <w:vAlign w:val="center"/>
          </w:tcPr>
          <w:p w14:paraId="360C537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3固废综合利用（3分）</w:t>
            </w:r>
          </w:p>
        </w:tc>
        <w:tc>
          <w:tcPr>
            <w:tcW w:w="1072" w:type="dxa"/>
            <w:noWrap w:val="0"/>
            <w:tcMar>
              <w:top w:w="12" w:type="dxa"/>
              <w:left w:w="12" w:type="dxa"/>
              <w:right w:w="12" w:type="dxa"/>
            </w:tcMar>
            <w:vAlign w:val="center"/>
          </w:tcPr>
          <w:p w14:paraId="2850C99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17工业固废处置与利用</w:t>
            </w:r>
          </w:p>
        </w:tc>
        <w:tc>
          <w:tcPr>
            <w:tcW w:w="802" w:type="dxa"/>
            <w:noWrap w:val="0"/>
            <w:tcMar>
              <w:top w:w="12" w:type="dxa"/>
              <w:left w:w="12" w:type="dxa"/>
              <w:right w:w="12" w:type="dxa"/>
            </w:tcMar>
            <w:vAlign w:val="center"/>
          </w:tcPr>
          <w:p w14:paraId="6F09039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376" w:type="dxa"/>
            <w:noWrap w:val="0"/>
            <w:tcMar>
              <w:top w:w="12" w:type="dxa"/>
              <w:left w:w="12" w:type="dxa"/>
              <w:right w:w="12" w:type="dxa"/>
            </w:tcMar>
            <w:vAlign w:val="center"/>
          </w:tcPr>
          <w:p w14:paraId="3F5F3C3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通过回填、铺路、工程建设等方式充分利用固体废弃物，得0.5分；剥离表土用于土地复垦、生态修复，得1分（无表土的，直接得1分）；渗滤液收集、废水处理、地下水环境监测等尾矿库污染防治设施符合相关法规标准要求，得0.5分。</w:t>
            </w:r>
          </w:p>
        </w:tc>
        <w:tc>
          <w:tcPr>
            <w:tcW w:w="936" w:type="dxa"/>
            <w:noWrap w:val="0"/>
            <w:tcMar>
              <w:top w:w="12" w:type="dxa"/>
              <w:left w:w="12" w:type="dxa"/>
              <w:right w:w="12" w:type="dxa"/>
            </w:tcMar>
            <w:vAlign w:val="center"/>
          </w:tcPr>
          <w:p w14:paraId="135F7E1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321" w:type="dxa"/>
            <w:noWrap w:val="0"/>
            <w:tcMar>
              <w:top w:w="12" w:type="dxa"/>
              <w:left w:w="12" w:type="dxa"/>
              <w:right w:w="12" w:type="dxa"/>
            </w:tcMar>
            <w:vAlign w:val="center"/>
          </w:tcPr>
          <w:p w14:paraId="2A305A3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《矿产资源开发利用方案》、《一般工业固体废物贮存和填埋污染控制标准》（GB 18599）《尾矿污染环境防治管理办法》，</w:t>
            </w:r>
            <w:r>
              <w:rPr>
                <w:rFonts w:ascii="宋体" w:hAnsi="宋体" w:cs="Times New Roman"/>
                <w:color w:val="000000"/>
                <w:kern w:val="0"/>
                <w:sz w:val="21"/>
                <w:szCs w:val="21"/>
              </w:rPr>
              <w:t>符合环评批复相关要求</w:t>
            </w:r>
          </w:p>
        </w:tc>
        <w:tc>
          <w:tcPr>
            <w:tcW w:w="447" w:type="dxa"/>
            <w:noWrap w:val="0"/>
            <w:tcMar>
              <w:top w:w="12" w:type="dxa"/>
              <w:left w:w="12" w:type="dxa"/>
              <w:right w:w="12" w:type="dxa"/>
            </w:tcMar>
            <w:vAlign w:val="center"/>
          </w:tcPr>
          <w:p w14:paraId="306D54C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425" w:type="dxa"/>
            <w:noWrap w:val="0"/>
            <w:vAlign w:val="center"/>
          </w:tcPr>
          <w:p w14:paraId="0914873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6348462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55F9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jc w:val="center"/>
        </w:trPr>
        <w:tc>
          <w:tcPr>
            <w:tcW w:w="932" w:type="dxa"/>
            <w:vMerge w:val="continue"/>
            <w:noWrap w:val="0"/>
            <w:tcMar>
              <w:top w:w="12" w:type="dxa"/>
              <w:left w:w="12" w:type="dxa"/>
              <w:right w:w="12" w:type="dxa"/>
            </w:tcMar>
            <w:vAlign w:val="center"/>
          </w:tcPr>
          <w:p w14:paraId="49705E7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072" w:type="dxa"/>
            <w:vMerge w:val="continue"/>
            <w:noWrap w:val="0"/>
            <w:tcMar>
              <w:top w:w="12" w:type="dxa"/>
              <w:left w:w="12" w:type="dxa"/>
              <w:right w:w="12" w:type="dxa"/>
            </w:tcMar>
            <w:vAlign w:val="center"/>
          </w:tcPr>
          <w:p w14:paraId="787970C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072" w:type="dxa"/>
            <w:noWrap w:val="0"/>
            <w:tcMar>
              <w:top w:w="12" w:type="dxa"/>
              <w:left w:w="12" w:type="dxa"/>
              <w:right w:w="12" w:type="dxa"/>
            </w:tcMar>
            <w:vAlign w:val="center"/>
          </w:tcPr>
          <w:p w14:paraId="4FF85DA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18回收提取有价元素/有用矿物</w:t>
            </w:r>
          </w:p>
        </w:tc>
        <w:tc>
          <w:tcPr>
            <w:tcW w:w="802" w:type="dxa"/>
            <w:noWrap w:val="0"/>
            <w:tcMar>
              <w:top w:w="12" w:type="dxa"/>
              <w:left w:w="12" w:type="dxa"/>
              <w:right w:w="12" w:type="dxa"/>
            </w:tcMar>
            <w:vAlign w:val="center"/>
          </w:tcPr>
          <w:p w14:paraId="76624D9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376" w:type="dxa"/>
            <w:noWrap w:val="0"/>
            <w:tcMar>
              <w:top w:w="12" w:type="dxa"/>
              <w:left w:w="12" w:type="dxa"/>
              <w:right w:w="12" w:type="dxa"/>
            </w:tcMar>
            <w:vAlign w:val="center"/>
          </w:tcPr>
          <w:p w14:paraId="048B897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hint="eastAsia" w:ascii="宋体" w:hAnsi="宋体" w:cs="Times New Roman"/>
                <w:color w:val="000000"/>
                <w:kern w:val="0"/>
                <w:sz w:val="21"/>
                <w:szCs w:val="21"/>
                <w:lang w:bidi="ar"/>
              </w:rPr>
              <w:t>鼓励</w:t>
            </w:r>
            <w:r>
              <w:rPr>
                <w:rFonts w:ascii="宋体" w:hAnsi="宋体" w:cs="Times New Roman"/>
                <w:color w:val="000000"/>
                <w:kern w:val="0"/>
                <w:sz w:val="21"/>
                <w:szCs w:val="21"/>
                <w:lang w:bidi="ar"/>
              </w:rPr>
              <w:t>从已有尾矿、煤矸石、废石等固体废弃物中提取有价元素或有用矿物。符合要求得1分，不符合得0分。</w:t>
            </w:r>
          </w:p>
        </w:tc>
        <w:tc>
          <w:tcPr>
            <w:tcW w:w="936" w:type="dxa"/>
            <w:noWrap w:val="0"/>
            <w:tcMar>
              <w:top w:w="12" w:type="dxa"/>
              <w:left w:w="12" w:type="dxa"/>
              <w:right w:w="12" w:type="dxa"/>
            </w:tcMar>
            <w:vAlign w:val="center"/>
          </w:tcPr>
          <w:p w14:paraId="00AAC03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321" w:type="dxa"/>
            <w:noWrap w:val="0"/>
            <w:tcMar>
              <w:top w:w="12" w:type="dxa"/>
              <w:left w:w="12" w:type="dxa"/>
              <w:right w:w="12" w:type="dxa"/>
            </w:tcMar>
            <w:vAlign w:val="center"/>
          </w:tcPr>
          <w:p w14:paraId="5A33805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生产报表、销售报表、财务报表等，</w:t>
            </w:r>
            <w:r>
              <w:rPr>
                <w:rFonts w:ascii="宋体" w:hAnsi="宋体" w:cs="Times New Roman"/>
                <w:color w:val="000000"/>
                <w:kern w:val="0"/>
                <w:sz w:val="21"/>
                <w:szCs w:val="21"/>
              </w:rPr>
              <w:t>符合环评批复相关要求</w:t>
            </w:r>
          </w:p>
        </w:tc>
        <w:tc>
          <w:tcPr>
            <w:tcW w:w="447" w:type="dxa"/>
            <w:noWrap w:val="0"/>
            <w:tcMar>
              <w:top w:w="12" w:type="dxa"/>
              <w:left w:w="12" w:type="dxa"/>
              <w:right w:w="12" w:type="dxa"/>
            </w:tcMar>
            <w:vAlign w:val="center"/>
          </w:tcPr>
          <w:p w14:paraId="6E7D870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425" w:type="dxa"/>
            <w:noWrap w:val="0"/>
            <w:vAlign w:val="center"/>
          </w:tcPr>
          <w:p w14:paraId="7366DCE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4648CA7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1617A15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6" w:type="default"/>
          <w:pgSz w:w="16838" w:h="11906" w:orient="landscape"/>
          <w:pgMar w:top="2098" w:right="1474" w:bottom="1984" w:left="1587" w:header="284" w:footer="283" w:gutter="0"/>
          <w:pgNumType w:fmt="decimal"/>
          <w:cols w:space="720" w:num="1"/>
          <w:docGrid w:type="lines" w:linePitch="435" w:charSpace="0"/>
        </w:sectPr>
      </w:pPr>
    </w:p>
    <w:tbl>
      <w:tblPr>
        <w:tblStyle w:val="5"/>
        <w:tblW w:w="14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8"/>
        <w:gridCol w:w="1135"/>
        <w:gridCol w:w="1135"/>
        <w:gridCol w:w="850"/>
        <w:gridCol w:w="5680"/>
        <w:gridCol w:w="992"/>
        <w:gridCol w:w="2271"/>
        <w:gridCol w:w="514"/>
        <w:gridCol w:w="595"/>
        <w:gridCol w:w="595"/>
      </w:tblGrid>
      <w:tr w14:paraId="15E0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88" w:type="dxa"/>
            <w:vMerge w:val="restart"/>
            <w:noWrap w:val="0"/>
            <w:tcMar>
              <w:top w:w="12" w:type="dxa"/>
              <w:left w:w="12" w:type="dxa"/>
              <w:right w:w="12" w:type="dxa"/>
            </w:tcMar>
            <w:vAlign w:val="center"/>
          </w:tcPr>
          <w:p w14:paraId="0DBF434B">
            <w:pPr>
              <w:pStyle w:val="2"/>
              <w:keepNext w:val="0"/>
              <w:keepLines w:val="0"/>
              <w:pageBreakBefore w:val="0"/>
              <w:kinsoku/>
              <w:wordWrap/>
              <w:overflowPunct/>
              <w:topLinePunct w:val="0"/>
              <w:autoSpaceDE/>
              <w:autoSpaceDN/>
              <w:bidi w:val="0"/>
              <w:snapToGrid w:val="0"/>
              <w:spacing w:line="220" w:lineRule="exact"/>
            </w:pPr>
          </w:p>
        </w:tc>
        <w:tc>
          <w:tcPr>
            <w:tcW w:w="1135" w:type="dxa"/>
            <w:vMerge w:val="restart"/>
            <w:noWrap w:val="0"/>
            <w:tcMar>
              <w:top w:w="12" w:type="dxa"/>
              <w:left w:w="12" w:type="dxa"/>
              <w:right w:w="12" w:type="dxa"/>
            </w:tcMar>
            <w:vAlign w:val="center"/>
          </w:tcPr>
          <w:p w14:paraId="6F028E91">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p w14:paraId="6846C5C4">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4废水综合利用（5分）</w:t>
            </w:r>
          </w:p>
        </w:tc>
        <w:tc>
          <w:tcPr>
            <w:tcW w:w="1135" w:type="dxa"/>
            <w:noWrap w:val="0"/>
            <w:tcMar>
              <w:top w:w="12" w:type="dxa"/>
              <w:left w:w="12" w:type="dxa"/>
              <w:right w:w="12" w:type="dxa"/>
            </w:tcMar>
            <w:vAlign w:val="center"/>
          </w:tcPr>
          <w:p w14:paraId="6C9C56EC">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19生产废水综合利用</w:t>
            </w:r>
          </w:p>
        </w:tc>
        <w:tc>
          <w:tcPr>
            <w:tcW w:w="850" w:type="dxa"/>
            <w:noWrap w:val="0"/>
            <w:tcMar>
              <w:top w:w="12" w:type="dxa"/>
              <w:left w:w="12" w:type="dxa"/>
              <w:right w:w="12" w:type="dxa"/>
            </w:tcMar>
            <w:vAlign w:val="center"/>
          </w:tcPr>
          <w:p w14:paraId="51C4DC20">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5680" w:type="dxa"/>
            <w:noWrap w:val="0"/>
            <w:tcMar>
              <w:top w:w="12" w:type="dxa"/>
              <w:left w:w="12" w:type="dxa"/>
              <w:right w:w="12" w:type="dxa"/>
            </w:tcMar>
            <w:vAlign w:val="center"/>
          </w:tcPr>
          <w:p w14:paraId="7A64962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配备完备的废水处理设施，并正常运行的得1分。</w:t>
            </w:r>
          </w:p>
          <w:p w14:paraId="188C58A9">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②</w:t>
            </w:r>
            <w:r>
              <w:rPr>
                <w:rFonts w:ascii="宋体" w:hAnsi="宋体" w:cs="Times New Roman"/>
                <w:color w:val="000000"/>
                <w:kern w:val="0"/>
                <w:sz w:val="21"/>
                <w:szCs w:val="21"/>
                <w:lang w:bidi="ar"/>
              </w:rPr>
              <w:t>采用洁净化、资源化技术工艺合理处置矿井水、废水、尾水，得1分。煤矿、黄金等行业矿井水处置率达到100%，不达标不得分。</w:t>
            </w:r>
          </w:p>
          <w:p w14:paraId="5D8E9B9F">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③</w:t>
            </w:r>
            <w:r>
              <w:rPr>
                <w:rFonts w:ascii="宋体" w:hAnsi="宋体" w:cs="Times New Roman"/>
                <w:color w:val="000000"/>
                <w:kern w:val="0"/>
                <w:sz w:val="21"/>
                <w:szCs w:val="21"/>
                <w:lang w:bidi="ar"/>
              </w:rPr>
              <w:t>选矿废水循环利用，得1分。煤矿矿井水利用率达到相关标准，冶金选矿废水循环利用率不低于90%，非金属矿山选矿废水重复利用率不低于85%，化工行业选矿回水利用率达到100%，地热矿泉水尾废水集中处理达标后外排或回灌。不达标不得分。</w:t>
            </w:r>
          </w:p>
        </w:tc>
        <w:tc>
          <w:tcPr>
            <w:tcW w:w="992" w:type="dxa"/>
            <w:noWrap w:val="0"/>
            <w:tcMar>
              <w:top w:w="12" w:type="dxa"/>
              <w:left w:w="12" w:type="dxa"/>
              <w:right w:w="12" w:type="dxa"/>
            </w:tcMar>
            <w:vAlign w:val="center"/>
          </w:tcPr>
          <w:p w14:paraId="34F3B3E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71" w:type="dxa"/>
            <w:noWrap w:val="0"/>
            <w:tcMar>
              <w:top w:w="12" w:type="dxa"/>
              <w:left w:w="12" w:type="dxa"/>
              <w:right w:w="12" w:type="dxa"/>
            </w:tcMar>
            <w:vAlign w:val="center"/>
          </w:tcPr>
          <w:p w14:paraId="3DFA7382">
            <w:pPr>
              <w:keepNext w:val="0"/>
              <w:keepLines w:val="0"/>
              <w:pageBreakBefore w:val="0"/>
              <w:widowControl w:val="0"/>
              <w:kinsoku/>
              <w:wordWrap/>
              <w:overflowPunct/>
              <w:topLinePunct w:val="0"/>
              <w:autoSpaceDE/>
              <w:autoSpaceDN/>
              <w:bidi w:val="0"/>
              <w:snapToGrid w:val="0"/>
              <w:spacing w:line="220" w:lineRule="exact"/>
              <w:ind w:left="-22" w:firstLine="0" w:firstLineChars="0"/>
              <w:jc w:val="left"/>
              <w:rPr>
                <w:rFonts w:ascii="宋体" w:hAnsi="宋体" w:cs="Times New Roman"/>
                <w:color w:val="000000"/>
                <w:sz w:val="21"/>
                <w:szCs w:val="21"/>
              </w:rPr>
            </w:pPr>
            <w:r>
              <w:rPr>
                <w:rFonts w:ascii="宋体" w:hAnsi="宋体" w:cs="Times New Roman"/>
                <w:color w:val="000000"/>
                <w:sz w:val="21"/>
                <w:szCs w:val="21"/>
              </w:rPr>
              <w:t>《煤炭采选业清洁生产评价指标体系》（国家发展改革委、生态环境部、工业和信息化部，2019年发布），冶金、非金属、煤炭、化工行业绿色矿山建设规范，符合环评批复相关要求</w:t>
            </w:r>
          </w:p>
        </w:tc>
        <w:tc>
          <w:tcPr>
            <w:tcW w:w="514" w:type="dxa"/>
            <w:noWrap w:val="0"/>
            <w:tcMar>
              <w:top w:w="12" w:type="dxa"/>
              <w:left w:w="12" w:type="dxa"/>
              <w:right w:w="12" w:type="dxa"/>
            </w:tcMar>
            <w:vAlign w:val="center"/>
          </w:tcPr>
          <w:p w14:paraId="12690340">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5" w:type="dxa"/>
            <w:noWrap w:val="0"/>
            <w:vAlign w:val="center"/>
          </w:tcPr>
          <w:p w14:paraId="5FA6E35C">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5" w:type="dxa"/>
            <w:noWrap w:val="0"/>
            <w:vAlign w:val="center"/>
          </w:tcPr>
          <w:p w14:paraId="4A7DF2EC">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34767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8" w:hRule="atLeast"/>
          <w:jc w:val="center"/>
        </w:trPr>
        <w:tc>
          <w:tcPr>
            <w:tcW w:w="988" w:type="dxa"/>
            <w:vMerge w:val="continue"/>
            <w:noWrap w:val="0"/>
            <w:tcMar>
              <w:top w:w="12" w:type="dxa"/>
              <w:left w:w="12" w:type="dxa"/>
              <w:right w:w="12" w:type="dxa"/>
            </w:tcMar>
            <w:vAlign w:val="center"/>
          </w:tcPr>
          <w:p w14:paraId="74522F24">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5" w:type="dxa"/>
            <w:vMerge w:val="continue"/>
            <w:noWrap w:val="0"/>
            <w:tcMar>
              <w:top w:w="12" w:type="dxa"/>
              <w:left w:w="12" w:type="dxa"/>
              <w:right w:w="12" w:type="dxa"/>
            </w:tcMar>
            <w:vAlign w:val="center"/>
          </w:tcPr>
          <w:p w14:paraId="36117EE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5" w:type="dxa"/>
            <w:noWrap w:val="0"/>
            <w:tcMar>
              <w:top w:w="12" w:type="dxa"/>
              <w:left w:w="12" w:type="dxa"/>
              <w:right w:w="12" w:type="dxa"/>
            </w:tcMar>
            <w:vAlign w:val="center"/>
          </w:tcPr>
          <w:p w14:paraId="4B119E7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20生活污水综合利用</w:t>
            </w:r>
          </w:p>
        </w:tc>
        <w:tc>
          <w:tcPr>
            <w:tcW w:w="850" w:type="dxa"/>
            <w:noWrap w:val="0"/>
            <w:tcMar>
              <w:top w:w="12" w:type="dxa"/>
              <w:left w:w="12" w:type="dxa"/>
              <w:right w:w="12" w:type="dxa"/>
            </w:tcMar>
            <w:vAlign w:val="center"/>
          </w:tcPr>
          <w:p w14:paraId="373E95B1">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80" w:type="dxa"/>
            <w:noWrap w:val="0"/>
            <w:tcMar>
              <w:top w:w="12" w:type="dxa"/>
              <w:left w:w="12" w:type="dxa"/>
              <w:right w:w="12" w:type="dxa"/>
            </w:tcMar>
            <w:vAlign w:val="center"/>
          </w:tcPr>
          <w:p w14:paraId="52E25387">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配备生活污水处理系统，并正常运行的得1分；生活污水处置达标后，用于工业场地浇灌绿化、洒水降尘或其他综合利用，得1分。</w:t>
            </w:r>
          </w:p>
          <w:p w14:paraId="146C1360">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hint="eastAsia" w:ascii="宋体" w:hAnsi="宋体" w:eastAsia="宋体" w:cs="宋体"/>
                <w:color w:val="000000"/>
                <w:kern w:val="0"/>
                <w:sz w:val="21"/>
                <w:szCs w:val="21"/>
                <w:lang w:bidi="ar"/>
              </w:rPr>
              <w:t>②</w:t>
            </w:r>
            <w:r>
              <w:rPr>
                <w:rFonts w:ascii="宋体" w:hAnsi="宋体" w:cs="Times New Roman"/>
                <w:color w:val="000000"/>
                <w:kern w:val="0"/>
                <w:sz w:val="21"/>
                <w:szCs w:val="21"/>
                <w:lang w:bidi="ar"/>
              </w:rPr>
              <w:t>企业生活污水直接连入城镇污水处理管网，得2分。</w:t>
            </w:r>
          </w:p>
        </w:tc>
        <w:tc>
          <w:tcPr>
            <w:tcW w:w="992" w:type="dxa"/>
            <w:noWrap w:val="0"/>
            <w:tcMar>
              <w:top w:w="12" w:type="dxa"/>
              <w:left w:w="12" w:type="dxa"/>
              <w:right w:w="12" w:type="dxa"/>
            </w:tcMar>
            <w:vAlign w:val="center"/>
          </w:tcPr>
          <w:p w14:paraId="224833B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71" w:type="dxa"/>
            <w:noWrap w:val="0"/>
            <w:tcMar>
              <w:top w:w="12" w:type="dxa"/>
              <w:left w:w="12" w:type="dxa"/>
              <w:right w:w="12" w:type="dxa"/>
            </w:tcMar>
            <w:vAlign w:val="center"/>
          </w:tcPr>
          <w:p w14:paraId="2403C456">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lang w:bidi="ar"/>
              </w:rPr>
              <w:t>生产报表（调度报表）或其他证明材料</w:t>
            </w:r>
            <w:r>
              <w:rPr>
                <w:rFonts w:ascii="宋体" w:hAnsi="宋体" w:cs="Times New Roman"/>
                <w:color w:val="000000"/>
                <w:sz w:val="21"/>
                <w:szCs w:val="21"/>
              </w:rPr>
              <w:t>，符合环评批复相关要求</w:t>
            </w:r>
          </w:p>
        </w:tc>
        <w:tc>
          <w:tcPr>
            <w:tcW w:w="514" w:type="dxa"/>
            <w:noWrap w:val="0"/>
            <w:tcMar>
              <w:top w:w="12" w:type="dxa"/>
              <w:left w:w="12" w:type="dxa"/>
              <w:right w:w="12" w:type="dxa"/>
            </w:tcMar>
            <w:vAlign w:val="center"/>
          </w:tcPr>
          <w:p w14:paraId="35EFD1D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5" w:type="dxa"/>
            <w:noWrap w:val="0"/>
            <w:vAlign w:val="center"/>
          </w:tcPr>
          <w:p w14:paraId="0D379B1D">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5" w:type="dxa"/>
            <w:noWrap w:val="0"/>
            <w:vAlign w:val="center"/>
          </w:tcPr>
          <w:p w14:paraId="12483414">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3A73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988" w:type="dxa"/>
            <w:vMerge w:val="continue"/>
            <w:noWrap w:val="0"/>
            <w:tcMar>
              <w:top w:w="12" w:type="dxa"/>
              <w:left w:w="12" w:type="dxa"/>
              <w:right w:w="12" w:type="dxa"/>
            </w:tcMar>
            <w:vAlign w:val="center"/>
          </w:tcPr>
          <w:p w14:paraId="01164C7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3767" w:type="dxa"/>
            <w:gridSpan w:val="9"/>
            <w:noWrap w:val="0"/>
            <w:tcMar>
              <w:top w:w="12" w:type="dxa"/>
              <w:left w:w="12" w:type="dxa"/>
              <w:right w:w="12" w:type="dxa"/>
            </w:tcMar>
            <w:vAlign w:val="center"/>
          </w:tcPr>
          <w:p w14:paraId="34918B5C">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（2）砂石、水泥灰岩、建筑石材等行业</w:t>
            </w:r>
          </w:p>
        </w:tc>
      </w:tr>
      <w:tr w14:paraId="4735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96" w:hRule="atLeast"/>
          <w:jc w:val="center"/>
        </w:trPr>
        <w:tc>
          <w:tcPr>
            <w:tcW w:w="988" w:type="dxa"/>
            <w:vMerge w:val="continue"/>
            <w:noWrap w:val="0"/>
            <w:tcMar>
              <w:top w:w="12" w:type="dxa"/>
              <w:left w:w="12" w:type="dxa"/>
              <w:right w:w="12" w:type="dxa"/>
            </w:tcMar>
            <w:vAlign w:val="center"/>
          </w:tcPr>
          <w:p w14:paraId="6BEDD169">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5" w:type="dxa"/>
            <w:noWrap w:val="0"/>
            <w:tcMar>
              <w:top w:w="12" w:type="dxa"/>
              <w:left w:w="12" w:type="dxa"/>
              <w:right w:w="12" w:type="dxa"/>
            </w:tcMar>
            <w:vAlign w:val="center"/>
          </w:tcPr>
          <w:p w14:paraId="689040A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1综合利用（5分）</w:t>
            </w:r>
          </w:p>
        </w:tc>
        <w:tc>
          <w:tcPr>
            <w:tcW w:w="1135" w:type="dxa"/>
            <w:noWrap w:val="0"/>
            <w:tcMar>
              <w:top w:w="12" w:type="dxa"/>
              <w:left w:w="12" w:type="dxa"/>
              <w:right w:w="12" w:type="dxa"/>
            </w:tcMar>
            <w:vAlign w:val="center"/>
          </w:tcPr>
          <w:p w14:paraId="68D15A74">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21开采加工等相关产物综合利用</w:t>
            </w:r>
          </w:p>
        </w:tc>
        <w:tc>
          <w:tcPr>
            <w:tcW w:w="850" w:type="dxa"/>
            <w:noWrap w:val="0"/>
            <w:tcMar>
              <w:top w:w="12" w:type="dxa"/>
              <w:left w:w="12" w:type="dxa"/>
              <w:right w:w="12" w:type="dxa"/>
            </w:tcMar>
            <w:vAlign w:val="center"/>
          </w:tcPr>
          <w:p w14:paraId="49FD0A0F">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5</w:t>
            </w:r>
          </w:p>
        </w:tc>
        <w:tc>
          <w:tcPr>
            <w:tcW w:w="5680" w:type="dxa"/>
            <w:noWrap w:val="0"/>
            <w:tcMar>
              <w:top w:w="12" w:type="dxa"/>
              <w:left w:w="12" w:type="dxa"/>
              <w:right w:w="12" w:type="dxa"/>
            </w:tcMar>
            <w:vAlign w:val="center"/>
          </w:tcPr>
          <w:p w14:paraId="36F79011">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适用于砂石、建筑石材等行业：</w:t>
            </w:r>
          </w:p>
          <w:p w14:paraId="7B029F84">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充分利用石粉、泥粉等矿山开采或加工产物，提高资源化利用水平，如环境治理、土地复垦和土壤改良等。符合要求得5分。</w:t>
            </w:r>
          </w:p>
          <w:p w14:paraId="7503D89F">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适用于水泥灰岩行业：</w:t>
            </w:r>
          </w:p>
          <w:p w14:paraId="051EEEE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结合水泥生产线多种原料配料的特点，实现开采或加工生产各类产物资源化利用，实现资源分级利用、优质优用，实现高品位矿石与低品位矿石、夹层、顶底板围岩等综合利用。符合要求得5分。</w:t>
            </w:r>
          </w:p>
        </w:tc>
        <w:tc>
          <w:tcPr>
            <w:tcW w:w="992" w:type="dxa"/>
            <w:noWrap w:val="0"/>
            <w:tcMar>
              <w:top w:w="12" w:type="dxa"/>
              <w:left w:w="12" w:type="dxa"/>
              <w:right w:w="12" w:type="dxa"/>
            </w:tcMar>
            <w:vAlign w:val="center"/>
          </w:tcPr>
          <w:p w14:paraId="597B9D2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71" w:type="dxa"/>
            <w:noWrap w:val="0"/>
            <w:tcMar>
              <w:top w:w="12" w:type="dxa"/>
              <w:left w:w="12" w:type="dxa"/>
              <w:right w:w="12" w:type="dxa"/>
            </w:tcMar>
            <w:vAlign w:val="center"/>
          </w:tcPr>
          <w:p w14:paraId="779267AA">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生产报表（调度报表）或其他证明材料，符合环评批复相关要求</w:t>
            </w:r>
          </w:p>
          <w:p w14:paraId="7ABBD7A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p>
        </w:tc>
        <w:tc>
          <w:tcPr>
            <w:tcW w:w="514" w:type="dxa"/>
            <w:noWrap w:val="0"/>
            <w:tcMar>
              <w:top w:w="12" w:type="dxa"/>
              <w:left w:w="12" w:type="dxa"/>
              <w:right w:w="12" w:type="dxa"/>
            </w:tcMar>
            <w:vAlign w:val="center"/>
          </w:tcPr>
          <w:p w14:paraId="4F70C6F2">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5" w:type="dxa"/>
            <w:noWrap w:val="0"/>
            <w:vAlign w:val="center"/>
          </w:tcPr>
          <w:p w14:paraId="66625C3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5" w:type="dxa"/>
            <w:noWrap w:val="0"/>
            <w:vAlign w:val="center"/>
          </w:tcPr>
          <w:p w14:paraId="232FF374">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r w14:paraId="7C19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1" w:hRule="atLeast"/>
          <w:jc w:val="center"/>
        </w:trPr>
        <w:tc>
          <w:tcPr>
            <w:tcW w:w="988" w:type="dxa"/>
            <w:vMerge w:val="continue"/>
            <w:noWrap w:val="0"/>
            <w:tcMar>
              <w:top w:w="12" w:type="dxa"/>
              <w:left w:w="12" w:type="dxa"/>
              <w:right w:w="12" w:type="dxa"/>
            </w:tcMar>
            <w:vAlign w:val="center"/>
          </w:tcPr>
          <w:p w14:paraId="37EDB74B">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1135" w:type="dxa"/>
            <w:noWrap w:val="0"/>
            <w:tcMar>
              <w:top w:w="12" w:type="dxa"/>
              <w:left w:w="12" w:type="dxa"/>
              <w:right w:w="12" w:type="dxa"/>
            </w:tcMar>
            <w:vAlign w:val="center"/>
          </w:tcPr>
          <w:p w14:paraId="17589B45">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2固废综合利用（5分）</w:t>
            </w:r>
          </w:p>
        </w:tc>
        <w:tc>
          <w:tcPr>
            <w:tcW w:w="1135" w:type="dxa"/>
            <w:noWrap w:val="0"/>
            <w:tcMar>
              <w:top w:w="12" w:type="dxa"/>
              <w:left w:w="12" w:type="dxa"/>
              <w:right w:w="12" w:type="dxa"/>
            </w:tcMar>
            <w:vAlign w:val="center"/>
          </w:tcPr>
          <w:p w14:paraId="6BAC77F6">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22土质剥离物的综合利用</w:t>
            </w:r>
          </w:p>
        </w:tc>
        <w:tc>
          <w:tcPr>
            <w:tcW w:w="850" w:type="dxa"/>
            <w:noWrap w:val="0"/>
            <w:tcMar>
              <w:top w:w="12" w:type="dxa"/>
              <w:left w:w="12" w:type="dxa"/>
              <w:right w:w="12" w:type="dxa"/>
            </w:tcMar>
            <w:vAlign w:val="center"/>
          </w:tcPr>
          <w:p w14:paraId="1229A24E">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5</w:t>
            </w:r>
          </w:p>
        </w:tc>
        <w:tc>
          <w:tcPr>
            <w:tcW w:w="5680" w:type="dxa"/>
            <w:noWrap w:val="0"/>
            <w:tcMar>
              <w:top w:w="12" w:type="dxa"/>
              <w:left w:w="12" w:type="dxa"/>
              <w:right w:w="12" w:type="dxa"/>
            </w:tcMar>
            <w:vAlign w:val="center"/>
          </w:tcPr>
          <w:p w14:paraId="5DDA3A75">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适用于砂石、建筑石材等行业：</w:t>
            </w:r>
          </w:p>
          <w:p w14:paraId="33D7111B">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排土场堆放的剥离表土或筛分后的碴土、废石等，用于环境治理、土地复垦、生态修复等。符合要求得5分。</w:t>
            </w:r>
          </w:p>
          <w:p w14:paraId="4A9F146A">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Segoe UI Symbol"/>
                <w:color w:val="000000"/>
                <w:kern w:val="0"/>
                <w:sz w:val="21"/>
                <w:szCs w:val="21"/>
                <w:lang w:bidi="ar"/>
              </w:rPr>
              <w:t>★</w:t>
            </w:r>
            <w:r>
              <w:rPr>
                <w:rFonts w:ascii="宋体" w:hAnsi="宋体" w:cs="Times New Roman"/>
                <w:color w:val="000000"/>
                <w:kern w:val="0"/>
                <w:sz w:val="21"/>
                <w:szCs w:val="21"/>
                <w:lang w:bidi="ar"/>
              </w:rPr>
              <w:t>适用于水泥灰岩行业：</w:t>
            </w:r>
          </w:p>
          <w:p w14:paraId="2B3379A1">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将符合要求的土质剥离物用作硅铝质原料或用于土地复垦，其他剥离物用作水泥配料、砂石骨料或其他工程用料。符合要求得5分。</w:t>
            </w:r>
          </w:p>
        </w:tc>
        <w:tc>
          <w:tcPr>
            <w:tcW w:w="992" w:type="dxa"/>
            <w:noWrap w:val="0"/>
            <w:tcMar>
              <w:top w:w="12" w:type="dxa"/>
              <w:left w:w="12" w:type="dxa"/>
              <w:right w:w="12" w:type="dxa"/>
            </w:tcMar>
            <w:vAlign w:val="center"/>
          </w:tcPr>
          <w:p w14:paraId="1AD33AB3">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71" w:type="dxa"/>
            <w:noWrap w:val="0"/>
            <w:tcMar>
              <w:top w:w="12" w:type="dxa"/>
              <w:left w:w="12" w:type="dxa"/>
              <w:right w:w="12" w:type="dxa"/>
            </w:tcMar>
            <w:vAlign w:val="center"/>
          </w:tcPr>
          <w:p w14:paraId="1DEA15A5">
            <w:pPr>
              <w:keepNext w:val="0"/>
              <w:keepLines w:val="0"/>
              <w:pageBreakBefore w:val="0"/>
              <w:widowControl/>
              <w:kinsoku/>
              <w:wordWrap/>
              <w:overflowPunct/>
              <w:topLinePunct w:val="0"/>
              <w:autoSpaceDE/>
              <w:autoSpaceDN/>
              <w:bidi w:val="0"/>
              <w:adjustRightInd w:val="0"/>
              <w:snapToGrid w:val="0"/>
              <w:spacing w:line="22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生产报表（调度报表）或其他证明材料，符合环评批复相关要求</w:t>
            </w:r>
          </w:p>
        </w:tc>
        <w:tc>
          <w:tcPr>
            <w:tcW w:w="514" w:type="dxa"/>
            <w:noWrap w:val="0"/>
            <w:tcMar>
              <w:top w:w="12" w:type="dxa"/>
              <w:left w:w="12" w:type="dxa"/>
              <w:right w:w="12" w:type="dxa"/>
            </w:tcMar>
            <w:vAlign w:val="center"/>
          </w:tcPr>
          <w:p w14:paraId="2EE3E81A">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5" w:type="dxa"/>
            <w:noWrap w:val="0"/>
            <w:vAlign w:val="center"/>
          </w:tcPr>
          <w:p w14:paraId="533F5A3E">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c>
          <w:tcPr>
            <w:tcW w:w="595" w:type="dxa"/>
            <w:noWrap w:val="0"/>
            <w:vAlign w:val="center"/>
          </w:tcPr>
          <w:p w14:paraId="7F8ABF95">
            <w:pPr>
              <w:keepNext w:val="0"/>
              <w:keepLines w:val="0"/>
              <w:pageBreakBefore w:val="0"/>
              <w:widowControl w:val="0"/>
              <w:kinsoku/>
              <w:wordWrap/>
              <w:overflowPunct/>
              <w:topLinePunct w:val="0"/>
              <w:autoSpaceDE/>
              <w:autoSpaceDN/>
              <w:bidi w:val="0"/>
              <w:adjustRightInd w:val="0"/>
              <w:snapToGrid w:val="0"/>
              <w:spacing w:line="220" w:lineRule="exact"/>
              <w:ind w:firstLine="0" w:firstLineChars="0"/>
              <w:jc w:val="center"/>
              <w:rPr>
                <w:rFonts w:ascii="宋体" w:hAnsi="宋体" w:cs="Times New Roman"/>
                <w:color w:val="000000"/>
                <w:kern w:val="0"/>
                <w:sz w:val="21"/>
                <w:szCs w:val="21"/>
              </w:rPr>
            </w:pPr>
          </w:p>
        </w:tc>
      </w:tr>
    </w:tbl>
    <w:p w14:paraId="603065F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7" w:type="default"/>
          <w:pgSz w:w="16838" w:h="11906" w:orient="landscape"/>
          <w:pgMar w:top="2098" w:right="1474" w:bottom="1984" w:left="1587" w:header="284" w:footer="283" w:gutter="0"/>
          <w:pgNumType w:fmt="decimal"/>
          <w:cols w:space="720" w:num="1"/>
          <w:docGrid w:type="lines" w:linePitch="435" w:charSpace="0"/>
        </w:sectPr>
      </w:pPr>
    </w:p>
    <w:tbl>
      <w:tblPr>
        <w:tblStyle w:val="5"/>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66"/>
        <w:gridCol w:w="1108"/>
        <w:gridCol w:w="1108"/>
        <w:gridCol w:w="831"/>
        <w:gridCol w:w="5656"/>
        <w:gridCol w:w="860"/>
        <w:gridCol w:w="2278"/>
        <w:gridCol w:w="442"/>
        <w:gridCol w:w="583"/>
        <w:gridCol w:w="583"/>
      </w:tblGrid>
      <w:tr w14:paraId="75D5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5" w:hRule="atLeast"/>
          <w:jc w:val="center"/>
        </w:trPr>
        <w:tc>
          <w:tcPr>
            <w:tcW w:w="966" w:type="dxa"/>
            <w:vMerge w:val="restart"/>
            <w:noWrap w:val="0"/>
            <w:tcMar>
              <w:top w:w="12" w:type="dxa"/>
              <w:left w:w="12" w:type="dxa"/>
              <w:right w:w="12" w:type="dxa"/>
            </w:tcMar>
            <w:vAlign w:val="center"/>
          </w:tcPr>
          <w:p w14:paraId="5A00BD26">
            <w:pPr>
              <w:pStyle w:val="2"/>
              <w:keepNext w:val="0"/>
              <w:keepLines w:val="0"/>
              <w:pageBreakBefore w:val="0"/>
              <w:kinsoku/>
              <w:wordWrap/>
              <w:overflowPunct/>
              <w:topLinePunct w:val="0"/>
              <w:autoSpaceDE/>
              <w:autoSpaceDN/>
              <w:bidi w:val="0"/>
              <w:spacing w:line="240" w:lineRule="exact"/>
            </w:pPr>
          </w:p>
        </w:tc>
        <w:tc>
          <w:tcPr>
            <w:tcW w:w="1108" w:type="dxa"/>
            <w:vMerge w:val="restart"/>
            <w:noWrap w:val="0"/>
            <w:tcMar>
              <w:top w:w="12" w:type="dxa"/>
              <w:left w:w="12" w:type="dxa"/>
              <w:right w:w="12" w:type="dxa"/>
            </w:tcMar>
            <w:vAlign w:val="center"/>
          </w:tcPr>
          <w:p w14:paraId="6404494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3废水综合利用（8分）</w:t>
            </w:r>
          </w:p>
        </w:tc>
        <w:tc>
          <w:tcPr>
            <w:tcW w:w="1108" w:type="dxa"/>
            <w:noWrap w:val="0"/>
            <w:tcMar>
              <w:top w:w="12" w:type="dxa"/>
              <w:left w:w="12" w:type="dxa"/>
              <w:right w:w="12" w:type="dxa"/>
            </w:tcMar>
            <w:vAlign w:val="center"/>
          </w:tcPr>
          <w:p w14:paraId="0F6015A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23生产废水处置与利用</w:t>
            </w:r>
          </w:p>
        </w:tc>
        <w:tc>
          <w:tcPr>
            <w:tcW w:w="831" w:type="dxa"/>
            <w:noWrap w:val="0"/>
            <w:tcMar>
              <w:top w:w="12" w:type="dxa"/>
              <w:left w:w="12" w:type="dxa"/>
              <w:right w:w="12" w:type="dxa"/>
            </w:tcMar>
            <w:vAlign w:val="center"/>
          </w:tcPr>
          <w:p w14:paraId="0BDF805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4</w:t>
            </w:r>
          </w:p>
        </w:tc>
        <w:tc>
          <w:tcPr>
            <w:tcW w:w="5656" w:type="dxa"/>
            <w:noWrap w:val="0"/>
            <w:tcMar>
              <w:top w:w="12" w:type="dxa"/>
              <w:left w:w="12" w:type="dxa"/>
              <w:right w:w="12" w:type="dxa"/>
            </w:tcMar>
            <w:vAlign w:val="center"/>
          </w:tcPr>
          <w:p w14:paraId="6EA103E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配备完善的生产废水处理系统，</w:t>
            </w:r>
            <w:r>
              <w:rPr>
                <w:rFonts w:hint="eastAsia" w:ascii="宋体" w:hAnsi="宋体" w:cs="Times New Roman"/>
                <w:color w:val="000000"/>
                <w:kern w:val="0"/>
                <w:sz w:val="21"/>
                <w:szCs w:val="21"/>
                <w:lang w:bidi="ar"/>
              </w:rPr>
              <w:t>并正常运行的</w:t>
            </w:r>
            <w:r>
              <w:rPr>
                <w:rFonts w:ascii="宋体" w:hAnsi="宋体" w:cs="Times New Roman"/>
                <w:color w:val="000000"/>
                <w:kern w:val="0"/>
                <w:sz w:val="21"/>
                <w:szCs w:val="21"/>
                <w:lang w:bidi="ar"/>
              </w:rPr>
              <w:t>得2分；</w:t>
            </w:r>
          </w:p>
          <w:p w14:paraId="7E045B7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②</w:t>
            </w:r>
            <w:r>
              <w:rPr>
                <w:rFonts w:ascii="宋体" w:hAnsi="宋体" w:cs="Times New Roman"/>
                <w:color w:val="000000"/>
                <w:kern w:val="0"/>
                <w:sz w:val="21"/>
                <w:szCs w:val="21"/>
                <w:lang w:bidi="ar"/>
              </w:rPr>
              <w:t>废水经固液分离处理后，清水得到有效循环利用，得2分。砂石清水循环利用率达到100%，不达标不得分。</w:t>
            </w:r>
          </w:p>
        </w:tc>
        <w:tc>
          <w:tcPr>
            <w:tcW w:w="860" w:type="dxa"/>
            <w:noWrap w:val="0"/>
            <w:tcMar>
              <w:top w:w="12" w:type="dxa"/>
              <w:left w:w="12" w:type="dxa"/>
              <w:right w:w="12" w:type="dxa"/>
            </w:tcMar>
            <w:vAlign w:val="center"/>
          </w:tcPr>
          <w:p w14:paraId="08546A6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78" w:type="dxa"/>
            <w:noWrap w:val="0"/>
            <w:tcMar>
              <w:top w:w="12" w:type="dxa"/>
              <w:left w:w="12" w:type="dxa"/>
              <w:right w:w="12" w:type="dxa"/>
            </w:tcMar>
            <w:vAlign w:val="center"/>
          </w:tcPr>
          <w:p w14:paraId="6B34D40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生产报表（调度报表）或其他证明材料，砂石行业绿色矿山建设规范，符合环评批复相关要求</w:t>
            </w:r>
          </w:p>
        </w:tc>
        <w:tc>
          <w:tcPr>
            <w:tcW w:w="442" w:type="dxa"/>
            <w:noWrap w:val="0"/>
            <w:tcMar>
              <w:top w:w="12" w:type="dxa"/>
              <w:left w:w="12" w:type="dxa"/>
              <w:right w:w="12" w:type="dxa"/>
            </w:tcMar>
            <w:vAlign w:val="center"/>
          </w:tcPr>
          <w:p w14:paraId="21EDA31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3" w:type="dxa"/>
            <w:noWrap w:val="0"/>
            <w:vAlign w:val="center"/>
          </w:tcPr>
          <w:p w14:paraId="69F1861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3" w:type="dxa"/>
            <w:noWrap w:val="0"/>
            <w:vAlign w:val="center"/>
          </w:tcPr>
          <w:p w14:paraId="7272788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3AB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9" w:hRule="atLeast"/>
          <w:jc w:val="center"/>
        </w:trPr>
        <w:tc>
          <w:tcPr>
            <w:tcW w:w="966" w:type="dxa"/>
            <w:vMerge w:val="continue"/>
            <w:noWrap w:val="0"/>
            <w:tcMar>
              <w:top w:w="12" w:type="dxa"/>
              <w:left w:w="12" w:type="dxa"/>
              <w:right w:w="12" w:type="dxa"/>
            </w:tcMar>
            <w:vAlign w:val="center"/>
          </w:tcPr>
          <w:p w14:paraId="49E8CF2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08" w:type="dxa"/>
            <w:vMerge w:val="continue"/>
            <w:noWrap w:val="0"/>
            <w:tcMar>
              <w:top w:w="12" w:type="dxa"/>
              <w:left w:w="12" w:type="dxa"/>
              <w:right w:w="12" w:type="dxa"/>
            </w:tcMar>
            <w:vAlign w:val="center"/>
          </w:tcPr>
          <w:p w14:paraId="26DB501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08" w:type="dxa"/>
            <w:noWrap w:val="0"/>
            <w:tcMar>
              <w:top w:w="12" w:type="dxa"/>
              <w:left w:w="12" w:type="dxa"/>
              <w:right w:w="12" w:type="dxa"/>
            </w:tcMar>
            <w:vAlign w:val="center"/>
          </w:tcPr>
          <w:p w14:paraId="11B8D36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24生活污水综合利用</w:t>
            </w:r>
          </w:p>
        </w:tc>
        <w:tc>
          <w:tcPr>
            <w:tcW w:w="831" w:type="dxa"/>
            <w:noWrap w:val="0"/>
            <w:tcMar>
              <w:top w:w="12" w:type="dxa"/>
              <w:left w:w="12" w:type="dxa"/>
              <w:right w:w="12" w:type="dxa"/>
            </w:tcMar>
            <w:vAlign w:val="center"/>
          </w:tcPr>
          <w:p w14:paraId="1AEFB83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4</w:t>
            </w:r>
          </w:p>
        </w:tc>
        <w:tc>
          <w:tcPr>
            <w:tcW w:w="5656" w:type="dxa"/>
            <w:noWrap w:val="0"/>
            <w:tcMar>
              <w:top w:w="12" w:type="dxa"/>
              <w:left w:w="12" w:type="dxa"/>
              <w:right w:w="12" w:type="dxa"/>
            </w:tcMar>
            <w:vAlign w:val="center"/>
          </w:tcPr>
          <w:p w14:paraId="6D04B2A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eastAsia="宋体" w:cs="宋体"/>
                <w:color w:val="000000"/>
                <w:kern w:val="0"/>
                <w:sz w:val="21"/>
                <w:szCs w:val="21"/>
                <w:lang w:bidi="ar"/>
              </w:rPr>
              <w:t>①</w:t>
            </w:r>
            <w:r>
              <w:rPr>
                <w:rFonts w:ascii="宋体" w:hAnsi="宋体" w:cs="Times New Roman"/>
                <w:color w:val="000000"/>
                <w:kern w:val="0"/>
                <w:sz w:val="21"/>
                <w:szCs w:val="21"/>
                <w:lang w:bidi="ar"/>
              </w:rPr>
              <w:t>配备生活污水处理系统，</w:t>
            </w:r>
            <w:r>
              <w:rPr>
                <w:rFonts w:hint="eastAsia" w:ascii="宋体" w:hAnsi="宋体" w:cs="Times New Roman"/>
                <w:color w:val="000000"/>
                <w:kern w:val="0"/>
                <w:sz w:val="21"/>
                <w:szCs w:val="21"/>
                <w:lang w:bidi="ar"/>
              </w:rPr>
              <w:t>并正常运行的</w:t>
            </w:r>
            <w:r>
              <w:rPr>
                <w:rFonts w:ascii="宋体" w:hAnsi="宋体" w:cs="Times New Roman"/>
                <w:color w:val="000000"/>
                <w:kern w:val="0"/>
                <w:sz w:val="21"/>
                <w:szCs w:val="21"/>
                <w:lang w:bidi="ar"/>
              </w:rPr>
              <w:t>得2分；生活污水处置达标后，用于工业场地浇灌绿化，洒水降尘或其他综合利用，得2分。</w:t>
            </w:r>
          </w:p>
          <w:p w14:paraId="3CB4714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hint="eastAsia" w:ascii="宋体" w:hAnsi="宋体" w:eastAsia="宋体" w:cs="宋体"/>
                <w:color w:val="000000"/>
                <w:kern w:val="0"/>
                <w:sz w:val="21"/>
                <w:szCs w:val="21"/>
                <w:lang w:bidi="ar"/>
              </w:rPr>
              <w:t>②</w:t>
            </w:r>
            <w:r>
              <w:rPr>
                <w:rFonts w:ascii="宋体" w:hAnsi="宋体" w:cs="Times New Roman"/>
                <w:color w:val="000000"/>
                <w:kern w:val="0"/>
                <w:sz w:val="21"/>
                <w:szCs w:val="21"/>
                <w:lang w:bidi="ar"/>
              </w:rPr>
              <w:t>企业生活污水直接连入城镇污水处理管网，得4分。</w:t>
            </w:r>
          </w:p>
        </w:tc>
        <w:tc>
          <w:tcPr>
            <w:tcW w:w="860" w:type="dxa"/>
            <w:noWrap w:val="0"/>
            <w:tcMar>
              <w:top w:w="12" w:type="dxa"/>
              <w:left w:w="12" w:type="dxa"/>
              <w:right w:w="12" w:type="dxa"/>
            </w:tcMar>
            <w:vAlign w:val="center"/>
          </w:tcPr>
          <w:p w14:paraId="6BCC7D2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78" w:type="dxa"/>
            <w:noWrap w:val="0"/>
            <w:tcMar>
              <w:top w:w="12" w:type="dxa"/>
              <w:left w:w="12" w:type="dxa"/>
              <w:right w:w="12" w:type="dxa"/>
            </w:tcMar>
            <w:vAlign w:val="center"/>
          </w:tcPr>
          <w:p w14:paraId="3DFEEA9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lang w:bidi="ar"/>
              </w:rPr>
              <w:t>生产报表（调度报表）或其他证明材料，符合环评批复相关要求</w:t>
            </w:r>
          </w:p>
        </w:tc>
        <w:tc>
          <w:tcPr>
            <w:tcW w:w="442" w:type="dxa"/>
            <w:noWrap w:val="0"/>
            <w:tcMar>
              <w:top w:w="12" w:type="dxa"/>
              <w:left w:w="12" w:type="dxa"/>
              <w:right w:w="12" w:type="dxa"/>
            </w:tcMar>
            <w:vAlign w:val="center"/>
          </w:tcPr>
          <w:p w14:paraId="21EFEFD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3" w:type="dxa"/>
            <w:noWrap w:val="0"/>
            <w:vAlign w:val="center"/>
          </w:tcPr>
          <w:p w14:paraId="077471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3" w:type="dxa"/>
            <w:noWrap w:val="0"/>
            <w:vAlign w:val="center"/>
          </w:tcPr>
          <w:p w14:paraId="141EBC4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5CB9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1" w:hRule="atLeast"/>
          <w:jc w:val="center"/>
        </w:trPr>
        <w:tc>
          <w:tcPr>
            <w:tcW w:w="966" w:type="dxa"/>
            <w:vMerge w:val="restart"/>
            <w:noWrap w:val="0"/>
            <w:tcMar>
              <w:top w:w="12" w:type="dxa"/>
              <w:left w:w="12" w:type="dxa"/>
              <w:right w:w="12" w:type="dxa"/>
            </w:tcMar>
            <w:vAlign w:val="center"/>
          </w:tcPr>
          <w:p w14:paraId="75E9130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7725224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134AD7E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0976FD4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7824433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05E8650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18752BA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73B7DBF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2B7875A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4CB6B8C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106D838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6B616877">
            <w:pPr>
              <w:pStyle w:val="2"/>
              <w:keepNext w:val="0"/>
              <w:keepLines w:val="0"/>
              <w:pageBreakBefore w:val="0"/>
              <w:kinsoku/>
              <w:wordWrap/>
              <w:overflowPunct/>
              <w:topLinePunct w:val="0"/>
              <w:autoSpaceDE/>
              <w:autoSpaceDN/>
              <w:bidi w:val="0"/>
              <w:spacing w:line="240" w:lineRule="exact"/>
              <w:rPr>
                <w:rFonts w:ascii="宋体" w:hAnsi="宋体"/>
              </w:rPr>
            </w:pPr>
          </w:p>
          <w:p w14:paraId="4E17ED0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0F24943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p w14:paraId="22D82BA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bookmarkStart w:id="1" w:name="OLE_LINK5"/>
            <w:r>
              <w:rPr>
                <w:rFonts w:ascii="宋体" w:hAnsi="宋体" w:cs="Times New Roman"/>
                <w:color w:val="000000"/>
                <w:kern w:val="0"/>
                <w:sz w:val="21"/>
                <w:szCs w:val="21"/>
              </w:rPr>
              <w:t>四、绿色低碳（13项，20分）</w:t>
            </w:r>
          </w:p>
          <w:bookmarkEnd w:id="1"/>
          <w:p w14:paraId="08106399">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3BD4ACA5">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7306EA75">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47D78CAE">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6B7137D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both"/>
              <w:textAlignment w:val="center"/>
              <w:rPr>
                <w:rFonts w:ascii="宋体" w:hAnsi="宋体"/>
              </w:rPr>
            </w:pPr>
          </w:p>
        </w:tc>
        <w:tc>
          <w:tcPr>
            <w:tcW w:w="1108" w:type="dxa"/>
            <w:noWrap w:val="0"/>
            <w:tcMar>
              <w:top w:w="12" w:type="dxa"/>
              <w:left w:w="12" w:type="dxa"/>
              <w:right w:w="12" w:type="dxa"/>
            </w:tcMar>
            <w:vAlign w:val="center"/>
          </w:tcPr>
          <w:p w14:paraId="720ED14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p>
          <w:p w14:paraId="27B5398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p>
          <w:p w14:paraId="1647BC9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1节约集约用地（2分）</w:t>
            </w:r>
          </w:p>
        </w:tc>
        <w:tc>
          <w:tcPr>
            <w:tcW w:w="1108" w:type="dxa"/>
            <w:noWrap w:val="0"/>
            <w:tcMar>
              <w:top w:w="12" w:type="dxa"/>
              <w:left w:w="12" w:type="dxa"/>
              <w:right w:w="12" w:type="dxa"/>
            </w:tcMar>
            <w:vAlign w:val="center"/>
          </w:tcPr>
          <w:p w14:paraId="6A777C2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25节约集约用地情况</w:t>
            </w:r>
          </w:p>
        </w:tc>
        <w:tc>
          <w:tcPr>
            <w:tcW w:w="831" w:type="dxa"/>
            <w:noWrap w:val="0"/>
            <w:tcMar>
              <w:top w:w="12" w:type="dxa"/>
              <w:left w:w="12" w:type="dxa"/>
              <w:right w:w="12" w:type="dxa"/>
            </w:tcMar>
            <w:vAlign w:val="center"/>
          </w:tcPr>
          <w:p w14:paraId="5557098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56" w:type="dxa"/>
            <w:noWrap w:val="0"/>
            <w:tcMar>
              <w:top w:w="12" w:type="dxa"/>
              <w:left w:w="12" w:type="dxa"/>
              <w:right w:w="12" w:type="dxa"/>
            </w:tcMar>
            <w:vAlign w:val="center"/>
          </w:tcPr>
          <w:p w14:paraId="75793AE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矿山用地在满足建设、运输生产等要求前提下，综合考虑土地资源、资金、环境等经济技术条件，按照节约集约原则，进行优化配置和科学利用，充分利用荒地、劣地，少占耕地。符合要求得2分，不符合得0分。</w:t>
            </w:r>
          </w:p>
        </w:tc>
        <w:tc>
          <w:tcPr>
            <w:tcW w:w="860" w:type="dxa"/>
            <w:noWrap w:val="0"/>
            <w:tcMar>
              <w:top w:w="12" w:type="dxa"/>
              <w:left w:w="12" w:type="dxa"/>
              <w:right w:w="12" w:type="dxa"/>
            </w:tcMar>
            <w:vAlign w:val="center"/>
          </w:tcPr>
          <w:p w14:paraId="592DB0B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78" w:type="dxa"/>
            <w:noWrap w:val="0"/>
            <w:tcMar>
              <w:top w:w="12" w:type="dxa"/>
              <w:left w:w="12" w:type="dxa"/>
              <w:right w:w="12" w:type="dxa"/>
            </w:tcMar>
            <w:vAlign w:val="center"/>
          </w:tcPr>
          <w:p w14:paraId="662DD4A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《节约集约利用土地规定（2019年修正）》《工业项目用地控制指标》《自然资源部办公厅关于规范开展建设项目节地评价工作的通知》（自然资办发〔2021〕14号）</w:t>
            </w:r>
          </w:p>
        </w:tc>
        <w:tc>
          <w:tcPr>
            <w:tcW w:w="442" w:type="dxa"/>
            <w:noWrap w:val="0"/>
            <w:tcMar>
              <w:top w:w="12" w:type="dxa"/>
              <w:left w:w="12" w:type="dxa"/>
              <w:right w:w="12" w:type="dxa"/>
            </w:tcMar>
            <w:vAlign w:val="center"/>
          </w:tcPr>
          <w:p w14:paraId="1BB48F1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3" w:type="dxa"/>
            <w:noWrap w:val="0"/>
            <w:vAlign w:val="center"/>
          </w:tcPr>
          <w:p w14:paraId="2A85396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3" w:type="dxa"/>
            <w:noWrap w:val="0"/>
            <w:vAlign w:val="center"/>
          </w:tcPr>
          <w:p w14:paraId="4A04270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7ACA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atLeast"/>
          <w:jc w:val="center"/>
        </w:trPr>
        <w:tc>
          <w:tcPr>
            <w:tcW w:w="966" w:type="dxa"/>
            <w:vMerge w:val="continue"/>
            <w:noWrap w:val="0"/>
            <w:tcMar>
              <w:top w:w="12" w:type="dxa"/>
              <w:left w:w="12" w:type="dxa"/>
              <w:right w:w="12" w:type="dxa"/>
            </w:tcMar>
            <w:vAlign w:val="center"/>
          </w:tcPr>
          <w:p w14:paraId="4CC05CE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tc>
        <w:tc>
          <w:tcPr>
            <w:tcW w:w="1108" w:type="dxa"/>
            <w:vMerge w:val="restart"/>
            <w:noWrap w:val="0"/>
            <w:tcMar>
              <w:top w:w="12" w:type="dxa"/>
              <w:left w:w="12" w:type="dxa"/>
              <w:right w:w="12" w:type="dxa"/>
            </w:tcMar>
            <w:vAlign w:val="center"/>
          </w:tcPr>
          <w:p w14:paraId="12DC549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2节能降耗（3分）</w:t>
            </w:r>
          </w:p>
          <w:p w14:paraId="7FABC35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08" w:type="dxa"/>
            <w:noWrap w:val="0"/>
            <w:tcMar>
              <w:top w:w="12" w:type="dxa"/>
              <w:left w:w="12" w:type="dxa"/>
              <w:right w:w="12" w:type="dxa"/>
            </w:tcMar>
            <w:vAlign w:val="center"/>
          </w:tcPr>
          <w:p w14:paraId="67B2EA6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rPr>
              <w:t>26能源管理体系</w:t>
            </w:r>
          </w:p>
        </w:tc>
        <w:tc>
          <w:tcPr>
            <w:tcW w:w="831" w:type="dxa"/>
            <w:noWrap w:val="0"/>
            <w:tcMar>
              <w:top w:w="12" w:type="dxa"/>
              <w:left w:w="12" w:type="dxa"/>
              <w:right w:w="12" w:type="dxa"/>
            </w:tcMar>
            <w:vAlign w:val="center"/>
          </w:tcPr>
          <w:p w14:paraId="54A9EB2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56" w:type="dxa"/>
            <w:noWrap w:val="0"/>
            <w:tcMar>
              <w:top w:w="12" w:type="dxa"/>
              <w:left w:w="12" w:type="dxa"/>
              <w:right w:w="12" w:type="dxa"/>
            </w:tcMar>
            <w:vAlign w:val="center"/>
          </w:tcPr>
          <w:p w14:paraId="4CD52A8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有年度能源管理计划，得0.5分。建立全过程能耗管理体系得0.5分。取得能源管理体系认证，得1分。得分不超过1分。</w:t>
            </w:r>
          </w:p>
        </w:tc>
        <w:tc>
          <w:tcPr>
            <w:tcW w:w="860" w:type="dxa"/>
            <w:noWrap w:val="0"/>
            <w:tcMar>
              <w:top w:w="12" w:type="dxa"/>
              <w:left w:w="12" w:type="dxa"/>
              <w:right w:w="12" w:type="dxa"/>
            </w:tcMar>
            <w:vAlign w:val="center"/>
          </w:tcPr>
          <w:p w14:paraId="0A0EB64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w:t>
            </w:r>
          </w:p>
        </w:tc>
        <w:tc>
          <w:tcPr>
            <w:tcW w:w="2278" w:type="dxa"/>
            <w:noWrap w:val="0"/>
            <w:tcMar>
              <w:top w:w="12" w:type="dxa"/>
              <w:left w:w="12" w:type="dxa"/>
              <w:right w:w="12" w:type="dxa"/>
            </w:tcMar>
            <w:vAlign w:val="center"/>
          </w:tcPr>
          <w:p w14:paraId="735DCAC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能耗核算体系文件或台账，能源管理体系证书</w:t>
            </w:r>
          </w:p>
        </w:tc>
        <w:tc>
          <w:tcPr>
            <w:tcW w:w="442" w:type="dxa"/>
            <w:noWrap w:val="0"/>
            <w:tcMar>
              <w:top w:w="12" w:type="dxa"/>
              <w:left w:w="12" w:type="dxa"/>
              <w:right w:w="12" w:type="dxa"/>
            </w:tcMar>
            <w:vAlign w:val="center"/>
          </w:tcPr>
          <w:p w14:paraId="57C5EE9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83" w:type="dxa"/>
            <w:noWrap w:val="0"/>
            <w:vAlign w:val="center"/>
          </w:tcPr>
          <w:p w14:paraId="0BD49B5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83" w:type="dxa"/>
            <w:noWrap w:val="0"/>
            <w:vAlign w:val="center"/>
          </w:tcPr>
          <w:p w14:paraId="5F2B1D8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tc>
      </w:tr>
      <w:tr w14:paraId="314B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7" w:hRule="atLeast"/>
          <w:jc w:val="center"/>
        </w:trPr>
        <w:tc>
          <w:tcPr>
            <w:tcW w:w="966" w:type="dxa"/>
            <w:vMerge w:val="continue"/>
            <w:noWrap w:val="0"/>
            <w:tcMar>
              <w:top w:w="12" w:type="dxa"/>
              <w:left w:w="12" w:type="dxa"/>
              <w:right w:w="12" w:type="dxa"/>
            </w:tcMar>
            <w:vAlign w:val="center"/>
          </w:tcPr>
          <w:p w14:paraId="243C906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08" w:type="dxa"/>
            <w:vMerge w:val="continue"/>
            <w:noWrap w:val="0"/>
            <w:tcMar>
              <w:top w:w="12" w:type="dxa"/>
              <w:left w:w="12" w:type="dxa"/>
              <w:right w:w="12" w:type="dxa"/>
            </w:tcMar>
            <w:vAlign w:val="center"/>
          </w:tcPr>
          <w:p w14:paraId="55616D1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08" w:type="dxa"/>
            <w:noWrap w:val="0"/>
            <w:tcMar>
              <w:top w:w="12" w:type="dxa"/>
              <w:left w:w="12" w:type="dxa"/>
              <w:right w:w="12" w:type="dxa"/>
            </w:tcMar>
            <w:vAlign w:val="center"/>
          </w:tcPr>
          <w:p w14:paraId="6249744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27</w:t>
            </w:r>
            <w:r>
              <w:rPr>
                <w:rFonts w:ascii="宋体" w:hAnsi="宋体" w:cs="Times New Roman"/>
                <w:color w:val="000000"/>
                <w:kern w:val="0"/>
                <w:sz w:val="21"/>
                <w:szCs w:val="21"/>
              </w:rPr>
              <w:t>单位产品能耗</w:t>
            </w:r>
          </w:p>
        </w:tc>
        <w:tc>
          <w:tcPr>
            <w:tcW w:w="831" w:type="dxa"/>
            <w:noWrap w:val="0"/>
            <w:tcMar>
              <w:top w:w="12" w:type="dxa"/>
              <w:left w:w="12" w:type="dxa"/>
              <w:right w:w="12" w:type="dxa"/>
            </w:tcMar>
            <w:vAlign w:val="center"/>
          </w:tcPr>
          <w:p w14:paraId="3DCC83D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w:t>
            </w:r>
          </w:p>
        </w:tc>
        <w:tc>
          <w:tcPr>
            <w:tcW w:w="5656" w:type="dxa"/>
            <w:noWrap w:val="0"/>
            <w:tcMar>
              <w:top w:w="12" w:type="dxa"/>
              <w:left w:w="12" w:type="dxa"/>
              <w:right w:w="12" w:type="dxa"/>
            </w:tcMar>
            <w:vAlign w:val="center"/>
          </w:tcPr>
          <w:p w14:paraId="78C1280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单位产品能耗符合国家标准。煤矿、铁矿、金矿、有色金属矿有国家标准的，执行国家标准。其他矿种暂无国家标准、行业标准的，以企业近3年能耗等指标均值为依据进行考核，要体现节能降耗进步要求，能耗逐年降低。符合要求得2分，不符合得0分。</w:t>
            </w:r>
          </w:p>
        </w:tc>
        <w:tc>
          <w:tcPr>
            <w:tcW w:w="860" w:type="dxa"/>
            <w:noWrap w:val="0"/>
            <w:tcMar>
              <w:top w:w="12" w:type="dxa"/>
              <w:left w:w="12" w:type="dxa"/>
              <w:right w:w="12" w:type="dxa"/>
            </w:tcMar>
            <w:vAlign w:val="center"/>
          </w:tcPr>
          <w:p w14:paraId="4B863C6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w:t>
            </w:r>
          </w:p>
        </w:tc>
        <w:tc>
          <w:tcPr>
            <w:tcW w:w="2278" w:type="dxa"/>
            <w:noWrap w:val="0"/>
            <w:tcMar>
              <w:top w:w="12" w:type="dxa"/>
              <w:left w:w="12" w:type="dxa"/>
              <w:right w:w="12" w:type="dxa"/>
            </w:tcMar>
            <w:vAlign w:val="center"/>
          </w:tcPr>
          <w:p w14:paraId="48C6562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能耗台账、各行业单位产品能源消耗限额</w:t>
            </w:r>
          </w:p>
        </w:tc>
        <w:tc>
          <w:tcPr>
            <w:tcW w:w="442" w:type="dxa"/>
            <w:noWrap w:val="0"/>
            <w:tcMar>
              <w:top w:w="12" w:type="dxa"/>
              <w:left w:w="12" w:type="dxa"/>
              <w:right w:w="12" w:type="dxa"/>
            </w:tcMar>
            <w:vAlign w:val="center"/>
          </w:tcPr>
          <w:p w14:paraId="3040283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3" w:type="dxa"/>
            <w:noWrap w:val="0"/>
            <w:vAlign w:val="center"/>
          </w:tcPr>
          <w:p w14:paraId="3F241D4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tc>
        <w:tc>
          <w:tcPr>
            <w:tcW w:w="583" w:type="dxa"/>
            <w:noWrap w:val="0"/>
            <w:vAlign w:val="center"/>
          </w:tcPr>
          <w:p w14:paraId="1CFF2BA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297E5DC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8" w:type="default"/>
          <w:pgSz w:w="16838" w:h="11906" w:orient="landscape"/>
          <w:pgMar w:top="2098" w:right="1474" w:bottom="1984" w:left="1587" w:header="284" w:footer="283" w:gutter="0"/>
          <w:pgNumType w:fmt="decimal"/>
          <w:cols w:space="720" w:num="1"/>
          <w:docGrid w:type="lines" w:linePitch="435" w:charSpace="0"/>
        </w:sect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8"/>
        <w:gridCol w:w="1134"/>
        <w:gridCol w:w="1134"/>
        <w:gridCol w:w="850"/>
        <w:gridCol w:w="5670"/>
        <w:gridCol w:w="992"/>
        <w:gridCol w:w="2268"/>
        <w:gridCol w:w="514"/>
        <w:gridCol w:w="596"/>
        <w:gridCol w:w="596"/>
      </w:tblGrid>
      <w:tr w14:paraId="51A7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4" w:hRule="atLeast"/>
          <w:jc w:val="center"/>
        </w:trPr>
        <w:tc>
          <w:tcPr>
            <w:tcW w:w="988" w:type="dxa"/>
            <w:vMerge w:val="restart"/>
            <w:noWrap w:val="0"/>
            <w:tcMar>
              <w:top w:w="12" w:type="dxa"/>
              <w:left w:w="12" w:type="dxa"/>
              <w:right w:w="12" w:type="dxa"/>
            </w:tcMar>
            <w:vAlign w:val="center"/>
          </w:tcPr>
          <w:p w14:paraId="2F6C4742">
            <w:pPr>
              <w:pStyle w:val="2"/>
              <w:keepNext w:val="0"/>
              <w:keepLines w:val="0"/>
              <w:pageBreakBefore w:val="0"/>
              <w:kinsoku/>
              <w:wordWrap/>
              <w:overflowPunct/>
              <w:topLinePunct w:val="0"/>
              <w:autoSpaceDE/>
              <w:autoSpaceDN/>
              <w:bidi w:val="0"/>
              <w:spacing w:line="240" w:lineRule="exact"/>
            </w:pPr>
          </w:p>
        </w:tc>
        <w:tc>
          <w:tcPr>
            <w:tcW w:w="1134" w:type="dxa"/>
            <w:noWrap w:val="0"/>
            <w:tcMar>
              <w:top w:w="12" w:type="dxa"/>
              <w:left w:w="12" w:type="dxa"/>
              <w:right w:w="12" w:type="dxa"/>
            </w:tcMar>
            <w:vAlign w:val="center"/>
          </w:tcPr>
          <w:p w14:paraId="418BA1D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3减碳（2分）</w:t>
            </w:r>
          </w:p>
        </w:tc>
        <w:tc>
          <w:tcPr>
            <w:tcW w:w="1134" w:type="dxa"/>
            <w:noWrap w:val="0"/>
            <w:tcMar>
              <w:top w:w="12" w:type="dxa"/>
              <w:left w:w="12" w:type="dxa"/>
              <w:right w:w="12" w:type="dxa"/>
            </w:tcMar>
            <w:vAlign w:val="center"/>
          </w:tcPr>
          <w:p w14:paraId="029686A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28碳排放核算</w:t>
            </w:r>
          </w:p>
        </w:tc>
        <w:tc>
          <w:tcPr>
            <w:tcW w:w="850" w:type="dxa"/>
            <w:noWrap w:val="0"/>
            <w:tcMar>
              <w:top w:w="12" w:type="dxa"/>
              <w:left w:w="12" w:type="dxa"/>
              <w:right w:w="12" w:type="dxa"/>
            </w:tcMar>
            <w:vAlign w:val="center"/>
          </w:tcPr>
          <w:p w14:paraId="5B084F8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w:t>
            </w:r>
          </w:p>
        </w:tc>
        <w:tc>
          <w:tcPr>
            <w:tcW w:w="5670" w:type="dxa"/>
            <w:noWrap w:val="0"/>
            <w:tcMar>
              <w:top w:w="12" w:type="dxa"/>
              <w:left w:w="12" w:type="dxa"/>
              <w:right w:w="12" w:type="dxa"/>
            </w:tcMar>
            <w:vAlign w:val="center"/>
          </w:tcPr>
          <w:p w14:paraId="56B12CE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按照规定的核算方法，对矿区范围内的温室气体排放进行核算，开展工作的，得2分，未开展工作的，得0分。</w:t>
            </w:r>
          </w:p>
        </w:tc>
        <w:tc>
          <w:tcPr>
            <w:tcW w:w="992" w:type="dxa"/>
            <w:noWrap w:val="0"/>
            <w:tcMar>
              <w:top w:w="12" w:type="dxa"/>
              <w:left w:w="12" w:type="dxa"/>
              <w:right w:w="12" w:type="dxa"/>
            </w:tcMar>
            <w:vAlign w:val="center"/>
          </w:tcPr>
          <w:p w14:paraId="62C0E7C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w:t>
            </w:r>
          </w:p>
        </w:tc>
        <w:tc>
          <w:tcPr>
            <w:tcW w:w="2268" w:type="dxa"/>
            <w:noWrap w:val="0"/>
            <w:tcMar>
              <w:top w:w="12" w:type="dxa"/>
              <w:left w:w="12" w:type="dxa"/>
              <w:right w:w="12" w:type="dxa"/>
            </w:tcMar>
            <w:vAlign w:val="center"/>
          </w:tcPr>
          <w:p w14:paraId="6416B1F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《工业企业温室气体排放核算和报告通则》（GB/T  32150）、《温室气体排放核算方法与报告要求》（GB/T 32151）</w:t>
            </w:r>
          </w:p>
        </w:tc>
        <w:tc>
          <w:tcPr>
            <w:tcW w:w="514" w:type="dxa"/>
            <w:noWrap w:val="0"/>
            <w:tcMar>
              <w:top w:w="12" w:type="dxa"/>
              <w:left w:w="12" w:type="dxa"/>
              <w:right w:w="12" w:type="dxa"/>
            </w:tcMar>
            <w:vAlign w:val="center"/>
          </w:tcPr>
          <w:p w14:paraId="7A2D0A6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7C5C18B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7ED3600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452E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88" w:type="dxa"/>
            <w:vMerge w:val="continue"/>
            <w:noWrap w:val="0"/>
            <w:tcMar>
              <w:top w:w="12" w:type="dxa"/>
              <w:left w:w="12" w:type="dxa"/>
              <w:right w:w="12" w:type="dxa"/>
            </w:tcMar>
            <w:vAlign w:val="center"/>
          </w:tcPr>
          <w:p w14:paraId="6A8EC2A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restart"/>
            <w:noWrap w:val="0"/>
            <w:tcMar>
              <w:top w:w="12" w:type="dxa"/>
              <w:left w:w="12" w:type="dxa"/>
              <w:right w:w="12" w:type="dxa"/>
            </w:tcMar>
            <w:vAlign w:val="center"/>
          </w:tcPr>
          <w:p w14:paraId="7E3E182F">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32556F3A">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4源头预防（5分）</w:t>
            </w:r>
          </w:p>
          <w:p w14:paraId="7CDD4AF8">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07F71C18">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094EFEF9">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24A4C63B">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364EEAA4">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4C3B4D35">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0DF90407">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35E3EBF6">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6638E97A">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p w14:paraId="20D18BBA">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bookmarkStart w:id="2" w:name="OLE_LINK12"/>
            <w:r>
              <w:rPr>
                <w:rFonts w:ascii="宋体" w:hAnsi="宋体" w:cs="Times New Roman"/>
                <w:color w:val="000000"/>
                <w:kern w:val="0"/>
                <w:sz w:val="21"/>
                <w:szCs w:val="21"/>
                <w:lang w:bidi="ar"/>
              </w:rPr>
              <w:t>4源头预防（5分）</w:t>
            </w:r>
            <w:bookmarkEnd w:id="2"/>
          </w:p>
        </w:tc>
        <w:tc>
          <w:tcPr>
            <w:tcW w:w="1134" w:type="dxa"/>
            <w:noWrap w:val="0"/>
            <w:tcMar>
              <w:top w:w="12" w:type="dxa"/>
              <w:left w:w="12" w:type="dxa"/>
              <w:right w:w="12" w:type="dxa"/>
            </w:tcMar>
            <w:vAlign w:val="center"/>
          </w:tcPr>
          <w:p w14:paraId="2DCD046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29地下水环境状况</w:t>
            </w:r>
          </w:p>
        </w:tc>
        <w:tc>
          <w:tcPr>
            <w:tcW w:w="850" w:type="dxa"/>
            <w:noWrap w:val="0"/>
            <w:tcMar>
              <w:top w:w="12" w:type="dxa"/>
              <w:left w:w="12" w:type="dxa"/>
              <w:right w:w="12" w:type="dxa"/>
            </w:tcMar>
            <w:vAlign w:val="center"/>
          </w:tcPr>
          <w:p w14:paraId="2AEBD7E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099313F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矿区及周边地下水具备使用功能的，其环境状况应达到相关功能限值要求；存在因矿山开发导致地下水不满足相关功能要求时，应该按照相关标准开展地下水污染风险管控修复，防止地下水污染加重与扩散。符合要求得1分，不符合得0分。</w:t>
            </w:r>
          </w:p>
        </w:tc>
        <w:tc>
          <w:tcPr>
            <w:tcW w:w="992" w:type="dxa"/>
            <w:noWrap w:val="0"/>
            <w:tcMar>
              <w:top w:w="12" w:type="dxa"/>
              <w:left w:w="12" w:type="dxa"/>
              <w:right w:w="12" w:type="dxa"/>
            </w:tcMar>
            <w:vAlign w:val="center"/>
          </w:tcPr>
          <w:p w14:paraId="28CDA00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776131E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sz w:val="21"/>
                <w:szCs w:val="21"/>
              </w:rPr>
              <w:t>《</w:t>
            </w:r>
            <w:r>
              <w:rPr>
                <w:rFonts w:ascii="宋体" w:hAnsi="宋体" w:cs="Times New Roman"/>
                <w:color w:val="000000"/>
                <w:kern w:val="0"/>
                <w:sz w:val="21"/>
                <w:szCs w:val="21"/>
                <w:lang w:bidi="ar"/>
              </w:rPr>
              <w:t>工矿用地土壤环境管理办法（试行）》《地下水质量标准》（GB/T 14848）、《污染地块地下水修复和风险管控技术导则》（HJ 25.6）</w:t>
            </w:r>
          </w:p>
        </w:tc>
        <w:tc>
          <w:tcPr>
            <w:tcW w:w="514" w:type="dxa"/>
            <w:noWrap w:val="0"/>
            <w:tcMar>
              <w:top w:w="12" w:type="dxa"/>
              <w:left w:w="12" w:type="dxa"/>
              <w:right w:w="12" w:type="dxa"/>
            </w:tcMar>
            <w:vAlign w:val="center"/>
          </w:tcPr>
          <w:p w14:paraId="1742895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rPr>
              <w:t>约束性</w:t>
            </w:r>
          </w:p>
        </w:tc>
        <w:tc>
          <w:tcPr>
            <w:tcW w:w="596" w:type="dxa"/>
            <w:noWrap w:val="0"/>
            <w:vAlign w:val="center"/>
          </w:tcPr>
          <w:p w14:paraId="7E97290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96" w:type="dxa"/>
            <w:noWrap w:val="0"/>
            <w:vAlign w:val="center"/>
          </w:tcPr>
          <w:p w14:paraId="14C4F96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28EA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3" w:hRule="atLeast"/>
          <w:jc w:val="center"/>
        </w:trPr>
        <w:tc>
          <w:tcPr>
            <w:tcW w:w="988" w:type="dxa"/>
            <w:vMerge w:val="continue"/>
            <w:noWrap w:val="0"/>
            <w:tcMar>
              <w:top w:w="12" w:type="dxa"/>
              <w:left w:w="12" w:type="dxa"/>
              <w:right w:w="12" w:type="dxa"/>
            </w:tcMar>
            <w:vAlign w:val="center"/>
          </w:tcPr>
          <w:p w14:paraId="1BF7B04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36BB0BDD">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79E8C0A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30酸性废水源头预防</w:t>
            </w:r>
          </w:p>
        </w:tc>
        <w:tc>
          <w:tcPr>
            <w:tcW w:w="850" w:type="dxa"/>
            <w:noWrap w:val="0"/>
            <w:tcMar>
              <w:top w:w="12" w:type="dxa"/>
              <w:left w:w="12" w:type="dxa"/>
              <w:right w:w="12" w:type="dxa"/>
            </w:tcMar>
            <w:vAlign w:val="center"/>
          </w:tcPr>
          <w:p w14:paraId="4367182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525D2B7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评估预测矿山关闭酸性废水产生量及对周边环境影响，在开采和闭矿前综合采用雨水导排、补给控制、矿山回填等措施，预防酸性废水大量产生。符合要求得1分，不符合得0分。</w:t>
            </w:r>
          </w:p>
        </w:tc>
        <w:tc>
          <w:tcPr>
            <w:tcW w:w="992" w:type="dxa"/>
            <w:noWrap w:val="0"/>
            <w:tcMar>
              <w:top w:w="12" w:type="dxa"/>
              <w:left w:w="12" w:type="dxa"/>
              <w:right w:w="12" w:type="dxa"/>
            </w:tcMar>
            <w:vAlign w:val="center"/>
          </w:tcPr>
          <w:p w14:paraId="4E60B83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54A0364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lang w:bidi="ar"/>
              </w:rPr>
              <w:t>《水污染防治法》</w:t>
            </w:r>
          </w:p>
        </w:tc>
        <w:tc>
          <w:tcPr>
            <w:tcW w:w="514" w:type="dxa"/>
            <w:noWrap w:val="0"/>
            <w:tcMar>
              <w:top w:w="12" w:type="dxa"/>
              <w:left w:w="12" w:type="dxa"/>
              <w:right w:w="12" w:type="dxa"/>
            </w:tcMar>
            <w:vAlign w:val="center"/>
          </w:tcPr>
          <w:p w14:paraId="714040B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rPr>
              <w:t>约束性</w:t>
            </w:r>
          </w:p>
        </w:tc>
        <w:tc>
          <w:tcPr>
            <w:tcW w:w="596" w:type="dxa"/>
            <w:noWrap w:val="0"/>
            <w:vAlign w:val="center"/>
          </w:tcPr>
          <w:p w14:paraId="7266BE5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96" w:type="dxa"/>
            <w:noWrap w:val="0"/>
            <w:vAlign w:val="center"/>
          </w:tcPr>
          <w:p w14:paraId="4BB36CC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5F31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88" w:type="dxa"/>
            <w:vMerge w:val="continue"/>
            <w:noWrap w:val="0"/>
            <w:tcMar>
              <w:top w:w="12" w:type="dxa"/>
              <w:left w:w="12" w:type="dxa"/>
              <w:right w:w="12" w:type="dxa"/>
            </w:tcMar>
            <w:vAlign w:val="center"/>
          </w:tcPr>
          <w:p w14:paraId="1EA3A84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096408F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228FB98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31土壤污染源头预防</w:t>
            </w:r>
          </w:p>
        </w:tc>
        <w:tc>
          <w:tcPr>
            <w:tcW w:w="850" w:type="dxa"/>
            <w:noWrap w:val="0"/>
            <w:tcMar>
              <w:top w:w="12" w:type="dxa"/>
              <w:left w:w="12" w:type="dxa"/>
              <w:right w:w="12" w:type="dxa"/>
            </w:tcMar>
            <w:vAlign w:val="center"/>
          </w:tcPr>
          <w:p w14:paraId="310664A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5AC61DE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矿山开采区、尾矿库等运营、管理单位应当采取防渗漏等措施，并建设地下水水质监测井进行监测；建设涉及有毒有害物质的设施设备，应设计、建设和安装有关防腐蚀、防泄漏设施和泄漏监测装置，防止有毒有害物质污染土壤和地下水；构筑物及场地防渗要求符合相关标准的规定。符合要求得2分，不符合得0分。</w:t>
            </w:r>
          </w:p>
        </w:tc>
        <w:tc>
          <w:tcPr>
            <w:tcW w:w="992" w:type="dxa"/>
            <w:noWrap w:val="0"/>
            <w:tcMar>
              <w:top w:w="12" w:type="dxa"/>
              <w:left w:w="12" w:type="dxa"/>
              <w:right w:w="12" w:type="dxa"/>
            </w:tcMar>
            <w:vAlign w:val="center"/>
          </w:tcPr>
          <w:p w14:paraId="4EE0F13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7D725C2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《水污染防治法》《工矿用地土壤环境管理办法（试行）》《一般工业固体废物贮存和填埋污染控制标准》（GB 18599）《尾矿库设计规范》（GB 50863）、《有色金属工业环境保护工程设计规范》（GB 0988）、《危险废物贮存污染控制标准》（GB 8597）、《危险废物填埋污染控制标准》（GB 18598）</w:t>
            </w:r>
          </w:p>
        </w:tc>
        <w:tc>
          <w:tcPr>
            <w:tcW w:w="514" w:type="dxa"/>
            <w:noWrap w:val="0"/>
            <w:tcMar>
              <w:top w:w="12" w:type="dxa"/>
              <w:left w:w="12" w:type="dxa"/>
              <w:right w:w="12" w:type="dxa"/>
            </w:tcMar>
            <w:vAlign w:val="center"/>
          </w:tcPr>
          <w:p w14:paraId="0117C54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rPr>
              <w:t>约束性</w:t>
            </w:r>
          </w:p>
        </w:tc>
        <w:tc>
          <w:tcPr>
            <w:tcW w:w="596" w:type="dxa"/>
            <w:noWrap w:val="0"/>
            <w:vAlign w:val="center"/>
          </w:tcPr>
          <w:p w14:paraId="4FC18CF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96" w:type="dxa"/>
            <w:noWrap w:val="0"/>
            <w:vAlign w:val="center"/>
          </w:tcPr>
          <w:p w14:paraId="3305B65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14A5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88" w:type="dxa"/>
            <w:vMerge w:val="continue"/>
            <w:noWrap w:val="0"/>
            <w:tcMar>
              <w:top w:w="12" w:type="dxa"/>
              <w:left w:w="12" w:type="dxa"/>
              <w:right w:w="12" w:type="dxa"/>
            </w:tcMar>
            <w:vAlign w:val="center"/>
          </w:tcPr>
          <w:p w14:paraId="7817C1A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7B55710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17DF61D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32土壤污染隐患排查</w:t>
            </w:r>
          </w:p>
        </w:tc>
        <w:tc>
          <w:tcPr>
            <w:tcW w:w="850" w:type="dxa"/>
            <w:noWrap w:val="0"/>
            <w:tcMar>
              <w:top w:w="12" w:type="dxa"/>
              <w:left w:w="12" w:type="dxa"/>
              <w:right w:w="12" w:type="dxa"/>
            </w:tcMar>
            <w:vAlign w:val="center"/>
          </w:tcPr>
          <w:p w14:paraId="2CCBBE1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7A13747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列入土壤污染重点监管单位的企业，应定期对重点场所、重点设施设备开展隐患排查；开展土壤和地下水自行监测；严格控制有毒有害物质排放，并按年度向生态环境主管部门报告排放情况。符合要求得1分，不符合得0分（未列入土壤污染重点监管单位的企业本项直接得分）</w:t>
            </w:r>
          </w:p>
        </w:tc>
        <w:tc>
          <w:tcPr>
            <w:tcW w:w="992" w:type="dxa"/>
            <w:noWrap w:val="0"/>
            <w:tcMar>
              <w:top w:w="12" w:type="dxa"/>
              <w:left w:w="12" w:type="dxa"/>
              <w:right w:w="12" w:type="dxa"/>
            </w:tcMar>
            <w:vAlign w:val="center"/>
          </w:tcPr>
          <w:p w14:paraId="573F99B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0706B15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《土壤污染防治法》《重点监管单位土壤污染隐患排查指南（试行）》（生态环境部〔2021〕1号公告）、《工业企业土壤和地下水自行监测技术指南（试行）》（HJ 1209）</w:t>
            </w:r>
          </w:p>
        </w:tc>
        <w:tc>
          <w:tcPr>
            <w:tcW w:w="514" w:type="dxa"/>
            <w:noWrap w:val="0"/>
            <w:tcMar>
              <w:top w:w="12" w:type="dxa"/>
              <w:left w:w="12" w:type="dxa"/>
              <w:right w:w="12" w:type="dxa"/>
            </w:tcMar>
            <w:vAlign w:val="center"/>
          </w:tcPr>
          <w:p w14:paraId="406BE7A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rPr>
              <w:t>约束性</w:t>
            </w:r>
          </w:p>
        </w:tc>
        <w:tc>
          <w:tcPr>
            <w:tcW w:w="596" w:type="dxa"/>
            <w:noWrap w:val="0"/>
            <w:vAlign w:val="center"/>
          </w:tcPr>
          <w:p w14:paraId="58A18E4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96" w:type="dxa"/>
            <w:noWrap w:val="0"/>
            <w:vAlign w:val="center"/>
          </w:tcPr>
          <w:p w14:paraId="3D2F54E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06B8A4B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9" w:type="default"/>
          <w:pgSz w:w="16838" w:h="11906" w:orient="landscape"/>
          <w:pgMar w:top="2098" w:right="1474" w:bottom="1984" w:left="1587" w:header="284" w:footer="283" w:gutter="0"/>
          <w:pgNumType w:fmt="decimal"/>
          <w:cols w:space="720" w:num="1"/>
          <w:docGrid w:type="lines" w:linePitch="435" w:charSpace="0"/>
        </w:sectPr>
      </w:pPr>
    </w:p>
    <w:tbl>
      <w:tblPr>
        <w:tblStyle w:val="5"/>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115"/>
        <w:gridCol w:w="1115"/>
        <w:gridCol w:w="835"/>
        <w:gridCol w:w="5580"/>
        <w:gridCol w:w="974"/>
        <w:gridCol w:w="2231"/>
        <w:gridCol w:w="504"/>
        <w:gridCol w:w="585"/>
        <w:gridCol w:w="585"/>
      </w:tblGrid>
      <w:tr w14:paraId="5110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6" w:hRule="atLeast"/>
          <w:jc w:val="center"/>
        </w:trPr>
        <w:tc>
          <w:tcPr>
            <w:tcW w:w="970" w:type="dxa"/>
            <w:vMerge w:val="restart"/>
            <w:noWrap w:val="0"/>
            <w:tcMar>
              <w:top w:w="12" w:type="dxa"/>
              <w:left w:w="12" w:type="dxa"/>
              <w:right w:w="12" w:type="dxa"/>
            </w:tcMar>
            <w:vAlign w:val="center"/>
          </w:tcPr>
          <w:p w14:paraId="4F25CB90">
            <w:pPr>
              <w:pStyle w:val="2"/>
              <w:keepNext w:val="0"/>
              <w:keepLines w:val="0"/>
              <w:pageBreakBefore w:val="0"/>
              <w:kinsoku/>
              <w:wordWrap/>
              <w:overflowPunct/>
              <w:topLinePunct w:val="0"/>
              <w:autoSpaceDE/>
              <w:autoSpaceDN/>
              <w:bidi w:val="0"/>
              <w:spacing w:line="240" w:lineRule="exact"/>
            </w:pPr>
          </w:p>
        </w:tc>
        <w:tc>
          <w:tcPr>
            <w:tcW w:w="1115" w:type="dxa"/>
            <w:vMerge w:val="restart"/>
            <w:noWrap w:val="0"/>
            <w:tcMar>
              <w:top w:w="12" w:type="dxa"/>
              <w:left w:w="12" w:type="dxa"/>
              <w:right w:w="12" w:type="dxa"/>
            </w:tcMar>
            <w:vAlign w:val="center"/>
          </w:tcPr>
          <w:p w14:paraId="3641AB4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p w14:paraId="7AA514D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p w14:paraId="5BF0DB14">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57AA9F1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bookmarkStart w:id="3" w:name="OLE_LINK11"/>
            <w:r>
              <w:rPr>
                <w:rFonts w:ascii="宋体" w:hAnsi="宋体" w:cs="Times New Roman"/>
                <w:color w:val="000000"/>
                <w:kern w:val="0"/>
                <w:sz w:val="21"/>
                <w:szCs w:val="21"/>
                <w:lang w:bidi="ar"/>
              </w:rPr>
              <w:t>5废物排放（8分）</w:t>
            </w:r>
          </w:p>
          <w:bookmarkEnd w:id="3"/>
          <w:p w14:paraId="5318C39F">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2530BD46">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4A985D9E">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02307E2E">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6AEE4026">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678AB488">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27E0DCE">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5D5A21D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5废物排放（8分）</w:t>
            </w:r>
          </w:p>
          <w:p w14:paraId="4CDC58FD">
            <w:pPr>
              <w:keepNext w:val="0"/>
              <w:keepLines w:val="0"/>
              <w:pageBreakBefore w:val="0"/>
              <w:kinsoku/>
              <w:wordWrap/>
              <w:overflowPunct/>
              <w:topLinePunct w:val="0"/>
              <w:autoSpaceDE/>
              <w:autoSpaceDN/>
              <w:bidi w:val="0"/>
              <w:spacing w:line="240" w:lineRule="exact"/>
              <w:rPr>
                <w:rFonts w:ascii="宋体" w:hAnsi="宋体"/>
              </w:rPr>
            </w:pPr>
          </w:p>
          <w:p w14:paraId="318AACC5">
            <w:pPr>
              <w:keepNext w:val="0"/>
              <w:keepLines w:val="0"/>
              <w:pageBreakBefore w:val="0"/>
              <w:kinsoku/>
              <w:wordWrap/>
              <w:overflowPunct/>
              <w:topLinePunct w:val="0"/>
              <w:autoSpaceDE/>
              <w:autoSpaceDN/>
              <w:bidi w:val="0"/>
              <w:spacing w:line="240" w:lineRule="exact"/>
              <w:rPr>
                <w:rFonts w:ascii="宋体" w:hAnsi="宋体"/>
              </w:rPr>
            </w:pPr>
          </w:p>
        </w:tc>
        <w:tc>
          <w:tcPr>
            <w:tcW w:w="1115" w:type="dxa"/>
            <w:noWrap w:val="0"/>
            <w:tcMar>
              <w:top w:w="12" w:type="dxa"/>
              <w:left w:w="12" w:type="dxa"/>
              <w:right w:w="12" w:type="dxa"/>
            </w:tcMar>
            <w:vAlign w:val="center"/>
          </w:tcPr>
          <w:p w14:paraId="1E0C63C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33固废排放</w:t>
            </w:r>
          </w:p>
        </w:tc>
        <w:tc>
          <w:tcPr>
            <w:tcW w:w="835" w:type="dxa"/>
            <w:noWrap w:val="0"/>
            <w:tcMar>
              <w:top w:w="12" w:type="dxa"/>
              <w:left w:w="12" w:type="dxa"/>
              <w:right w:w="12" w:type="dxa"/>
            </w:tcMar>
            <w:vAlign w:val="center"/>
          </w:tcPr>
          <w:p w14:paraId="4EB4475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580" w:type="dxa"/>
            <w:noWrap w:val="0"/>
            <w:tcMar>
              <w:top w:w="12" w:type="dxa"/>
              <w:left w:w="12" w:type="dxa"/>
              <w:right w:w="12" w:type="dxa"/>
            </w:tcMar>
            <w:vAlign w:val="center"/>
          </w:tcPr>
          <w:p w14:paraId="68E2189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对无法实现综合利用的固体废弃物，划分危险废物、一般废物和生活垃圾不同类别，实现分级分类，堆场、尾矿库污染防治设施符合相关法规标准要求，并按照国家法律和标准，自行或委托第三方对一般固体废弃物进行处置，委托第三方有资质的单位对危险废物进行处置。符合要求得2分，不符合得0分。</w:t>
            </w:r>
          </w:p>
        </w:tc>
        <w:tc>
          <w:tcPr>
            <w:tcW w:w="974" w:type="dxa"/>
            <w:noWrap w:val="0"/>
            <w:tcMar>
              <w:top w:w="12" w:type="dxa"/>
              <w:left w:w="12" w:type="dxa"/>
              <w:right w:w="12" w:type="dxa"/>
            </w:tcMar>
            <w:vAlign w:val="center"/>
          </w:tcPr>
          <w:p w14:paraId="1D944D3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31" w:type="dxa"/>
            <w:noWrap w:val="0"/>
            <w:tcMar>
              <w:top w:w="12" w:type="dxa"/>
              <w:left w:w="12" w:type="dxa"/>
              <w:right w:w="12" w:type="dxa"/>
            </w:tcMar>
            <w:vAlign w:val="center"/>
          </w:tcPr>
          <w:p w14:paraId="2EDD088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《中华人民共和国固体废物污染环境防治法》《一般工业固体废物贮存、处置场污染控制标准》(GB 18599)，危险废物焚烧、贮存、填埋污染控制标准(GB 18484、18597、18598)</w:t>
            </w:r>
          </w:p>
        </w:tc>
        <w:tc>
          <w:tcPr>
            <w:tcW w:w="504" w:type="dxa"/>
            <w:noWrap w:val="0"/>
            <w:tcMar>
              <w:top w:w="12" w:type="dxa"/>
              <w:left w:w="12" w:type="dxa"/>
              <w:right w:w="12" w:type="dxa"/>
            </w:tcMar>
            <w:vAlign w:val="center"/>
          </w:tcPr>
          <w:p w14:paraId="13DAFE0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5" w:type="dxa"/>
            <w:noWrap w:val="0"/>
            <w:vAlign w:val="center"/>
          </w:tcPr>
          <w:p w14:paraId="44B1A58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p>
        </w:tc>
        <w:tc>
          <w:tcPr>
            <w:tcW w:w="585" w:type="dxa"/>
            <w:noWrap w:val="0"/>
            <w:vAlign w:val="center"/>
          </w:tcPr>
          <w:p w14:paraId="474DDC5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52D1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72" w:hRule="atLeast"/>
          <w:jc w:val="center"/>
        </w:trPr>
        <w:tc>
          <w:tcPr>
            <w:tcW w:w="970" w:type="dxa"/>
            <w:vMerge w:val="continue"/>
            <w:noWrap w:val="0"/>
            <w:tcMar>
              <w:top w:w="12" w:type="dxa"/>
              <w:left w:w="12" w:type="dxa"/>
              <w:right w:w="12" w:type="dxa"/>
            </w:tcMar>
            <w:vAlign w:val="center"/>
          </w:tcPr>
          <w:p w14:paraId="7582B01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5" w:type="dxa"/>
            <w:vMerge w:val="continue"/>
            <w:noWrap w:val="0"/>
            <w:tcMar>
              <w:top w:w="12" w:type="dxa"/>
              <w:left w:w="12" w:type="dxa"/>
              <w:right w:w="12" w:type="dxa"/>
            </w:tcMar>
            <w:vAlign w:val="center"/>
          </w:tcPr>
          <w:p w14:paraId="174A03B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15" w:type="dxa"/>
            <w:noWrap w:val="0"/>
            <w:tcMar>
              <w:top w:w="12" w:type="dxa"/>
              <w:left w:w="12" w:type="dxa"/>
              <w:right w:w="12" w:type="dxa"/>
            </w:tcMar>
            <w:vAlign w:val="center"/>
          </w:tcPr>
          <w:p w14:paraId="550D574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34废水排放</w:t>
            </w:r>
          </w:p>
        </w:tc>
        <w:tc>
          <w:tcPr>
            <w:tcW w:w="835" w:type="dxa"/>
            <w:noWrap w:val="0"/>
            <w:tcMar>
              <w:top w:w="12" w:type="dxa"/>
              <w:left w:w="12" w:type="dxa"/>
              <w:right w:w="12" w:type="dxa"/>
            </w:tcMar>
            <w:vAlign w:val="center"/>
          </w:tcPr>
          <w:p w14:paraId="1FBF40F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580" w:type="dxa"/>
            <w:noWrap w:val="0"/>
            <w:tcMar>
              <w:top w:w="12" w:type="dxa"/>
              <w:left w:w="12" w:type="dxa"/>
              <w:right w:w="12" w:type="dxa"/>
            </w:tcMar>
            <w:vAlign w:val="center"/>
          </w:tcPr>
          <w:p w14:paraId="215EFFC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清污管路分别铺设、雨水与污水管群分开设置；生活污水经处理后水质达标排放，或污水直接排入市政污水管网；工业废水经处理后水质达标排放；尾矿库、排土场等建有雨水截（排）水沟，地表径流水、淋溶水等经沉淀后达标排放或处理回用。符合要求得2分，不符合得0分。</w:t>
            </w:r>
          </w:p>
        </w:tc>
        <w:tc>
          <w:tcPr>
            <w:tcW w:w="974" w:type="dxa"/>
            <w:noWrap w:val="0"/>
            <w:tcMar>
              <w:top w:w="12" w:type="dxa"/>
              <w:left w:w="12" w:type="dxa"/>
              <w:right w:w="12" w:type="dxa"/>
            </w:tcMar>
            <w:vAlign w:val="center"/>
          </w:tcPr>
          <w:p w14:paraId="511C4DB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31" w:type="dxa"/>
            <w:noWrap w:val="0"/>
            <w:tcMar>
              <w:top w:w="12" w:type="dxa"/>
              <w:left w:w="12" w:type="dxa"/>
              <w:right w:w="12" w:type="dxa"/>
            </w:tcMar>
            <w:vAlign w:val="center"/>
          </w:tcPr>
          <w:p w14:paraId="1CBAEAB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国家水污染物排放标准（GB 8978、GB 20426、GB 25465、GB 25466、GB 25467、GB 25468、GB 26451、GB 28661、GB 30770等）以及所在省（自治区、直辖市）人民政府发布实施的地方水污染物排放标准</w:t>
            </w:r>
          </w:p>
        </w:tc>
        <w:tc>
          <w:tcPr>
            <w:tcW w:w="504" w:type="dxa"/>
            <w:noWrap w:val="0"/>
            <w:tcMar>
              <w:top w:w="12" w:type="dxa"/>
              <w:left w:w="12" w:type="dxa"/>
              <w:right w:w="12" w:type="dxa"/>
            </w:tcMar>
            <w:vAlign w:val="center"/>
          </w:tcPr>
          <w:p w14:paraId="4614A72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5" w:type="dxa"/>
            <w:noWrap w:val="0"/>
            <w:vAlign w:val="center"/>
          </w:tcPr>
          <w:p w14:paraId="11C628E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85" w:type="dxa"/>
            <w:noWrap w:val="0"/>
            <w:vAlign w:val="center"/>
          </w:tcPr>
          <w:p w14:paraId="60C449C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4C9F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6" w:hRule="atLeast"/>
          <w:jc w:val="center"/>
        </w:trPr>
        <w:tc>
          <w:tcPr>
            <w:tcW w:w="970" w:type="dxa"/>
            <w:vMerge w:val="continue"/>
            <w:noWrap w:val="0"/>
            <w:tcMar>
              <w:top w:w="12" w:type="dxa"/>
              <w:left w:w="12" w:type="dxa"/>
              <w:right w:w="12" w:type="dxa"/>
            </w:tcMar>
            <w:vAlign w:val="center"/>
          </w:tcPr>
          <w:p w14:paraId="4A9335E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5" w:type="dxa"/>
            <w:vMerge w:val="continue"/>
            <w:noWrap w:val="0"/>
            <w:tcMar>
              <w:top w:w="12" w:type="dxa"/>
              <w:left w:w="12" w:type="dxa"/>
              <w:right w:w="12" w:type="dxa"/>
            </w:tcMar>
            <w:vAlign w:val="center"/>
          </w:tcPr>
          <w:p w14:paraId="69B708C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15" w:type="dxa"/>
            <w:noWrap w:val="0"/>
            <w:tcMar>
              <w:top w:w="12" w:type="dxa"/>
              <w:left w:w="12" w:type="dxa"/>
              <w:right w:w="12" w:type="dxa"/>
            </w:tcMar>
            <w:vAlign w:val="center"/>
          </w:tcPr>
          <w:p w14:paraId="66C8A65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35废气排放</w:t>
            </w:r>
          </w:p>
        </w:tc>
        <w:tc>
          <w:tcPr>
            <w:tcW w:w="835" w:type="dxa"/>
            <w:noWrap w:val="0"/>
            <w:tcMar>
              <w:top w:w="12" w:type="dxa"/>
              <w:left w:w="12" w:type="dxa"/>
              <w:right w:w="12" w:type="dxa"/>
            </w:tcMar>
            <w:vAlign w:val="center"/>
          </w:tcPr>
          <w:p w14:paraId="4E6C7ED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580" w:type="dxa"/>
            <w:noWrap w:val="0"/>
            <w:tcMar>
              <w:top w:w="12" w:type="dxa"/>
              <w:left w:w="12" w:type="dxa"/>
              <w:right w:w="12" w:type="dxa"/>
            </w:tcMar>
            <w:vAlign w:val="center"/>
          </w:tcPr>
          <w:p w14:paraId="32DC073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在开采、加工、运输、贮存等环节，采取除尘捕尘、抑尘降尘、净化废气等措施，实现达标排放，开采过程中的大气污染物排放应符合国家或地方相应排放标准。凿岩作业采用降尘措施，爆破作业喷雾洒水降尘，生产区配置洒水车定时洒水降尘，配备地面运输车辆洗车台，对出厂车辆进行清洗，外运产品途中苫盖，废石或矿石周转场地、贮存场所具备防扬尘设施。矿区建筑物上无明显积尘，矿区周边植被无明显粉尘覆盖。对矿区粉尘进行定期监测并形成工作台账。符合要求得2分，不符合得0分。</w:t>
            </w:r>
          </w:p>
        </w:tc>
        <w:tc>
          <w:tcPr>
            <w:tcW w:w="974" w:type="dxa"/>
            <w:noWrap w:val="0"/>
            <w:tcMar>
              <w:top w:w="12" w:type="dxa"/>
              <w:left w:w="12" w:type="dxa"/>
              <w:right w:w="12" w:type="dxa"/>
            </w:tcMar>
            <w:vAlign w:val="center"/>
          </w:tcPr>
          <w:p w14:paraId="71627FA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31" w:type="dxa"/>
            <w:noWrap w:val="0"/>
            <w:tcMar>
              <w:top w:w="12" w:type="dxa"/>
              <w:left w:w="12" w:type="dxa"/>
              <w:right w:w="12" w:type="dxa"/>
            </w:tcMar>
            <w:vAlign w:val="center"/>
          </w:tcPr>
          <w:p w14:paraId="0D90614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国家大气污染物排放标准（GB 4915、GB 9078、GB 16297、GB 20426、GB 25465、GB 25466、GB 25467、GB 25468、GB 26451、GB 28661、GB 30770、GB 41618等）以及所在省（自治区、直辖市）人民政府发布实施的地方大气污染物排放标准</w:t>
            </w:r>
          </w:p>
        </w:tc>
        <w:tc>
          <w:tcPr>
            <w:tcW w:w="504" w:type="dxa"/>
            <w:noWrap w:val="0"/>
            <w:tcMar>
              <w:top w:w="12" w:type="dxa"/>
              <w:left w:w="12" w:type="dxa"/>
              <w:right w:w="12" w:type="dxa"/>
            </w:tcMar>
            <w:vAlign w:val="center"/>
          </w:tcPr>
          <w:p w14:paraId="28C7FE3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85" w:type="dxa"/>
            <w:noWrap w:val="0"/>
            <w:vAlign w:val="center"/>
          </w:tcPr>
          <w:p w14:paraId="1603FF1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85" w:type="dxa"/>
            <w:noWrap w:val="0"/>
            <w:vAlign w:val="center"/>
          </w:tcPr>
          <w:p w14:paraId="0B690A7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7B26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1" w:hRule="atLeast"/>
          <w:jc w:val="center"/>
        </w:trPr>
        <w:tc>
          <w:tcPr>
            <w:tcW w:w="970" w:type="dxa"/>
            <w:vMerge w:val="continue"/>
            <w:noWrap w:val="0"/>
            <w:tcMar>
              <w:top w:w="12" w:type="dxa"/>
              <w:left w:w="12" w:type="dxa"/>
              <w:right w:w="12" w:type="dxa"/>
            </w:tcMar>
            <w:vAlign w:val="center"/>
          </w:tcPr>
          <w:p w14:paraId="4BF0AB2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15" w:type="dxa"/>
            <w:vMerge w:val="continue"/>
            <w:noWrap w:val="0"/>
            <w:tcMar>
              <w:top w:w="12" w:type="dxa"/>
              <w:left w:w="12" w:type="dxa"/>
              <w:right w:w="12" w:type="dxa"/>
            </w:tcMar>
            <w:vAlign w:val="center"/>
          </w:tcPr>
          <w:p w14:paraId="06E7875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15" w:type="dxa"/>
            <w:noWrap w:val="0"/>
            <w:tcMar>
              <w:top w:w="12" w:type="dxa"/>
              <w:left w:w="12" w:type="dxa"/>
              <w:right w:w="12" w:type="dxa"/>
            </w:tcMar>
            <w:vAlign w:val="center"/>
          </w:tcPr>
          <w:p w14:paraId="7A756EA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36移动源控制</w:t>
            </w:r>
          </w:p>
        </w:tc>
        <w:tc>
          <w:tcPr>
            <w:tcW w:w="835" w:type="dxa"/>
            <w:noWrap w:val="0"/>
            <w:tcMar>
              <w:top w:w="12" w:type="dxa"/>
              <w:left w:w="12" w:type="dxa"/>
              <w:right w:w="12" w:type="dxa"/>
            </w:tcMar>
            <w:vAlign w:val="center"/>
          </w:tcPr>
          <w:p w14:paraId="67512FC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580" w:type="dxa"/>
            <w:noWrap w:val="0"/>
            <w:tcMar>
              <w:top w:w="12" w:type="dxa"/>
              <w:left w:w="12" w:type="dxa"/>
              <w:right w:w="12" w:type="dxa"/>
            </w:tcMar>
            <w:vAlign w:val="center"/>
          </w:tcPr>
          <w:p w14:paraId="65AE62E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矿山在采装、运输等环节使用皮带、轨道、新能源等节能、减污设施设备开展工作的，得1分。</w:t>
            </w:r>
          </w:p>
        </w:tc>
        <w:tc>
          <w:tcPr>
            <w:tcW w:w="974" w:type="dxa"/>
            <w:noWrap w:val="0"/>
            <w:tcMar>
              <w:top w:w="12" w:type="dxa"/>
              <w:left w:w="12" w:type="dxa"/>
              <w:right w:w="12" w:type="dxa"/>
            </w:tcMar>
            <w:vAlign w:val="center"/>
          </w:tcPr>
          <w:p w14:paraId="16A1F2E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查资料、查现场</w:t>
            </w:r>
          </w:p>
        </w:tc>
        <w:tc>
          <w:tcPr>
            <w:tcW w:w="2231" w:type="dxa"/>
            <w:noWrap w:val="0"/>
            <w:tcMar>
              <w:top w:w="12" w:type="dxa"/>
              <w:left w:w="12" w:type="dxa"/>
              <w:right w:w="12" w:type="dxa"/>
            </w:tcMar>
            <w:vAlign w:val="center"/>
          </w:tcPr>
          <w:p w14:paraId="5584CAB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strike/>
                <w:color w:val="000000"/>
                <w:kern w:val="0"/>
                <w:sz w:val="21"/>
                <w:szCs w:val="21"/>
              </w:rPr>
            </w:pPr>
            <w:r>
              <w:rPr>
                <w:rFonts w:ascii="宋体" w:hAnsi="宋体" w:cs="Times New Roman"/>
                <w:color w:val="000000"/>
                <w:kern w:val="0"/>
                <w:sz w:val="21"/>
                <w:szCs w:val="21"/>
              </w:rPr>
              <w:t>《深入打好重污染天气消除、臭氧污染防治和柴油货车污染治理攻坚战行动方案》（生态环境部〔2022〕68号公告）</w:t>
            </w:r>
          </w:p>
        </w:tc>
        <w:tc>
          <w:tcPr>
            <w:tcW w:w="504" w:type="dxa"/>
            <w:noWrap w:val="0"/>
            <w:tcMar>
              <w:top w:w="12" w:type="dxa"/>
              <w:left w:w="12" w:type="dxa"/>
              <w:right w:w="12" w:type="dxa"/>
            </w:tcMar>
            <w:vAlign w:val="center"/>
          </w:tcPr>
          <w:p w14:paraId="0CECD03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lang w:bidi="ar"/>
              </w:rPr>
            </w:pPr>
            <w:r>
              <w:rPr>
                <w:rFonts w:ascii="宋体" w:hAnsi="宋体" w:cs="Times New Roman"/>
                <w:color w:val="000000"/>
                <w:kern w:val="0"/>
                <w:sz w:val="21"/>
                <w:szCs w:val="21"/>
              </w:rPr>
              <w:t>提升性</w:t>
            </w:r>
          </w:p>
        </w:tc>
        <w:tc>
          <w:tcPr>
            <w:tcW w:w="585" w:type="dxa"/>
            <w:noWrap w:val="0"/>
            <w:vAlign w:val="center"/>
          </w:tcPr>
          <w:p w14:paraId="01A42AC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85" w:type="dxa"/>
            <w:noWrap w:val="0"/>
            <w:vAlign w:val="center"/>
          </w:tcPr>
          <w:p w14:paraId="440F8AC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46DC3EF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10" w:type="default"/>
          <w:pgSz w:w="16838" w:h="11906" w:orient="landscape"/>
          <w:pgMar w:top="567" w:right="720" w:bottom="567" w:left="720" w:header="284" w:footer="283" w:gutter="0"/>
          <w:pgNumType w:fmt="decimal"/>
          <w:cols w:space="720" w:num="1"/>
          <w:docGrid w:type="lines" w:linePitch="435" w:charSpace="0"/>
        </w:sect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8"/>
        <w:gridCol w:w="1134"/>
        <w:gridCol w:w="1134"/>
        <w:gridCol w:w="850"/>
        <w:gridCol w:w="5670"/>
        <w:gridCol w:w="992"/>
        <w:gridCol w:w="2268"/>
        <w:gridCol w:w="514"/>
        <w:gridCol w:w="596"/>
        <w:gridCol w:w="596"/>
      </w:tblGrid>
      <w:tr w14:paraId="05C1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5" w:hRule="atLeast"/>
          <w:jc w:val="center"/>
        </w:trPr>
        <w:tc>
          <w:tcPr>
            <w:tcW w:w="988" w:type="dxa"/>
            <w:noWrap w:val="0"/>
            <w:tcMar>
              <w:top w:w="12" w:type="dxa"/>
              <w:left w:w="12" w:type="dxa"/>
              <w:right w:w="12" w:type="dxa"/>
            </w:tcMar>
            <w:vAlign w:val="center"/>
          </w:tcPr>
          <w:p w14:paraId="39C83C4C">
            <w:pPr>
              <w:pStyle w:val="2"/>
              <w:keepNext w:val="0"/>
              <w:keepLines w:val="0"/>
              <w:pageBreakBefore w:val="0"/>
              <w:kinsoku/>
              <w:wordWrap/>
              <w:overflowPunct/>
              <w:topLinePunct w:val="0"/>
              <w:autoSpaceDE/>
              <w:autoSpaceDN/>
              <w:bidi w:val="0"/>
              <w:spacing w:line="240" w:lineRule="exact"/>
            </w:pPr>
          </w:p>
        </w:tc>
        <w:tc>
          <w:tcPr>
            <w:tcW w:w="1134" w:type="dxa"/>
            <w:noWrap w:val="0"/>
            <w:tcMar>
              <w:top w:w="12" w:type="dxa"/>
              <w:left w:w="12" w:type="dxa"/>
              <w:right w:w="12" w:type="dxa"/>
            </w:tcMar>
            <w:vAlign w:val="center"/>
          </w:tcPr>
          <w:p w14:paraId="4FEEA52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694169D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37噪声排放</w:t>
            </w:r>
          </w:p>
        </w:tc>
        <w:tc>
          <w:tcPr>
            <w:tcW w:w="850" w:type="dxa"/>
            <w:noWrap w:val="0"/>
            <w:tcMar>
              <w:top w:w="12" w:type="dxa"/>
              <w:left w:w="12" w:type="dxa"/>
              <w:right w:w="12" w:type="dxa"/>
            </w:tcMar>
            <w:vAlign w:val="center"/>
          </w:tcPr>
          <w:p w14:paraId="2FC0760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1</w:t>
            </w:r>
          </w:p>
        </w:tc>
        <w:tc>
          <w:tcPr>
            <w:tcW w:w="5670" w:type="dxa"/>
            <w:noWrap w:val="0"/>
            <w:tcMar>
              <w:top w:w="12" w:type="dxa"/>
              <w:left w:w="12" w:type="dxa"/>
              <w:right w:w="12" w:type="dxa"/>
            </w:tcMar>
            <w:vAlign w:val="center"/>
          </w:tcPr>
          <w:p w14:paraId="0CE9EA3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对矿区凿岩、破碎和空压等高噪声设备进行降噪处理，配备消声、减振和隔振等措施，</w:t>
            </w:r>
            <w:r>
              <w:rPr>
                <w:rFonts w:ascii="宋体" w:hAnsi="宋体" w:cs="Times New Roman"/>
                <w:color w:val="000000"/>
                <w:kern w:val="0"/>
                <w:sz w:val="21"/>
                <w:szCs w:val="21"/>
              </w:rPr>
              <w:t>厂界噪声排放达标。</w:t>
            </w:r>
            <w:r>
              <w:rPr>
                <w:rFonts w:ascii="宋体" w:hAnsi="宋体" w:cs="Times New Roman"/>
                <w:color w:val="000000"/>
                <w:kern w:val="0"/>
                <w:sz w:val="21"/>
                <w:szCs w:val="21"/>
                <w:lang w:bidi="ar"/>
              </w:rPr>
              <w:t>对厂界噪声进行定期监测并形成工作台账。</w:t>
            </w:r>
            <w:r>
              <w:rPr>
                <w:rFonts w:ascii="宋体" w:hAnsi="宋体" w:cs="Times New Roman"/>
                <w:color w:val="000000"/>
                <w:kern w:val="0"/>
                <w:sz w:val="21"/>
                <w:szCs w:val="21"/>
              </w:rPr>
              <w:t>符合要求得1分，</w:t>
            </w:r>
            <w:r>
              <w:rPr>
                <w:rFonts w:ascii="宋体" w:hAnsi="宋体" w:cs="Times New Roman"/>
                <w:color w:val="000000"/>
                <w:kern w:val="0"/>
                <w:sz w:val="21"/>
                <w:szCs w:val="21"/>
                <w:lang w:bidi="ar"/>
              </w:rPr>
              <w:t>不符合得0分。</w:t>
            </w:r>
          </w:p>
        </w:tc>
        <w:tc>
          <w:tcPr>
            <w:tcW w:w="992" w:type="dxa"/>
            <w:noWrap w:val="0"/>
            <w:tcMar>
              <w:top w:w="12" w:type="dxa"/>
              <w:left w:w="12" w:type="dxa"/>
              <w:right w:w="12" w:type="dxa"/>
            </w:tcMar>
            <w:vAlign w:val="center"/>
          </w:tcPr>
          <w:p w14:paraId="7D4295A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28FC34C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《工业企业厂界环境噪声排放标准》（GB 12348-2008）</w:t>
            </w:r>
          </w:p>
        </w:tc>
        <w:tc>
          <w:tcPr>
            <w:tcW w:w="514" w:type="dxa"/>
            <w:noWrap w:val="0"/>
            <w:tcMar>
              <w:top w:w="12" w:type="dxa"/>
              <w:left w:w="12" w:type="dxa"/>
              <w:right w:w="12" w:type="dxa"/>
            </w:tcMar>
            <w:vAlign w:val="center"/>
          </w:tcPr>
          <w:p w14:paraId="3C46404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7673090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96" w:type="dxa"/>
            <w:noWrap w:val="0"/>
            <w:vAlign w:val="center"/>
          </w:tcPr>
          <w:p w14:paraId="3825645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AF3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4" w:hRule="atLeast"/>
          <w:jc w:val="center"/>
        </w:trPr>
        <w:tc>
          <w:tcPr>
            <w:tcW w:w="988" w:type="dxa"/>
            <w:vMerge w:val="restart"/>
            <w:noWrap w:val="0"/>
            <w:tcMar>
              <w:top w:w="12" w:type="dxa"/>
              <w:left w:w="12" w:type="dxa"/>
              <w:right w:w="12" w:type="dxa"/>
            </w:tcMar>
            <w:vAlign w:val="center"/>
          </w:tcPr>
          <w:p w14:paraId="2B2C1E5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054E0E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07CF58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34DD62B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134F646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54B985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4EED4EB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416C6C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76536DD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47EDFFB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5D70C4D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19EAC0E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p w14:paraId="64E51EB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bookmarkStart w:id="4" w:name="OLE_LINK7"/>
            <w:r>
              <w:rPr>
                <w:rFonts w:ascii="宋体" w:hAnsi="宋体" w:cs="Times New Roman"/>
                <w:color w:val="000000"/>
                <w:kern w:val="0"/>
                <w:sz w:val="21"/>
                <w:szCs w:val="21"/>
              </w:rPr>
              <w:t>五、生态修复与环境治理（5项，18分）</w:t>
            </w:r>
          </w:p>
          <w:bookmarkEnd w:id="4"/>
          <w:p w14:paraId="6176DFBB">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47A2D557">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62AD91BE">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66C1EEC4">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0C4C1B84">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141554F1">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0E2A927B">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5AC5ED23">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0161790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五、生态修复与环境治理（5项，18分）</w:t>
            </w:r>
          </w:p>
          <w:p w14:paraId="74B03F30">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rPr>
            </w:pPr>
          </w:p>
          <w:p w14:paraId="4BC2A78A">
            <w:pPr>
              <w:keepNext w:val="0"/>
              <w:keepLines w:val="0"/>
              <w:pageBreakBefore w:val="0"/>
              <w:kinsoku/>
              <w:wordWrap/>
              <w:overflowPunct/>
              <w:topLinePunct w:val="0"/>
              <w:autoSpaceDE/>
              <w:autoSpaceDN/>
              <w:bidi w:val="0"/>
              <w:spacing w:line="240" w:lineRule="exact"/>
              <w:rPr>
                <w:rFonts w:ascii="宋体" w:hAnsi="宋体"/>
              </w:rPr>
            </w:pPr>
          </w:p>
        </w:tc>
        <w:tc>
          <w:tcPr>
            <w:tcW w:w="1134" w:type="dxa"/>
            <w:vMerge w:val="restart"/>
            <w:noWrap w:val="0"/>
            <w:tcMar>
              <w:top w:w="12" w:type="dxa"/>
              <w:left w:w="12" w:type="dxa"/>
              <w:right w:w="12" w:type="dxa"/>
            </w:tcMar>
            <w:vAlign w:val="center"/>
          </w:tcPr>
          <w:p w14:paraId="1263F2A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1矿山地质环境治理恢复与土地复垦（7分）</w:t>
            </w:r>
          </w:p>
        </w:tc>
        <w:tc>
          <w:tcPr>
            <w:tcW w:w="1134" w:type="dxa"/>
            <w:noWrap w:val="0"/>
            <w:tcMar>
              <w:top w:w="12" w:type="dxa"/>
              <w:left w:w="12" w:type="dxa"/>
              <w:right w:w="12" w:type="dxa"/>
            </w:tcMar>
            <w:vAlign w:val="center"/>
          </w:tcPr>
          <w:p w14:paraId="6CC4B9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38矿山地质环境保护与土地复垦方案编制与执行</w:t>
            </w:r>
          </w:p>
        </w:tc>
        <w:tc>
          <w:tcPr>
            <w:tcW w:w="850" w:type="dxa"/>
            <w:noWrap w:val="0"/>
            <w:tcMar>
              <w:top w:w="12" w:type="dxa"/>
              <w:left w:w="12" w:type="dxa"/>
              <w:right w:w="12" w:type="dxa"/>
            </w:tcMar>
            <w:vAlign w:val="center"/>
          </w:tcPr>
          <w:p w14:paraId="5BD49B4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5</w:t>
            </w:r>
          </w:p>
        </w:tc>
        <w:tc>
          <w:tcPr>
            <w:tcW w:w="5670" w:type="dxa"/>
            <w:noWrap w:val="0"/>
            <w:tcMar>
              <w:top w:w="12" w:type="dxa"/>
              <w:left w:w="12" w:type="dxa"/>
              <w:right w:w="12" w:type="dxa"/>
            </w:tcMar>
            <w:vAlign w:val="center"/>
          </w:tcPr>
          <w:p w14:paraId="156732E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矿山地质环境保护与土地复垦方案》已通过审查并在适用期；依据《矿山地质环境保护与土地复垦方案》编制了年度计划；执行了年度报告制度；矿山地质环境治理恢复、土地复垦质量符合要求；完成了年度或阶段性目标任务并通过阶段验收。符合要求得5分，不符合得0分。</w:t>
            </w:r>
          </w:p>
          <w:p w14:paraId="1EAE357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992" w:type="dxa"/>
            <w:noWrap w:val="0"/>
            <w:tcMar>
              <w:top w:w="12" w:type="dxa"/>
              <w:left w:w="12" w:type="dxa"/>
              <w:right w:w="12" w:type="dxa"/>
            </w:tcMar>
            <w:vAlign w:val="center"/>
          </w:tcPr>
          <w:p w14:paraId="73E92B2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6F8C694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《矿山地质环境保护与土地复垦方案》及年度计划、《土地复垦质量控制标准》(TD/T 1036)、《金属矿土地复垦与生态修复技术规范》（GB/T 43933）、《煤矿土地复垦与生态修复技术规范》（GB/T 43934）等标准规范</w:t>
            </w:r>
          </w:p>
        </w:tc>
        <w:tc>
          <w:tcPr>
            <w:tcW w:w="514" w:type="dxa"/>
            <w:noWrap w:val="0"/>
            <w:tcMar>
              <w:top w:w="12" w:type="dxa"/>
              <w:left w:w="12" w:type="dxa"/>
              <w:right w:w="12" w:type="dxa"/>
            </w:tcMar>
            <w:vAlign w:val="center"/>
          </w:tcPr>
          <w:p w14:paraId="60B7C13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5E86658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5ADB966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760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7" w:hRule="atLeast"/>
          <w:jc w:val="center"/>
        </w:trPr>
        <w:tc>
          <w:tcPr>
            <w:tcW w:w="988" w:type="dxa"/>
            <w:vMerge w:val="continue"/>
            <w:noWrap w:val="0"/>
            <w:tcMar>
              <w:top w:w="12" w:type="dxa"/>
              <w:left w:w="12" w:type="dxa"/>
              <w:right w:w="12" w:type="dxa"/>
            </w:tcMar>
            <w:vAlign w:val="center"/>
          </w:tcPr>
          <w:p w14:paraId="387B4B7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631C806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noWrap w:val="0"/>
            <w:tcMar>
              <w:top w:w="12" w:type="dxa"/>
              <w:left w:w="12" w:type="dxa"/>
              <w:right w:w="12" w:type="dxa"/>
            </w:tcMar>
            <w:vAlign w:val="center"/>
          </w:tcPr>
          <w:p w14:paraId="0A1A7D9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39矿山地质环境治理恢复基金计提使用</w:t>
            </w:r>
          </w:p>
        </w:tc>
        <w:tc>
          <w:tcPr>
            <w:tcW w:w="850" w:type="dxa"/>
            <w:noWrap w:val="0"/>
            <w:tcMar>
              <w:top w:w="12" w:type="dxa"/>
              <w:left w:w="12" w:type="dxa"/>
              <w:right w:w="12" w:type="dxa"/>
            </w:tcMar>
            <w:vAlign w:val="center"/>
          </w:tcPr>
          <w:p w14:paraId="0B0D02A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w:t>
            </w:r>
          </w:p>
        </w:tc>
        <w:tc>
          <w:tcPr>
            <w:tcW w:w="5670" w:type="dxa"/>
            <w:noWrap w:val="0"/>
            <w:tcMar>
              <w:top w:w="12" w:type="dxa"/>
              <w:left w:w="12" w:type="dxa"/>
              <w:right w:w="12" w:type="dxa"/>
            </w:tcMar>
            <w:vAlign w:val="center"/>
          </w:tcPr>
          <w:p w14:paraId="20B2946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按相关规定及标准足额预存土地复垦费用和计提矿山地质环境治理恢复基金并规范使用，统筹用于开展矿山地质环境治理恢复和土地复垦。符合要求得2分，不符合得0分。</w:t>
            </w:r>
          </w:p>
        </w:tc>
        <w:tc>
          <w:tcPr>
            <w:tcW w:w="992" w:type="dxa"/>
            <w:noWrap w:val="0"/>
            <w:tcMar>
              <w:top w:w="12" w:type="dxa"/>
              <w:left w:w="12" w:type="dxa"/>
              <w:right w:w="12" w:type="dxa"/>
            </w:tcMar>
            <w:vAlign w:val="center"/>
          </w:tcPr>
          <w:p w14:paraId="3FE6139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47B61B4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《矿山地质环境保护与土地复垦方案》及年度计划、基金监管政策文件及标准规范，其他证明材料等。</w:t>
            </w:r>
          </w:p>
        </w:tc>
        <w:tc>
          <w:tcPr>
            <w:tcW w:w="514" w:type="dxa"/>
            <w:noWrap w:val="0"/>
            <w:tcMar>
              <w:top w:w="12" w:type="dxa"/>
              <w:left w:w="12" w:type="dxa"/>
              <w:right w:w="12" w:type="dxa"/>
            </w:tcMar>
            <w:vAlign w:val="center"/>
          </w:tcPr>
          <w:p w14:paraId="1F3A248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794AAB6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25BE1D9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474E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7" w:hRule="atLeast"/>
          <w:jc w:val="center"/>
        </w:trPr>
        <w:tc>
          <w:tcPr>
            <w:tcW w:w="988" w:type="dxa"/>
            <w:vMerge w:val="continue"/>
            <w:noWrap w:val="0"/>
            <w:tcMar>
              <w:top w:w="12" w:type="dxa"/>
              <w:left w:w="12" w:type="dxa"/>
              <w:right w:w="12" w:type="dxa"/>
            </w:tcMar>
            <w:vAlign w:val="center"/>
          </w:tcPr>
          <w:p w14:paraId="3E89527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noWrap w:val="0"/>
            <w:tcMar>
              <w:top w:w="12" w:type="dxa"/>
              <w:left w:w="12" w:type="dxa"/>
              <w:right w:w="12" w:type="dxa"/>
            </w:tcMar>
            <w:vAlign w:val="center"/>
          </w:tcPr>
          <w:p w14:paraId="203690F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2治理要求（5分）</w:t>
            </w:r>
          </w:p>
        </w:tc>
        <w:tc>
          <w:tcPr>
            <w:tcW w:w="1134" w:type="dxa"/>
            <w:noWrap w:val="0"/>
            <w:tcMar>
              <w:top w:w="12" w:type="dxa"/>
              <w:left w:w="12" w:type="dxa"/>
              <w:right w:w="12" w:type="dxa"/>
            </w:tcMar>
            <w:vAlign w:val="center"/>
          </w:tcPr>
          <w:p w14:paraId="4C3E4E4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40治理效果</w:t>
            </w:r>
          </w:p>
        </w:tc>
        <w:tc>
          <w:tcPr>
            <w:tcW w:w="850" w:type="dxa"/>
            <w:noWrap w:val="0"/>
            <w:tcMar>
              <w:top w:w="12" w:type="dxa"/>
              <w:left w:w="12" w:type="dxa"/>
              <w:right w:w="12" w:type="dxa"/>
            </w:tcMar>
            <w:vAlign w:val="center"/>
          </w:tcPr>
          <w:p w14:paraId="0BD0513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5</w:t>
            </w:r>
          </w:p>
        </w:tc>
        <w:tc>
          <w:tcPr>
            <w:tcW w:w="5670" w:type="dxa"/>
            <w:noWrap w:val="0"/>
            <w:tcMar>
              <w:top w:w="12" w:type="dxa"/>
              <w:left w:w="12" w:type="dxa"/>
              <w:right w:w="12" w:type="dxa"/>
            </w:tcMar>
            <w:vAlign w:val="center"/>
          </w:tcPr>
          <w:p w14:paraId="10862B8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不新设永久排矸场。排土场、尾矿库、露天采场、矿区专用道路、矿山工业场地、塌陷区、废石场等区域生态修复与环境治理符合要求。落实“边开采、边修复”要求，矿山生态修复能够分区、分期进行的，要分区、分期开展。治理后的各类场地对周边环境不产生污染，与周边自然环境相协调，周边水体质量恢复至原水平，区域生态功能得到保护和恢复。符合要求得5分，不符合得0分。</w:t>
            </w:r>
          </w:p>
        </w:tc>
        <w:tc>
          <w:tcPr>
            <w:tcW w:w="992" w:type="dxa"/>
            <w:noWrap w:val="0"/>
            <w:tcMar>
              <w:top w:w="12" w:type="dxa"/>
              <w:left w:w="12" w:type="dxa"/>
              <w:right w:w="12" w:type="dxa"/>
            </w:tcMar>
            <w:vAlign w:val="center"/>
          </w:tcPr>
          <w:p w14:paraId="7239571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09AEE83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《矿山生态环境保护与恢复治理技术规范》（HJ 651）、《土地复垦质量控制标准》(TD/T 1036) 、《生态保护修复成效评估技术指南（试行）》（HJ 1272—2022）、《金属矿土地复垦与生态修复技术规范》（GB/T 43933）、《煤矿土地复垦与生态修复技术规范》（GB/T 43934），其他文件证明材料</w:t>
            </w:r>
          </w:p>
        </w:tc>
        <w:tc>
          <w:tcPr>
            <w:tcW w:w="514" w:type="dxa"/>
            <w:noWrap w:val="0"/>
            <w:tcMar>
              <w:top w:w="12" w:type="dxa"/>
              <w:left w:w="12" w:type="dxa"/>
              <w:right w:w="12" w:type="dxa"/>
            </w:tcMar>
            <w:vAlign w:val="center"/>
          </w:tcPr>
          <w:p w14:paraId="32F576A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77599D9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233709D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5FF1FDF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sectPr>
          <w:footerReference r:id="rId11" w:type="default"/>
          <w:pgSz w:w="16838" w:h="11906" w:orient="landscape"/>
          <w:pgMar w:top="567" w:right="720" w:bottom="567" w:left="720" w:header="284" w:footer="283" w:gutter="0"/>
          <w:pgNumType w:fmt="decimal"/>
          <w:cols w:space="720" w:num="1"/>
          <w:docGrid w:type="lines" w:linePitch="435" w:charSpace="0"/>
        </w:sect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8"/>
        <w:gridCol w:w="1134"/>
        <w:gridCol w:w="1134"/>
        <w:gridCol w:w="850"/>
        <w:gridCol w:w="5670"/>
        <w:gridCol w:w="992"/>
        <w:gridCol w:w="2268"/>
        <w:gridCol w:w="514"/>
        <w:gridCol w:w="596"/>
        <w:gridCol w:w="596"/>
      </w:tblGrid>
      <w:tr w14:paraId="7F11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7" w:hRule="atLeast"/>
          <w:jc w:val="center"/>
        </w:trPr>
        <w:tc>
          <w:tcPr>
            <w:tcW w:w="988" w:type="dxa"/>
            <w:vMerge w:val="restart"/>
            <w:noWrap w:val="0"/>
            <w:tcMar>
              <w:top w:w="12" w:type="dxa"/>
              <w:left w:w="12" w:type="dxa"/>
              <w:right w:w="12" w:type="dxa"/>
            </w:tcMar>
            <w:vAlign w:val="center"/>
          </w:tcPr>
          <w:p w14:paraId="64006064">
            <w:pPr>
              <w:pStyle w:val="2"/>
              <w:keepNext w:val="0"/>
              <w:keepLines w:val="0"/>
              <w:pageBreakBefore w:val="0"/>
              <w:kinsoku/>
              <w:wordWrap/>
              <w:overflowPunct/>
              <w:topLinePunct w:val="0"/>
              <w:autoSpaceDE/>
              <w:autoSpaceDN/>
              <w:bidi w:val="0"/>
              <w:spacing w:line="240" w:lineRule="exact"/>
            </w:pPr>
          </w:p>
        </w:tc>
        <w:tc>
          <w:tcPr>
            <w:tcW w:w="1134" w:type="dxa"/>
            <w:noWrap w:val="0"/>
            <w:tcMar>
              <w:top w:w="12" w:type="dxa"/>
              <w:left w:w="12" w:type="dxa"/>
              <w:right w:w="12" w:type="dxa"/>
            </w:tcMar>
            <w:vAlign w:val="center"/>
          </w:tcPr>
          <w:p w14:paraId="0005846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3矿山环境动态监测（3分）</w:t>
            </w:r>
          </w:p>
        </w:tc>
        <w:tc>
          <w:tcPr>
            <w:tcW w:w="1134" w:type="dxa"/>
            <w:noWrap w:val="0"/>
            <w:tcMar>
              <w:top w:w="12" w:type="dxa"/>
              <w:left w:w="12" w:type="dxa"/>
              <w:right w:w="12" w:type="dxa"/>
            </w:tcMar>
            <w:vAlign w:val="center"/>
          </w:tcPr>
          <w:p w14:paraId="659A340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41动态监测要求</w:t>
            </w:r>
          </w:p>
        </w:tc>
        <w:tc>
          <w:tcPr>
            <w:tcW w:w="850" w:type="dxa"/>
            <w:noWrap w:val="0"/>
            <w:tcMar>
              <w:top w:w="12" w:type="dxa"/>
              <w:left w:w="12" w:type="dxa"/>
              <w:right w:w="12" w:type="dxa"/>
            </w:tcMar>
            <w:vAlign w:val="center"/>
          </w:tcPr>
          <w:p w14:paraId="1A45899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5670" w:type="dxa"/>
            <w:noWrap w:val="0"/>
            <w:tcMar>
              <w:top w:w="12" w:type="dxa"/>
              <w:left w:w="12" w:type="dxa"/>
              <w:right w:w="12" w:type="dxa"/>
            </w:tcMar>
            <w:vAlign w:val="center"/>
          </w:tcPr>
          <w:p w14:paraId="4C5D4D3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建立动</w:t>
            </w:r>
            <w:r>
              <w:rPr>
                <w:rFonts w:ascii="宋体" w:hAnsi="宋体" w:cs="Times New Roman"/>
                <w:color w:val="000000"/>
                <w:kern w:val="0"/>
                <w:sz w:val="21"/>
                <w:szCs w:val="21"/>
                <w:highlight w:val="none"/>
              </w:rPr>
              <w:t>态监测体系，对选矿废水、矿井水、尾矿库、矸石山、排土场、废石堆场、地下水等定期进行环境监测，结合实际条件在具备条件的监测点位配备自动监测设备，监测数据应按照规定要求接入自然资源主管部门绿色矿山监督监管体系。并根据监测结果，采取了有效保护措施。对地质环境破坏与恢</w:t>
            </w:r>
            <w:r>
              <w:rPr>
                <w:rFonts w:ascii="宋体" w:hAnsi="宋体" w:cs="Times New Roman"/>
                <w:color w:val="000000"/>
                <w:kern w:val="0"/>
                <w:sz w:val="21"/>
                <w:szCs w:val="21"/>
              </w:rPr>
              <w:t>复治理、土地损毁与复垦利用、生态系统破坏（退化）与恢复进行了动态监测。符合要求得3分，不符合得0分。</w:t>
            </w:r>
          </w:p>
        </w:tc>
        <w:tc>
          <w:tcPr>
            <w:tcW w:w="992" w:type="dxa"/>
            <w:noWrap w:val="0"/>
            <w:tcMar>
              <w:top w:w="12" w:type="dxa"/>
              <w:left w:w="12" w:type="dxa"/>
              <w:right w:w="12" w:type="dxa"/>
            </w:tcMar>
            <w:vAlign w:val="center"/>
          </w:tcPr>
          <w:p w14:paraId="1222F4B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3911931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监测记录，《生态保护修复成效评估技术指南（试行）》（HJ 1272—2022）、《矿山土地复垦与生态修复监测评价技术规范》（GB/T 43935）、国家矿山安全监察局《智能化矿山数据融合共享规范》等相关标准规范或</w:t>
            </w:r>
            <w:r>
              <w:rPr>
                <w:rFonts w:ascii="宋体" w:hAnsi="宋体" w:cs="Times New Roman"/>
                <w:color w:val="000000"/>
                <w:kern w:val="0"/>
                <w:sz w:val="21"/>
                <w:szCs w:val="21"/>
                <w:lang w:bidi="ar"/>
              </w:rPr>
              <w:t>其他证明材料</w:t>
            </w:r>
          </w:p>
        </w:tc>
        <w:tc>
          <w:tcPr>
            <w:tcW w:w="514" w:type="dxa"/>
            <w:noWrap w:val="0"/>
            <w:tcMar>
              <w:top w:w="12" w:type="dxa"/>
              <w:left w:w="12" w:type="dxa"/>
              <w:right w:w="12" w:type="dxa"/>
            </w:tcMar>
            <w:vAlign w:val="center"/>
          </w:tcPr>
          <w:p w14:paraId="77025F8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17CD1EF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51C59F2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06A8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88" w:type="dxa"/>
            <w:vMerge w:val="continue"/>
            <w:noWrap w:val="0"/>
            <w:tcMar>
              <w:top w:w="12" w:type="dxa"/>
              <w:left w:w="12" w:type="dxa"/>
              <w:right w:w="12" w:type="dxa"/>
            </w:tcMar>
            <w:vAlign w:val="center"/>
          </w:tcPr>
          <w:p w14:paraId="6236811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noWrap w:val="0"/>
            <w:tcMar>
              <w:top w:w="12" w:type="dxa"/>
              <w:left w:w="12" w:type="dxa"/>
              <w:right w:w="12" w:type="dxa"/>
            </w:tcMar>
            <w:vAlign w:val="center"/>
          </w:tcPr>
          <w:p w14:paraId="7242B4D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4环境管理体系（3分）</w:t>
            </w:r>
          </w:p>
        </w:tc>
        <w:tc>
          <w:tcPr>
            <w:tcW w:w="1134" w:type="dxa"/>
            <w:noWrap w:val="0"/>
            <w:tcMar>
              <w:top w:w="12" w:type="dxa"/>
              <w:left w:w="12" w:type="dxa"/>
              <w:right w:w="12" w:type="dxa"/>
            </w:tcMar>
            <w:vAlign w:val="center"/>
          </w:tcPr>
          <w:p w14:paraId="257D1C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42环境管理体系要求</w:t>
            </w:r>
          </w:p>
        </w:tc>
        <w:tc>
          <w:tcPr>
            <w:tcW w:w="850" w:type="dxa"/>
            <w:noWrap w:val="0"/>
            <w:tcMar>
              <w:top w:w="12" w:type="dxa"/>
              <w:left w:w="12" w:type="dxa"/>
              <w:right w:w="12" w:type="dxa"/>
            </w:tcMar>
            <w:vAlign w:val="center"/>
          </w:tcPr>
          <w:p w14:paraId="20E5C66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3</w:t>
            </w:r>
          </w:p>
        </w:tc>
        <w:tc>
          <w:tcPr>
            <w:tcW w:w="5670" w:type="dxa"/>
            <w:noWrap w:val="0"/>
            <w:tcMar>
              <w:top w:w="12" w:type="dxa"/>
              <w:left w:w="12" w:type="dxa"/>
              <w:right w:w="12" w:type="dxa"/>
            </w:tcMar>
            <w:vAlign w:val="center"/>
          </w:tcPr>
          <w:p w14:paraId="35CC75E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建立环境管理机制，有完善的环境管理制度，配备了必要的环境管理机构和生态环境保护等专业技术人员，得1分。有环境管理日常监管记录，采取了环境风险防范措施，得1分。获得环境管理体系认证，得1分。</w:t>
            </w:r>
          </w:p>
        </w:tc>
        <w:tc>
          <w:tcPr>
            <w:tcW w:w="992" w:type="dxa"/>
            <w:noWrap w:val="0"/>
            <w:tcMar>
              <w:top w:w="12" w:type="dxa"/>
              <w:left w:w="12" w:type="dxa"/>
              <w:right w:w="12" w:type="dxa"/>
            </w:tcMar>
            <w:vAlign w:val="center"/>
          </w:tcPr>
          <w:p w14:paraId="731BA8A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r>
              <w:rPr>
                <w:rFonts w:ascii="宋体" w:hAnsi="宋体" w:cs="Times New Roman"/>
                <w:color w:val="000000"/>
                <w:kern w:val="0"/>
                <w:sz w:val="21"/>
                <w:szCs w:val="21"/>
              </w:rPr>
              <w:t>查资料、查现场</w:t>
            </w:r>
          </w:p>
        </w:tc>
        <w:tc>
          <w:tcPr>
            <w:tcW w:w="2268" w:type="dxa"/>
            <w:noWrap w:val="0"/>
            <w:tcMar>
              <w:top w:w="12" w:type="dxa"/>
              <w:left w:w="12" w:type="dxa"/>
              <w:right w:w="12" w:type="dxa"/>
            </w:tcMar>
            <w:vAlign w:val="center"/>
          </w:tcPr>
          <w:p w14:paraId="60C6185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环境管理制度、突发事件预案、认证证书，《生态保护修复成效评估技术指南（试行）》（HJ 1272—2022）</w:t>
            </w:r>
          </w:p>
        </w:tc>
        <w:tc>
          <w:tcPr>
            <w:tcW w:w="514" w:type="dxa"/>
            <w:noWrap w:val="0"/>
            <w:tcMar>
              <w:top w:w="12" w:type="dxa"/>
              <w:left w:w="12" w:type="dxa"/>
              <w:right w:w="12" w:type="dxa"/>
            </w:tcMar>
            <w:vAlign w:val="center"/>
          </w:tcPr>
          <w:p w14:paraId="6FEE271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79533D2E">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2A5E2A9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59E0DE1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sectPr>
          <w:footerReference r:id="rId12" w:type="default"/>
          <w:pgSz w:w="16838" w:h="11906" w:orient="landscape"/>
          <w:pgMar w:top="567" w:right="720" w:bottom="567" w:left="720" w:header="284" w:footer="283" w:gutter="0"/>
          <w:pgNumType w:fmt="decimal"/>
          <w:cols w:space="720" w:num="1"/>
          <w:docGrid w:type="lines" w:linePitch="435" w:charSpace="0"/>
        </w:sect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8"/>
        <w:gridCol w:w="1134"/>
        <w:gridCol w:w="1134"/>
        <w:gridCol w:w="850"/>
        <w:gridCol w:w="5670"/>
        <w:gridCol w:w="992"/>
        <w:gridCol w:w="2268"/>
        <w:gridCol w:w="514"/>
        <w:gridCol w:w="596"/>
        <w:gridCol w:w="596"/>
      </w:tblGrid>
      <w:tr w14:paraId="0B19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atLeast"/>
          <w:jc w:val="center"/>
        </w:trPr>
        <w:tc>
          <w:tcPr>
            <w:tcW w:w="988" w:type="dxa"/>
            <w:vMerge w:val="restart"/>
            <w:noWrap w:val="0"/>
            <w:tcMar>
              <w:top w:w="12" w:type="dxa"/>
              <w:left w:w="12" w:type="dxa"/>
              <w:right w:w="12" w:type="dxa"/>
            </w:tcMar>
            <w:vAlign w:val="center"/>
          </w:tcPr>
          <w:p w14:paraId="325F2FA4">
            <w:pPr>
              <w:pStyle w:val="2"/>
              <w:keepNext w:val="0"/>
              <w:keepLines w:val="0"/>
              <w:pageBreakBefore w:val="0"/>
              <w:kinsoku/>
              <w:wordWrap/>
              <w:overflowPunct/>
              <w:topLinePunct w:val="0"/>
              <w:autoSpaceDE/>
              <w:autoSpaceDN/>
              <w:bidi w:val="0"/>
              <w:spacing w:line="240" w:lineRule="exact"/>
            </w:pPr>
          </w:p>
          <w:p w14:paraId="20A93619">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32AE6DC6">
            <w:pPr>
              <w:keepNext w:val="0"/>
              <w:keepLines w:val="0"/>
              <w:pageBreakBefore w:val="0"/>
              <w:kinsoku/>
              <w:wordWrap/>
              <w:overflowPunct/>
              <w:topLinePunct w:val="0"/>
              <w:autoSpaceDE/>
              <w:autoSpaceDN/>
              <w:bidi w:val="0"/>
              <w:spacing w:line="240" w:lineRule="exact"/>
              <w:rPr>
                <w:rFonts w:ascii="宋体" w:hAnsi="宋体"/>
              </w:rPr>
            </w:pPr>
          </w:p>
          <w:p w14:paraId="7A1D61B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p>
          <w:p w14:paraId="5605EB9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bookmarkStart w:id="5" w:name="OLE_LINK9"/>
            <w:r>
              <w:rPr>
                <w:rFonts w:ascii="宋体" w:hAnsi="宋体" w:cs="Times New Roman"/>
                <w:color w:val="000000"/>
                <w:kern w:val="0"/>
                <w:sz w:val="21"/>
                <w:szCs w:val="21"/>
                <w:lang w:bidi="ar"/>
              </w:rPr>
              <w:t>六、科技创新与规范管理（7项，12分）</w:t>
            </w:r>
            <w:bookmarkEnd w:id="5"/>
          </w:p>
          <w:p w14:paraId="1DAD3913">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0F2FF069">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FCD87F1">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4953676B">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4871EA77">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A9A40F1">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六、科技创新与规范管理（7项，12分）</w:t>
            </w:r>
          </w:p>
          <w:p w14:paraId="356F1F3B">
            <w:pPr>
              <w:pStyle w:val="2"/>
              <w:keepNext w:val="0"/>
              <w:keepLines w:val="0"/>
              <w:pageBreakBefore w:val="0"/>
              <w:kinsoku/>
              <w:wordWrap/>
              <w:overflowPunct/>
              <w:topLinePunct w:val="0"/>
              <w:autoSpaceDE/>
              <w:autoSpaceDN/>
              <w:bidi w:val="0"/>
              <w:spacing w:line="240" w:lineRule="exact"/>
              <w:rPr>
                <w:rFonts w:ascii="宋体" w:hAnsi="宋体"/>
              </w:rPr>
            </w:pPr>
          </w:p>
        </w:tc>
        <w:tc>
          <w:tcPr>
            <w:tcW w:w="1134" w:type="dxa"/>
            <w:vMerge w:val="restart"/>
            <w:noWrap w:val="0"/>
            <w:tcMar>
              <w:top w:w="12" w:type="dxa"/>
              <w:left w:w="12" w:type="dxa"/>
              <w:right w:w="12" w:type="dxa"/>
            </w:tcMar>
            <w:vAlign w:val="center"/>
          </w:tcPr>
          <w:p w14:paraId="4FC6A2EB">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1科技创新（3分）</w:t>
            </w:r>
          </w:p>
        </w:tc>
        <w:tc>
          <w:tcPr>
            <w:tcW w:w="1134" w:type="dxa"/>
            <w:noWrap w:val="0"/>
            <w:tcMar>
              <w:top w:w="12" w:type="dxa"/>
              <w:left w:w="12" w:type="dxa"/>
              <w:right w:w="12" w:type="dxa"/>
            </w:tcMar>
            <w:vAlign w:val="center"/>
          </w:tcPr>
          <w:p w14:paraId="632687A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43研发及技改投入</w:t>
            </w:r>
          </w:p>
        </w:tc>
        <w:tc>
          <w:tcPr>
            <w:tcW w:w="850" w:type="dxa"/>
            <w:noWrap w:val="0"/>
            <w:tcMar>
              <w:top w:w="12" w:type="dxa"/>
              <w:left w:w="12" w:type="dxa"/>
              <w:right w:w="12" w:type="dxa"/>
            </w:tcMar>
            <w:vAlign w:val="center"/>
          </w:tcPr>
          <w:p w14:paraId="1955BCF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hint="eastAsia" w:ascii="宋体" w:hAnsi="宋体" w:cs="Times New Roman"/>
                <w:color w:val="000000"/>
                <w:kern w:val="0"/>
                <w:sz w:val="21"/>
                <w:szCs w:val="21"/>
                <w:lang w:bidi="ar"/>
              </w:rPr>
              <w:t>1.5</w:t>
            </w:r>
          </w:p>
        </w:tc>
        <w:tc>
          <w:tcPr>
            <w:tcW w:w="5670" w:type="dxa"/>
            <w:noWrap w:val="0"/>
            <w:tcMar>
              <w:top w:w="12" w:type="dxa"/>
              <w:left w:w="12" w:type="dxa"/>
              <w:right w:w="12" w:type="dxa"/>
            </w:tcMar>
            <w:vAlign w:val="top"/>
          </w:tcPr>
          <w:p w14:paraId="6F7E53F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具有技术研发队伍和专业技术人员，得0.5分；研发及技改投入不低于上年度主营业务收入的1.5%，得0.5分；完成环评要求的专项研究，得0.5分。</w:t>
            </w:r>
          </w:p>
        </w:tc>
        <w:tc>
          <w:tcPr>
            <w:tcW w:w="992" w:type="dxa"/>
            <w:noWrap w:val="0"/>
            <w:tcMar>
              <w:top w:w="12" w:type="dxa"/>
              <w:left w:w="12" w:type="dxa"/>
              <w:right w:w="12" w:type="dxa"/>
            </w:tcMar>
            <w:vAlign w:val="center"/>
          </w:tcPr>
          <w:p w14:paraId="273AD8C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w:t>
            </w:r>
          </w:p>
        </w:tc>
        <w:tc>
          <w:tcPr>
            <w:tcW w:w="2268" w:type="dxa"/>
            <w:noWrap w:val="0"/>
            <w:tcMar>
              <w:top w:w="12" w:type="dxa"/>
              <w:left w:w="12" w:type="dxa"/>
              <w:right w:w="12" w:type="dxa"/>
            </w:tcMar>
            <w:vAlign w:val="top"/>
          </w:tcPr>
          <w:p w14:paraId="04C6B8E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生产报表（调度报表）或其他证明材料</w:t>
            </w:r>
          </w:p>
        </w:tc>
        <w:tc>
          <w:tcPr>
            <w:tcW w:w="514" w:type="dxa"/>
            <w:noWrap w:val="0"/>
            <w:tcMar>
              <w:top w:w="12" w:type="dxa"/>
              <w:left w:w="12" w:type="dxa"/>
              <w:right w:w="12" w:type="dxa"/>
            </w:tcMar>
            <w:vAlign w:val="center"/>
          </w:tcPr>
          <w:p w14:paraId="4939F36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31EAA73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38752A0A">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0DA4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jc w:val="center"/>
        </w:trPr>
        <w:tc>
          <w:tcPr>
            <w:tcW w:w="988" w:type="dxa"/>
            <w:vMerge w:val="continue"/>
            <w:noWrap w:val="0"/>
            <w:tcMar>
              <w:top w:w="12" w:type="dxa"/>
              <w:left w:w="12" w:type="dxa"/>
              <w:right w:w="12" w:type="dxa"/>
            </w:tcMar>
            <w:vAlign w:val="center"/>
          </w:tcPr>
          <w:p w14:paraId="66AB30B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1A20C3D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p>
        </w:tc>
        <w:tc>
          <w:tcPr>
            <w:tcW w:w="1134" w:type="dxa"/>
            <w:noWrap w:val="0"/>
            <w:tcMar>
              <w:top w:w="12" w:type="dxa"/>
              <w:left w:w="12" w:type="dxa"/>
              <w:right w:w="12" w:type="dxa"/>
            </w:tcMar>
            <w:vAlign w:val="center"/>
          </w:tcPr>
          <w:p w14:paraId="75CD45C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44创新成果</w:t>
            </w:r>
          </w:p>
        </w:tc>
        <w:tc>
          <w:tcPr>
            <w:tcW w:w="850" w:type="dxa"/>
            <w:noWrap w:val="0"/>
            <w:tcMar>
              <w:top w:w="12" w:type="dxa"/>
              <w:left w:w="12" w:type="dxa"/>
              <w:right w:w="12" w:type="dxa"/>
            </w:tcMar>
            <w:vAlign w:val="center"/>
          </w:tcPr>
          <w:p w14:paraId="3379C11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1</w:t>
            </w:r>
            <w:r>
              <w:rPr>
                <w:rFonts w:hint="eastAsia" w:ascii="宋体" w:hAnsi="宋体" w:cs="Times New Roman"/>
                <w:color w:val="000000"/>
                <w:kern w:val="0"/>
                <w:sz w:val="21"/>
                <w:szCs w:val="21"/>
                <w:lang w:bidi="ar"/>
              </w:rPr>
              <w:t>.5</w:t>
            </w:r>
          </w:p>
        </w:tc>
        <w:tc>
          <w:tcPr>
            <w:tcW w:w="5670" w:type="dxa"/>
            <w:noWrap w:val="0"/>
            <w:tcMar>
              <w:top w:w="12" w:type="dxa"/>
              <w:left w:w="12" w:type="dxa"/>
              <w:right w:w="12" w:type="dxa"/>
            </w:tcMar>
            <w:vAlign w:val="center"/>
          </w:tcPr>
          <w:p w14:paraId="2BA42DB2">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三年内获得1项发明专利得0.5分；入选《节地技术和节地模式推荐目录》或最新版《矿产资源节约和综合利用先进适用技术目录》、《国家重点推广的低碳技术目录》1项得</w:t>
            </w:r>
            <w:r>
              <w:rPr>
                <w:rFonts w:hint="eastAsia" w:ascii="宋体" w:hAnsi="宋体" w:cs="Times New Roman"/>
                <w:color w:val="000000"/>
                <w:kern w:val="0"/>
                <w:sz w:val="21"/>
                <w:szCs w:val="21"/>
                <w:lang w:bidi="ar"/>
              </w:rPr>
              <w:t>0.5</w:t>
            </w:r>
            <w:r>
              <w:rPr>
                <w:rFonts w:ascii="宋体" w:hAnsi="宋体" w:cs="Times New Roman"/>
                <w:color w:val="000000"/>
                <w:kern w:val="0"/>
                <w:sz w:val="21"/>
                <w:szCs w:val="21"/>
                <w:lang w:bidi="ar"/>
              </w:rPr>
              <w:t>分；获得高新技术企业证书，得</w:t>
            </w:r>
            <w:r>
              <w:rPr>
                <w:rFonts w:hint="eastAsia" w:ascii="宋体" w:hAnsi="宋体" w:cs="Times New Roman"/>
                <w:color w:val="000000"/>
                <w:kern w:val="0"/>
                <w:sz w:val="21"/>
                <w:szCs w:val="21"/>
                <w:lang w:bidi="ar"/>
              </w:rPr>
              <w:t>0.5</w:t>
            </w:r>
            <w:r>
              <w:rPr>
                <w:rFonts w:ascii="宋体" w:hAnsi="宋体" w:cs="Times New Roman"/>
                <w:color w:val="000000"/>
                <w:kern w:val="0"/>
                <w:sz w:val="21"/>
                <w:szCs w:val="21"/>
                <w:lang w:bidi="ar"/>
              </w:rPr>
              <w:t>分。最多得</w:t>
            </w:r>
            <w:r>
              <w:rPr>
                <w:rFonts w:hint="eastAsia" w:ascii="宋体" w:hAnsi="宋体" w:cs="Times New Roman"/>
                <w:color w:val="000000"/>
                <w:kern w:val="0"/>
                <w:sz w:val="21"/>
                <w:szCs w:val="21"/>
                <w:lang w:bidi="ar"/>
              </w:rPr>
              <w:t>1.5</w:t>
            </w:r>
            <w:r>
              <w:rPr>
                <w:rFonts w:ascii="宋体" w:hAnsi="宋体" w:cs="Times New Roman"/>
                <w:color w:val="000000"/>
                <w:kern w:val="0"/>
                <w:sz w:val="21"/>
                <w:szCs w:val="21"/>
                <w:lang w:bidi="ar"/>
              </w:rPr>
              <w:t>分</w:t>
            </w:r>
            <w:r>
              <w:rPr>
                <w:rFonts w:hint="eastAsia" w:ascii="宋体" w:hAnsi="宋体" w:cs="Times New Roman"/>
                <w:color w:val="000000"/>
                <w:kern w:val="0"/>
                <w:sz w:val="21"/>
                <w:szCs w:val="21"/>
                <w:lang w:bidi="ar"/>
              </w:rPr>
              <w:t>。</w:t>
            </w:r>
          </w:p>
        </w:tc>
        <w:tc>
          <w:tcPr>
            <w:tcW w:w="992" w:type="dxa"/>
            <w:noWrap w:val="0"/>
            <w:tcMar>
              <w:top w:w="12" w:type="dxa"/>
              <w:left w:w="12" w:type="dxa"/>
              <w:right w:w="12" w:type="dxa"/>
            </w:tcMar>
            <w:vAlign w:val="center"/>
          </w:tcPr>
          <w:p w14:paraId="3DE9717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w:t>
            </w:r>
          </w:p>
        </w:tc>
        <w:tc>
          <w:tcPr>
            <w:tcW w:w="2268" w:type="dxa"/>
            <w:noWrap w:val="0"/>
            <w:tcMar>
              <w:top w:w="12" w:type="dxa"/>
              <w:left w:w="12" w:type="dxa"/>
              <w:right w:w="12" w:type="dxa"/>
            </w:tcMar>
            <w:vAlign w:val="center"/>
          </w:tcPr>
          <w:p w14:paraId="27CDEEC4">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证书或其他证明材料</w:t>
            </w:r>
          </w:p>
        </w:tc>
        <w:tc>
          <w:tcPr>
            <w:tcW w:w="514" w:type="dxa"/>
            <w:noWrap w:val="0"/>
            <w:tcMar>
              <w:top w:w="12" w:type="dxa"/>
              <w:left w:w="12" w:type="dxa"/>
              <w:right w:w="12" w:type="dxa"/>
            </w:tcMar>
            <w:vAlign w:val="center"/>
          </w:tcPr>
          <w:p w14:paraId="0D5FCB5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5BC8814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7D87099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1FA6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9" w:hRule="atLeast"/>
          <w:jc w:val="center"/>
        </w:trPr>
        <w:tc>
          <w:tcPr>
            <w:tcW w:w="988" w:type="dxa"/>
            <w:vMerge w:val="continue"/>
            <w:noWrap w:val="0"/>
            <w:tcMar>
              <w:top w:w="12" w:type="dxa"/>
              <w:left w:w="12" w:type="dxa"/>
              <w:right w:w="12" w:type="dxa"/>
            </w:tcMar>
            <w:vAlign w:val="center"/>
          </w:tcPr>
          <w:p w14:paraId="1EEB741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restart"/>
            <w:noWrap w:val="0"/>
            <w:tcMar>
              <w:top w:w="12" w:type="dxa"/>
              <w:left w:w="12" w:type="dxa"/>
              <w:right w:w="12" w:type="dxa"/>
            </w:tcMar>
            <w:vAlign w:val="center"/>
          </w:tcPr>
          <w:p w14:paraId="590A86B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2数字化矿山（4分）</w:t>
            </w:r>
          </w:p>
        </w:tc>
        <w:tc>
          <w:tcPr>
            <w:tcW w:w="1134" w:type="dxa"/>
            <w:noWrap w:val="0"/>
            <w:tcMar>
              <w:top w:w="12" w:type="dxa"/>
              <w:left w:w="12" w:type="dxa"/>
              <w:right w:w="12" w:type="dxa"/>
            </w:tcMar>
            <w:vAlign w:val="center"/>
          </w:tcPr>
          <w:p w14:paraId="111FFCE8">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rPr>
              <w:t>45</w:t>
            </w:r>
            <w:r>
              <w:rPr>
                <w:rFonts w:ascii="宋体" w:hAnsi="宋体" w:cs="Times New Roman"/>
                <w:color w:val="000000"/>
                <w:kern w:val="0"/>
                <w:sz w:val="21"/>
                <w:szCs w:val="21"/>
                <w:lang w:bidi="ar"/>
              </w:rPr>
              <w:t>集中管控平台</w:t>
            </w:r>
          </w:p>
        </w:tc>
        <w:tc>
          <w:tcPr>
            <w:tcW w:w="850" w:type="dxa"/>
            <w:noWrap w:val="0"/>
            <w:tcMar>
              <w:top w:w="12" w:type="dxa"/>
              <w:left w:w="12" w:type="dxa"/>
              <w:right w:w="12" w:type="dxa"/>
            </w:tcMar>
            <w:vAlign w:val="center"/>
          </w:tcPr>
          <w:p w14:paraId="03D680E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w:t>
            </w:r>
          </w:p>
        </w:tc>
        <w:tc>
          <w:tcPr>
            <w:tcW w:w="5670" w:type="dxa"/>
            <w:noWrap w:val="0"/>
            <w:tcMar>
              <w:top w:w="12" w:type="dxa"/>
              <w:left w:w="12" w:type="dxa"/>
              <w:right w:w="12" w:type="dxa"/>
            </w:tcMar>
            <w:vAlign w:val="center"/>
          </w:tcPr>
          <w:p w14:paraId="5C3A9767">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建设集中管控平台，能够将远程监控系统、自动控制系统、储量管理系统、生态环境监测管理系统等集中在大屏幕展示。符合要求得2分，发现一项不符合扣0.5分。</w:t>
            </w:r>
          </w:p>
        </w:tc>
        <w:tc>
          <w:tcPr>
            <w:tcW w:w="992" w:type="dxa"/>
            <w:noWrap w:val="0"/>
            <w:tcMar>
              <w:top w:w="12" w:type="dxa"/>
              <w:left w:w="12" w:type="dxa"/>
              <w:right w:w="12" w:type="dxa"/>
            </w:tcMar>
            <w:vAlign w:val="center"/>
          </w:tcPr>
          <w:p w14:paraId="33132990">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68" w:type="dxa"/>
            <w:noWrap w:val="0"/>
            <w:tcMar>
              <w:top w:w="12" w:type="dxa"/>
              <w:left w:w="12" w:type="dxa"/>
              <w:right w:w="12" w:type="dxa"/>
            </w:tcMar>
            <w:vAlign w:val="center"/>
          </w:tcPr>
          <w:p w14:paraId="348DCE1F">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p>
        </w:tc>
        <w:tc>
          <w:tcPr>
            <w:tcW w:w="514" w:type="dxa"/>
            <w:noWrap w:val="0"/>
            <w:tcMar>
              <w:top w:w="12" w:type="dxa"/>
              <w:left w:w="12" w:type="dxa"/>
              <w:right w:w="12" w:type="dxa"/>
            </w:tcMar>
            <w:vAlign w:val="center"/>
          </w:tcPr>
          <w:p w14:paraId="71B1829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7014E27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7B59CE1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D33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988" w:type="dxa"/>
            <w:vMerge w:val="continue"/>
            <w:noWrap w:val="0"/>
            <w:tcMar>
              <w:top w:w="12" w:type="dxa"/>
              <w:left w:w="12" w:type="dxa"/>
              <w:right w:w="12" w:type="dxa"/>
            </w:tcMar>
            <w:vAlign w:val="center"/>
          </w:tcPr>
          <w:p w14:paraId="368F66A3">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634903C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noWrap w:val="0"/>
            <w:tcMar>
              <w:top w:w="12" w:type="dxa"/>
              <w:left w:w="12" w:type="dxa"/>
              <w:right w:w="12" w:type="dxa"/>
            </w:tcMar>
            <w:vAlign w:val="center"/>
          </w:tcPr>
          <w:p w14:paraId="0416BE7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46智能化应用</w:t>
            </w:r>
          </w:p>
        </w:tc>
        <w:tc>
          <w:tcPr>
            <w:tcW w:w="850" w:type="dxa"/>
            <w:noWrap w:val="0"/>
            <w:tcMar>
              <w:top w:w="12" w:type="dxa"/>
              <w:left w:w="12" w:type="dxa"/>
              <w:right w:w="12" w:type="dxa"/>
            </w:tcMar>
            <w:vAlign w:val="center"/>
          </w:tcPr>
          <w:p w14:paraId="77B0F6CC">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w:t>
            </w:r>
          </w:p>
        </w:tc>
        <w:tc>
          <w:tcPr>
            <w:tcW w:w="5670" w:type="dxa"/>
            <w:noWrap w:val="0"/>
            <w:tcMar>
              <w:top w:w="12" w:type="dxa"/>
              <w:left w:w="12" w:type="dxa"/>
              <w:right w:w="12" w:type="dxa"/>
            </w:tcMar>
            <w:vAlign w:val="center"/>
          </w:tcPr>
          <w:p w14:paraId="6086679E">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按照《智能矿山建设规范》（DZ/T 0376-2021）等标准开展智能矿山建设。符合要求得2分。</w:t>
            </w:r>
          </w:p>
        </w:tc>
        <w:tc>
          <w:tcPr>
            <w:tcW w:w="992" w:type="dxa"/>
            <w:noWrap w:val="0"/>
            <w:tcMar>
              <w:top w:w="12" w:type="dxa"/>
              <w:left w:w="12" w:type="dxa"/>
              <w:right w:w="12" w:type="dxa"/>
            </w:tcMar>
            <w:vAlign w:val="center"/>
          </w:tcPr>
          <w:p w14:paraId="5E23B97D">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查资料、查现场</w:t>
            </w:r>
          </w:p>
        </w:tc>
        <w:tc>
          <w:tcPr>
            <w:tcW w:w="2268" w:type="dxa"/>
            <w:noWrap w:val="0"/>
            <w:tcMar>
              <w:top w:w="12" w:type="dxa"/>
              <w:left w:w="12" w:type="dxa"/>
              <w:right w:w="12" w:type="dxa"/>
            </w:tcMar>
            <w:vAlign w:val="center"/>
          </w:tcPr>
          <w:p w14:paraId="24D4700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rPr>
              <w:t>《智能矿山建设规范》（DZ/T 0376-2021）</w:t>
            </w:r>
          </w:p>
        </w:tc>
        <w:tc>
          <w:tcPr>
            <w:tcW w:w="514" w:type="dxa"/>
            <w:noWrap w:val="0"/>
            <w:tcMar>
              <w:top w:w="12" w:type="dxa"/>
              <w:left w:w="12" w:type="dxa"/>
              <w:right w:w="12" w:type="dxa"/>
            </w:tcMar>
            <w:vAlign w:val="center"/>
          </w:tcPr>
          <w:p w14:paraId="738794F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0C946EA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rPr>
                <w:rFonts w:ascii="宋体" w:hAnsi="宋体" w:cs="Times New Roman"/>
                <w:color w:val="000000"/>
                <w:kern w:val="0"/>
                <w:sz w:val="21"/>
                <w:szCs w:val="21"/>
              </w:rPr>
            </w:pPr>
          </w:p>
        </w:tc>
        <w:tc>
          <w:tcPr>
            <w:tcW w:w="596" w:type="dxa"/>
            <w:noWrap w:val="0"/>
            <w:vAlign w:val="center"/>
          </w:tcPr>
          <w:p w14:paraId="60A27B9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16B5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988" w:type="dxa"/>
            <w:vMerge w:val="continue"/>
            <w:noWrap w:val="0"/>
            <w:tcMar>
              <w:top w:w="12" w:type="dxa"/>
              <w:left w:w="12" w:type="dxa"/>
              <w:right w:w="12" w:type="dxa"/>
            </w:tcMar>
            <w:vAlign w:val="center"/>
          </w:tcPr>
          <w:p w14:paraId="5EB1983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restart"/>
            <w:noWrap w:val="0"/>
            <w:tcMar>
              <w:top w:w="12" w:type="dxa"/>
              <w:left w:w="12" w:type="dxa"/>
              <w:right w:w="12" w:type="dxa"/>
            </w:tcMar>
            <w:vAlign w:val="center"/>
          </w:tcPr>
          <w:p w14:paraId="500C3E32">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3规范管理（5分）</w:t>
            </w:r>
          </w:p>
          <w:p w14:paraId="0D07A726">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05D5F57C">
            <w:pPr>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574E56AD">
            <w:pPr>
              <w:pStyle w:val="2"/>
              <w:keepNext w:val="0"/>
              <w:keepLines w:val="0"/>
              <w:pageBreakBefore w:val="0"/>
              <w:kinsoku/>
              <w:wordWrap/>
              <w:overflowPunct/>
              <w:topLinePunct w:val="0"/>
              <w:autoSpaceDE/>
              <w:autoSpaceDN/>
              <w:bidi w:val="0"/>
              <w:spacing w:line="240" w:lineRule="exact"/>
              <w:rPr>
                <w:rFonts w:ascii="宋体" w:hAnsi="宋体" w:cs="Times New Roman"/>
                <w:color w:val="000000"/>
                <w:kern w:val="0"/>
                <w:sz w:val="21"/>
                <w:szCs w:val="21"/>
                <w:lang w:bidi="ar"/>
              </w:rPr>
            </w:pPr>
          </w:p>
          <w:p w14:paraId="7BFAE993">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3规范管理（5分）</w:t>
            </w:r>
          </w:p>
          <w:p w14:paraId="3C4EE4FB">
            <w:pPr>
              <w:keepNext w:val="0"/>
              <w:keepLines w:val="0"/>
              <w:pageBreakBefore w:val="0"/>
              <w:kinsoku/>
              <w:wordWrap/>
              <w:overflowPunct/>
              <w:topLinePunct w:val="0"/>
              <w:autoSpaceDE/>
              <w:autoSpaceDN/>
              <w:bidi w:val="0"/>
              <w:spacing w:line="240" w:lineRule="exact"/>
              <w:rPr>
                <w:rFonts w:ascii="宋体" w:hAnsi="宋体"/>
              </w:rPr>
            </w:pPr>
          </w:p>
          <w:p w14:paraId="363061E0">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00F20D50">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47企业文化</w:t>
            </w:r>
          </w:p>
        </w:tc>
        <w:tc>
          <w:tcPr>
            <w:tcW w:w="850" w:type="dxa"/>
            <w:noWrap w:val="0"/>
            <w:tcMar>
              <w:top w:w="12" w:type="dxa"/>
              <w:left w:w="12" w:type="dxa"/>
              <w:right w:w="12" w:type="dxa"/>
            </w:tcMar>
            <w:vAlign w:val="center"/>
          </w:tcPr>
          <w:p w14:paraId="5EBBB2AC">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1</w:t>
            </w:r>
          </w:p>
        </w:tc>
        <w:tc>
          <w:tcPr>
            <w:tcW w:w="5670" w:type="dxa"/>
            <w:noWrap w:val="0"/>
            <w:tcMar>
              <w:top w:w="12" w:type="dxa"/>
              <w:left w:w="12" w:type="dxa"/>
              <w:right w:w="12" w:type="dxa"/>
            </w:tcMar>
            <w:vAlign w:val="center"/>
          </w:tcPr>
          <w:p w14:paraId="14937576">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制定绿色矿山建设年度计划，定期开展自评。制作绿色矿山宣传展板、标语和宣传片；建立人员目视化管理制度；建立职工收入随企业业绩同步增长机制；建设职工休闲、娱乐、文化体育设施并开展活动；职工满意度不低于70%。符合要求得1分，发现一项不符合扣0.2分。</w:t>
            </w:r>
          </w:p>
        </w:tc>
        <w:tc>
          <w:tcPr>
            <w:tcW w:w="992" w:type="dxa"/>
            <w:noWrap w:val="0"/>
            <w:tcMar>
              <w:top w:w="12" w:type="dxa"/>
              <w:left w:w="12" w:type="dxa"/>
              <w:right w:w="12" w:type="dxa"/>
            </w:tcMar>
            <w:vAlign w:val="center"/>
          </w:tcPr>
          <w:p w14:paraId="552E95D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查资料、查现场、调查走访</w:t>
            </w:r>
          </w:p>
        </w:tc>
        <w:tc>
          <w:tcPr>
            <w:tcW w:w="2268" w:type="dxa"/>
            <w:noWrap w:val="0"/>
            <w:tcMar>
              <w:top w:w="12" w:type="dxa"/>
              <w:left w:w="12" w:type="dxa"/>
              <w:right w:w="12" w:type="dxa"/>
            </w:tcMar>
            <w:vAlign w:val="center"/>
          </w:tcPr>
          <w:p w14:paraId="6C7EF682">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企业管理文件、自评材料、宣传片、活动证明、认证、证书、调查问卷原始记录等材料</w:t>
            </w:r>
          </w:p>
        </w:tc>
        <w:tc>
          <w:tcPr>
            <w:tcW w:w="514" w:type="dxa"/>
            <w:noWrap w:val="0"/>
            <w:tcMar>
              <w:top w:w="12" w:type="dxa"/>
              <w:left w:w="12" w:type="dxa"/>
              <w:right w:w="12" w:type="dxa"/>
            </w:tcMar>
            <w:vAlign w:val="center"/>
          </w:tcPr>
          <w:p w14:paraId="09C9FA00">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提升性</w:t>
            </w:r>
          </w:p>
        </w:tc>
        <w:tc>
          <w:tcPr>
            <w:tcW w:w="596" w:type="dxa"/>
            <w:noWrap w:val="0"/>
            <w:vAlign w:val="center"/>
          </w:tcPr>
          <w:p w14:paraId="01FE3F8B">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459C7C9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69B7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4" w:hRule="atLeast"/>
          <w:jc w:val="center"/>
        </w:trPr>
        <w:tc>
          <w:tcPr>
            <w:tcW w:w="988" w:type="dxa"/>
            <w:vMerge w:val="continue"/>
            <w:noWrap w:val="0"/>
            <w:tcMar>
              <w:top w:w="12" w:type="dxa"/>
              <w:left w:w="12" w:type="dxa"/>
              <w:right w:w="12" w:type="dxa"/>
            </w:tcMar>
            <w:vAlign w:val="center"/>
          </w:tcPr>
          <w:p w14:paraId="5F435A40">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0628F774">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3C7F6B47">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48</w:t>
            </w:r>
            <w:r>
              <w:rPr>
                <w:rFonts w:ascii="宋体" w:hAnsi="宋体" w:cs="Times New Roman"/>
                <w:color w:val="000000"/>
                <w:kern w:val="0"/>
                <w:sz w:val="21"/>
                <w:szCs w:val="21"/>
              </w:rPr>
              <w:t>企业诚信</w:t>
            </w:r>
          </w:p>
        </w:tc>
        <w:tc>
          <w:tcPr>
            <w:tcW w:w="850" w:type="dxa"/>
            <w:noWrap w:val="0"/>
            <w:tcMar>
              <w:top w:w="12" w:type="dxa"/>
              <w:left w:w="12" w:type="dxa"/>
              <w:right w:w="12" w:type="dxa"/>
            </w:tcMar>
            <w:vAlign w:val="center"/>
          </w:tcPr>
          <w:p w14:paraId="360CEF9B">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w:t>
            </w:r>
          </w:p>
        </w:tc>
        <w:tc>
          <w:tcPr>
            <w:tcW w:w="5670" w:type="dxa"/>
            <w:noWrap w:val="0"/>
            <w:tcMar>
              <w:top w:w="12" w:type="dxa"/>
              <w:left w:w="12" w:type="dxa"/>
              <w:right w:w="12" w:type="dxa"/>
            </w:tcMar>
            <w:vAlign w:val="center"/>
          </w:tcPr>
          <w:p w14:paraId="7391E33C">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依法纳税，按要求提交储量年报、储量表及矿产资源统计基础表，按规定缴存矿业权出让收益。符合要求得2分，不符合得0分。</w:t>
            </w:r>
          </w:p>
        </w:tc>
        <w:tc>
          <w:tcPr>
            <w:tcW w:w="992" w:type="dxa"/>
            <w:noWrap w:val="0"/>
            <w:tcMar>
              <w:top w:w="12" w:type="dxa"/>
              <w:left w:w="12" w:type="dxa"/>
              <w:right w:w="12" w:type="dxa"/>
            </w:tcMar>
            <w:vAlign w:val="center"/>
          </w:tcPr>
          <w:p w14:paraId="2B0FE32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w:t>
            </w:r>
          </w:p>
        </w:tc>
        <w:tc>
          <w:tcPr>
            <w:tcW w:w="2268" w:type="dxa"/>
            <w:noWrap w:val="0"/>
            <w:tcMar>
              <w:top w:w="12" w:type="dxa"/>
              <w:left w:w="12" w:type="dxa"/>
              <w:right w:w="12" w:type="dxa"/>
            </w:tcMar>
            <w:vAlign w:val="center"/>
          </w:tcPr>
          <w:p w14:paraId="04240F76">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税务及相关部门证明</w:t>
            </w:r>
          </w:p>
        </w:tc>
        <w:tc>
          <w:tcPr>
            <w:tcW w:w="514" w:type="dxa"/>
            <w:noWrap w:val="0"/>
            <w:tcMar>
              <w:top w:w="12" w:type="dxa"/>
              <w:left w:w="12" w:type="dxa"/>
              <w:right w:w="12" w:type="dxa"/>
            </w:tcMar>
            <w:vAlign w:val="center"/>
          </w:tcPr>
          <w:p w14:paraId="5CA28824">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01FE86AC">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3075435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3BBD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9" w:hRule="atLeast"/>
          <w:jc w:val="center"/>
        </w:trPr>
        <w:tc>
          <w:tcPr>
            <w:tcW w:w="988" w:type="dxa"/>
            <w:vMerge w:val="continue"/>
            <w:noWrap w:val="0"/>
            <w:tcMar>
              <w:top w:w="12" w:type="dxa"/>
              <w:left w:w="12" w:type="dxa"/>
              <w:right w:w="12" w:type="dxa"/>
            </w:tcMar>
            <w:vAlign w:val="center"/>
          </w:tcPr>
          <w:p w14:paraId="66FC6BE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c>
          <w:tcPr>
            <w:tcW w:w="1134" w:type="dxa"/>
            <w:vMerge w:val="continue"/>
            <w:noWrap w:val="0"/>
            <w:tcMar>
              <w:top w:w="12" w:type="dxa"/>
              <w:left w:w="12" w:type="dxa"/>
              <w:right w:w="12" w:type="dxa"/>
            </w:tcMar>
            <w:vAlign w:val="center"/>
          </w:tcPr>
          <w:p w14:paraId="67D74E46">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p>
        </w:tc>
        <w:tc>
          <w:tcPr>
            <w:tcW w:w="1134" w:type="dxa"/>
            <w:noWrap w:val="0"/>
            <w:tcMar>
              <w:top w:w="12" w:type="dxa"/>
              <w:left w:w="12" w:type="dxa"/>
              <w:right w:w="12" w:type="dxa"/>
            </w:tcMar>
            <w:vAlign w:val="center"/>
          </w:tcPr>
          <w:p w14:paraId="5EFD3F1A">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49</w:t>
            </w:r>
            <w:r>
              <w:rPr>
                <w:rFonts w:ascii="宋体" w:hAnsi="宋体" w:cs="Times New Roman"/>
                <w:color w:val="000000"/>
                <w:kern w:val="0"/>
                <w:sz w:val="21"/>
                <w:szCs w:val="21"/>
              </w:rPr>
              <w:t>矿地和谐</w:t>
            </w:r>
          </w:p>
        </w:tc>
        <w:tc>
          <w:tcPr>
            <w:tcW w:w="850" w:type="dxa"/>
            <w:noWrap w:val="0"/>
            <w:tcMar>
              <w:top w:w="12" w:type="dxa"/>
              <w:left w:w="12" w:type="dxa"/>
              <w:right w:w="12" w:type="dxa"/>
            </w:tcMar>
            <w:vAlign w:val="center"/>
          </w:tcPr>
          <w:p w14:paraId="65B34958">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2</w:t>
            </w:r>
          </w:p>
        </w:tc>
        <w:tc>
          <w:tcPr>
            <w:tcW w:w="5670" w:type="dxa"/>
            <w:noWrap w:val="0"/>
            <w:tcMar>
              <w:top w:w="12" w:type="dxa"/>
              <w:left w:w="12" w:type="dxa"/>
              <w:right w:w="12" w:type="dxa"/>
            </w:tcMar>
            <w:vAlign w:val="center"/>
          </w:tcPr>
          <w:p w14:paraId="350B5066">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建立职业健康管理制度。建立良好矿地关系，制定和公开申诉回应制度，具有联系机构与人员，及时妥善处理与受采矿活动影响的社区等利益相关者间的纠纷矛盾，维护当地生产、生活相关生态环境。在劳务用工、基础设施、公益募捐、教育医疗支持等一个及以上方面开展帮扶，助力乡村振兴。符合要求得2分，不符合得0分。</w:t>
            </w:r>
          </w:p>
        </w:tc>
        <w:tc>
          <w:tcPr>
            <w:tcW w:w="992" w:type="dxa"/>
            <w:noWrap w:val="0"/>
            <w:tcMar>
              <w:top w:w="12" w:type="dxa"/>
              <w:left w:w="12" w:type="dxa"/>
              <w:right w:w="12" w:type="dxa"/>
            </w:tcMar>
            <w:vAlign w:val="center"/>
          </w:tcPr>
          <w:p w14:paraId="6E82BF56">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rPr>
            </w:pPr>
            <w:r>
              <w:rPr>
                <w:rFonts w:ascii="宋体" w:hAnsi="宋体" w:cs="Times New Roman"/>
                <w:color w:val="000000"/>
                <w:kern w:val="0"/>
                <w:sz w:val="21"/>
                <w:szCs w:val="21"/>
                <w:lang w:bidi="ar"/>
              </w:rPr>
              <w:t>查资料、调查走访</w:t>
            </w:r>
          </w:p>
        </w:tc>
        <w:tc>
          <w:tcPr>
            <w:tcW w:w="2268" w:type="dxa"/>
            <w:noWrap w:val="0"/>
            <w:tcMar>
              <w:top w:w="12" w:type="dxa"/>
              <w:left w:w="12" w:type="dxa"/>
              <w:right w:w="12" w:type="dxa"/>
            </w:tcMar>
            <w:vAlign w:val="center"/>
          </w:tcPr>
          <w:p w14:paraId="4A5C30CD">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相关文件、票据等证明材料</w:t>
            </w:r>
          </w:p>
        </w:tc>
        <w:tc>
          <w:tcPr>
            <w:tcW w:w="514" w:type="dxa"/>
            <w:noWrap w:val="0"/>
            <w:tcMar>
              <w:top w:w="12" w:type="dxa"/>
              <w:left w:w="12" w:type="dxa"/>
              <w:right w:w="12" w:type="dxa"/>
            </w:tcMar>
            <w:vAlign w:val="center"/>
          </w:tcPr>
          <w:p w14:paraId="55EF8FCF">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约束性</w:t>
            </w:r>
          </w:p>
        </w:tc>
        <w:tc>
          <w:tcPr>
            <w:tcW w:w="596" w:type="dxa"/>
            <w:noWrap w:val="0"/>
            <w:vAlign w:val="center"/>
          </w:tcPr>
          <w:p w14:paraId="0FB51962">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5A52311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19F58410">
      <w:pPr>
        <w:keepNext w:val="0"/>
        <w:keepLines w:val="0"/>
        <w:pageBreakBefore w:val="0"/>
        <w:kinsoku/>
        <w:wordWrap/>
        <w:overflowPunct/>
        <w:topLinePunct w:val="0"/>
        <w:autoSpaceDE/>
        <w:autoSpaceDN/>
        <w:bidi w:val="0"/>
        <w:spacing w:line="240" w:lineRule="exact"/>
        <w:rPr>
          <w:rFonts w:ascii="宋体" w:hAnsi="宋体"/>
        </w:rPr>
      </w:pPr>
    </w:p>
    <w:p w14:paraId="738163B2">
      <w:pPr>
        <w:pStyle w:val="2"/>
        <w:keepNext w:val="0"/>
        <w:keepLines w:val="0"/>
        <w:pageBreakBefore w:val="0"/>
        <w:kinsoku/>
        <w:wordWrap/>
        <w:overflowPunct/>
        <w:topLinePunct w:val="0"/>
        <w:autoSpaceDE/>
        <w:autoSpaceDN/>
        <w:bidi w:val="0"/>
        <w:spacing w:line="240" w:lineRule="exact"/>
        <w:rPr>
          <w:rFonts w:ascii="宋体" w:hAnsi="宋体"/>
        </w:rPr>
      </w:pPr>
    </w:p>
    <w:p w14:paraId="22DEC5C0">
      <w:pPr>
        <w:keepNext w:val="0"/>
        <w:keepLines w:val="0"/>
        <w:pageBreakBefore w:val="0"/>
        <w:kinsoku/>
        <w:wordWrap/>
        <w:overflowPunct/>
        <w:topLinePunct w:val="0"/>
        <w:autoSpaceDE/>
        <w:autoSpaceDN/>
        <w:bidi w:val="0"/>
        <w:spacing w:line="240" w:lineRule="exact"/>
        <w:rPr>
          <w:rFonts w:ascii="宋体" w:hAnsi="宋体"/>
        </w:rPr>
      </w:pPr>
    </w:p>
    <w:p w14:paraId="3077ADEA">
      <w:pPr>
        <w:pStyle w:val="2"/>
        <w:keepNext w:val="0"/>
        <w:keepLines w:val="0"/>
        <w:pageBreakBefore w:val="0"/>
        <w:kinsoku/>
        <w:wordWrap/>
        <w:overflowPunct/>
        <w:topLinePunct w:val="0"/>
        <w:autoSpaceDE/>
        <w:autoSpaceDN/>
        <w:bidi w:val="0"/>
        <w:spacing w:line="240" w:lineRule="exact"/>
        <w:rPr>
          <w:rFonts w:ascii="宋体" w:hAnsi="宋体"/>
        </w:rPr>
      </w:pPr>
    </w:p>
    <w:p w14:paraId="0328F861">
      <w:pPr>
        <w:keepNext w:val="0"/>
        <w:keepLines w:val="0"/>
        <w:pageBreakBefore w:val="0"/>
        <w:kinsoku/>
        <w:wordWrap/>
        <w:overflowPunct/>
        <w:topLinePunct w:val="0"/>
        <w:autoSpaceDE/>
        <w:autoSpaceDN/>
        <w:bidi w:val="0"/>
        <w:spacing w:line="240" w:lineRule="exact"/>
        <w:rPr>
          <w:rFonts w:ascii="宋体" w:hAnsi="宋体"/>
        </w:rPr>
      </w:pPr>
    </w:p>
    <w:p w14:paraId="55BA5379">
      <w:pPr>
        <w:pStyle w:val="2"/>
        <w:keepNext w:val="0"/>
        <w:keepLines w:val="0"/>
        <w:pageBreakBefore w:val="0"/>
        <w:kinsoku/>
        <w:wordWrap/>
        <w:overflowPunct/>
        <w:topLinePunct w:val="0"/>
        <w:autoSpaceDE/>
        <w:autoSpaceDN/>
        <w:bidi w:val="0"/>
        <w:spacing w:line="240" w:lineRule="exact"/>
        <w:rPr>
          <w:rFonts w:ascii="宋体" w:hAnsi="宋体"/>
        </w:rPr>
      </w:pPr>
    </w:p>
    <w:p w14:paraId="4B4EC128">
      <w:pPr>
        <w:keepNext w:val="0"/>
        <w:keepLines w:val="0"/>
        <w:pageBreakBefore w:val="0"/>
        <w:kinsoku/>
        <w:wordWrap/>
        <w:overflowPunct/>
        <w:topLinePunct w:val="0"/>
        <w:autoSpaceDE/>
        <w:autoSpaceDN/>
        <w:bidi w:val="0"/>
        <w:spacing w:line="240" w:lineRule="exact"/>
        <w:rPr>
          <w:rFonts w:ascii="宋体" w:hAnsi="宋体"/>
        </w:rPr>
      </w:pPr>
    </w:p>
    <w:p w14:paraId="6758EA4B">
      <w:pPr>
        <w:pStyle w:val="2"/>
        <w:keepNext w:val="0"/>
        <w:keepLines w:val="0"/>
        <w:pageBreakBefore w:val="0"/>
        <w:kinsoku/>
        <w:wordWrap/>
        <w:overflowPunct/>
        <w:topLinePunct w:val="0"/>
        <w:autoSpaceDE/>
        <w:autoSpaceDN/>
        <w:bidi w:val="0"/>
        <w:spacing w:line="240" w:lineRule="exact"/>
        <w:rPr>
          <w:rFonts w:ascii="宋体" w:hAnsi="宋体"/>
        </w:rPr>
      </w:pPr>
    </w:p>
    <w:p w14:paraId="22F99FB4">
      <w:pPr>
        <w:keepNext w:val="0"/>
        <w:keepLines w:val="0"/>
        <w:pageBreakBefore w:val="0"/>
        <w:kinsoku/>
        <w:wordWrap/>
        <w:overflowPunct/>
        <w:topLinePunct w:val="0"/>
        <w:autoSpaceDE/>
        <w:autoSpaceDN/>
        <w:bidi w:val="0"/>
        <w:spacing w:line="240" w:lineRule="exact"/>
        <w:rPr>
          <w:rFonts w:ascii="宋体" w:hAnsi="宋体"/>
        </w:rPr>
      </w:pPr>
    </w:p>
    <w:p w14:paraId="6B15F2CB">
      <w:pPr>
        <w:pStyle w:val="2"/>
        <w:keepNext w:val="0"/>
        <w:keepLines w:val="0"/>
        <w:pageBreakBefore w:val="0"/>
        <w:kinsoku/>
        <w:wordWrap/>
        <w:overflowPunct/>
        <w:topLinePunct w:val="0"/>
        <w:autoSpaceDE/>
        <w:autoSpaceDN/>
        <w:bidi w:val="0"/>
        <w:spacing w:line="240" w:lineRule="exact"/>
        <w:rPr>
          <w:rFonts w:ascii="宋体" w:hAnsi="宋体"/>
        </w:rPr>
      </w:pPr>
    </w:p>
    <w:p w14:paraId="3943C088">
      <w:pPr>
        <w:keepNext w:val="0"/>
        <w:keepLines w:val="0"/>
        <w:pageBreakBefore w:val="0"/>
        <w:kinsoku/>
        <w:wordWrap/>
        <w:overflowPunct/>
        <w:topLinePunct w:val="0"/>
        <w:autoSpaceDE/>
        <w:autoSpaceDN/>
        <w:bidi w:val="0"/>
        <w:spacing w:line="240" w:lineRule="exact"/>
        <w:rPr>
          <w:rFonts w:ascii="宋体" w:hAnsi="宋体"/>
        </w:rPr>
      </w:pPr>
    </w:p>
    <w:p w14:paraId="58FEA8AE">
      <w:pPr>
        <w:pStyle w:val="2"/>
        <w:keepNext w:val="0"/>
        <w:keepLines w:val="0"/>
        <w:pageBreakBefore w:val="0"/>
        <w:kinsoku/>
        <w:wordWrap/>
        <w:overflowPunct/>
        <w:topLinePunct w:val="0"/>
        <w:autoSpaceDE/>
        <w:autoSpaceDN/>
        <w:bidi w:val="0"/>
        <w:spacing w:line="240" w:lineRule="exact"/>
        <w:rPr>
          <w:rFonts w:ascii="宋体" w:hAnsi="宋体"/>
        </w:rPr>
      </w:pPr>
    </w:p>
    <w:p w14:paraId="4F25BBEA">
      <w:pPr>
        <w:keepNext w:val="0"/>
        <w:keepLines w:val="0"/>
        <w:pageBreakBefore w:val="0"/>
        <w:kinsoku/>
        <w:wordWrap/>
        <w:overflowPunct/>
        <w:topLinePunct w:val="0"/>
        <w:autoSpaceDE/>
        <w:autoSpaceDN/>
        <w:bidi w:val="0"/>
        <w:spacing w:line="240" w:lineRule="exact"/>
        <w:rPr>
          <w:rFonts w:ascii="宋体" w:hAnsi="宋体"/>
        </w:rPr>
      </w:pPr>
    </w:p>
    <w:p w14:paraId="2282E835">
      <w:pPr>
        <w:pStyle w:val="2"/>
        <w:keepNext w:val="0"/>
        <w:keepLines w:val="0"/>
        <w:pageBreakBefore w:val="0"/>
        <w:kinsoku/>
        <w:wordWrap/>
        <w:overflowPunct/>
        <w:topLinePunct w:val="0"/>
        <w:autoSpaceDE/>
        <w:autoSpaceDN/>
        <w:bidi w:val="0"/>
        <w:spacing w:line="240" w:lineRule="exact"/>
        <w:rPr>
          <w:rFonts w:ascii="宋体" w:hAnsi="宋体"/>
        </w:r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06"/>
        <w:gridCol w:w="5670"/>
        <w:gridCol w:w="992"/>
        <w:gridCol w:w="2268"/>
        <w:gridCol w:w="514"/>
        <w:gridCol w:w="596"/>
        <w:gridCol w:w="596"/>
      </w:tblGrid>
      <w:tr w14:paraId="4FD8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jc w:val="center"/>
        </w:trPr>
        <w:tc>
          <w:tcPr>
            <w:tcW w:w="4106" w:type="dxa"/>
            <w:vMerge w:val="restart"/>
            <w:noWrap w:val="0"/>
            <w:tcMar>
              <w:top w:w="12" w:type="dxa"/>
              <w:left w:w="12" w:type="dxa"/>
              <w:right w:w="12" w:type="dxa"/>
            </w:tcMar>
            <w:vAlign w:val="center"/>
          </w:tcPr>
          <w:p w14:paraId="75ECD756">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color w:val="000000"/>
                <w:kern w:val="0"/>
                <w:sz w:val="21"/>
                <w:szCs w:val="21"/>
                <w:lang w:bidi="ar"/>
              </w:rPr>
            </w:pPr>
            <w:bookmarkStart w:id="6" w:name="OLE_LINK10"/>
            <w:r>
              <w:rPr>
                <w:rFonts w:ascii="宋体" w:hAnsi="宋体" w:cs="Times New Roman"/>
                <w:b/>
                <w:bCs/>
                <w:color w:val="000000"/>
              </w:rPr>
              <w:t>附加得分项</w:t>
            </w:r>
            <w:bookmarkEnd w:id="6"/>
          </w:p>
        </w:tc>
        <w:tc>
          <w:tcPr>
            <w:tcW w:w="5670" w:type="dxa"/>
            <w:noWrap w:val="0"/>
            <w:tcMar>
              <w:top w:w="12" w:type="dxa"/>
              <w:left w:w="12" w:type="dxa"/>
              <w:right w:w="12" w:type="dxa"/>
            </w:tcMar>
            <w:vAlign w:val="center"/>
          </w:tcPr>
          <w:p w14:paraId="797B96D4">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1.采用充填法、保水开采等技术进行采矿的，得1分。</w:t>
            </w:r>
          </w:p>
        </w:tc>
        <w:tc>
          <w:tcPr>
            <w:tcW w:w="992" w:type="dxa"/>
            <w:noWrap w:val="0"/>
            <w:tcMar>
              <w:top w:w="12" w:type="dxa"/>
              <w:left w:w="12" w:type="dxa"/>
              <w:right w:w="12" w:type="dxa"/>
            </w:tcMar>
            <w:vAlign w:val="center"/>
          </w:tcPr>
          <w:p w14:paraId="3007176A">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查资料、现场</w:t>
            </w:r>
          </w:p>
        </w:tc>
        <w:tc>
          <w:tcPr>
            <w:tcW w:w="2268" w:type="dxa"/>
            <w:noWrap w:val="0"/>
            <w:tcMar>
              <w:top w:w="12" w:type="dxa"/>
              <w:left w:w="12" w:type="dxa"/>
              <w:right w:w="12" w:type="dxa"/>
            </w:tcMar>
            <w:vAlign w:val="center"/>
          </w:tcPr>
          <w:p w14:paraId="6A52108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工艺技术装备资料</w:t>
            </w:r>
          </w:p>
        </w:tc>
        <w:tc>
          <w:tcPr>
            <w:tcW w:w="514" w:type="dxa"/>
            <w:vMerge w:val="restart"/>
            <w:noWrap w:val="0"/>
            <w:tcMar>
              <w:top w:w="12" w:type="dxa"/>
              <w:left w:w="12" w:type="dxa"/>
              <w:right w:w="12" w:type="dxa"/>
            </w:tcMar>
            <w:vAlign w:val="center"/>
          </w:tcPr>
          <w:p w14:paraId="056DE713">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奖励性</w:t>
            </w:r>
          </w:p>
          <w:p w14:paraId="7E879720">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r>
              <w:rPr>
                <w:rFonts w:ascii="宋体" w:hAnsi="宋体" w:cs="Times New Roman"/>
                <w:color w:val="000000"/>
                <w:kern w:val="0"/>
                <w:sz w:val="21"/>
                <w:szCs w:val="21"/>
              </w:rPr>
              <w:t>（总分不超过10分）</w:t>
            </w:r>
          </w:p>
        </w:tc>
        <w:tc>
          <w:tcPr>
            <w:tcW w:w="596" w:type="dxa"/>
            <w:noWrap w:val="0"/>
            <w:vAlign w:val="center"/>
          </w:tcPr>
          <w:p w14:paraId="4FC6B320">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6613B6F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6FF4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atLeast"/>
          <w:jc w:val="center"/>
        </w:trPr>
        <w:tc>
          <w:tcPr>
            <w:tcW w:w="4106" w:type="dxa"/>
            <w:vMerge w:val="continue"/>
            <w:noWrap w:val="0"/>
            <w:tcMar>
              <w:top w:w="12" w:type="dxa"/>
              <w:left w:w="12" w:type="dxa"/>
              <w:right w:w="12" w:type="dxa"/>
            </w:tcMar>
            <w:vAlign w:val="center"/>
          </w:tcPr>
          <w:p w14:paraId="49791141">
            <w:pPr>
              <w:keepNext w:val="0"/>
              <w:keepLines w:val="0"/>
              <w:pageBreakBefore w:val="0"/>
              <w:widowControl w:val="0"/>
              <w:kinsoku/>
              <w:wordWrap/>
              <w:overflowPunct/>
              <w:topLinePunct w:val="0"/>
              <w:autoSpaceDE/>
              <w:autoSpaceDN/>
              <w:bidi w:val="0"/>
              <w:spacing w:line="240" w:lineRule="exact"/>
              <w:ind w:firstLine="643"/>
              <w:jc w:val="center"/>
              <w:textAlignment w:val="center"/>
              <w:rPr>
                <w:rFonts w:ascii="宋体" w:hAnsi="宋体" w:cs="Times New Roman"/>
                <w:b/>
                <w:bCs/>
                <w:color w:val="000000"/>
              </w:rPr>
            </w:pPr>
          </w:p>
        </w:tc>
        <w:tc>
          <w:tcPr>
            <w:tcW w:w="5670" w:type="dxa"/>
            <w:noWrap w:val="0"/>
            <w:tcMar>
              <w:top w:w="12" w:type="dxa"/>
              <w:left w:w="12" w:type="dxa"/>
              <w:right w:w="12" w:type="dxa"/>
            </w:tcMar>
            <w:vAlign w:val="center"/>
          </w:tcPr>
          <w:p w14:paraId="5F04E3E9">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2.“三率”指标一项达到矿产资源合理开发利用“三率”指标一般指标值得0.5分；达到领跑者指标值及以上得1分。</w:t>
            </w:r>
          </w:p>
        </w:tc>
        <w:tc>
          <w:tcPr>
            <w:tcW w:w="992" w:type="dxa"/>
            <w:noWrap w:val="0"/>
            <w:tcMar>
              <w:top w:w="12" w:type="dxa"/>
              <w:left w:w="12" w:type="dxa"/>
              <w:right w:w="12" w:type="dxa"/>
            </w:tcMar>
            <w:vAlign w:val="center"/>
          </w:tcPr>
          <w:p w14:paraId="069C0427">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查资料、现场</w:t>
            </w:r>
          </w:p>
        </w:tc>
        <w:tc>
          <w:tcPr>
            <w:tcW w:w="2268" w:type="dxa"/>
            <w:noWrap w:val="0"/>
            <w:tcMar>
              <w:top w:w="12" w:type="dxa"/>
              <w:left w:w="12" w:type="dxa"/>
              <w:right w:w="12" w:type="dxa"/>
            </w:tcMar>
            <w:vAlign w:val="center"/>
          </w:tcPr>
          <w:p w14:paraId="197A7157">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ascii="宋体" w:hAnsi="宋体" w:cs="Times New Roman"/>
                <w:color w:val="000000"/>
                <w:kern w:val="0"/>
                <w:sz w:val="21"/>
                <w:szCs w:val="21"/>
              </w:rPr>
              <w:t>自然资源部发布的“三率”指标要求（矿产资源“三率”指标要求 DZ/T 0462）</w:t>
            </w:r>
          </w:p>
        </w:tc>
        <w:tc>
          <w:tcPr>
            <w:tcW w:w="514" w:type="dxa"/>
            <w:vMerge w:val="continue"/>
            <w:noWrap w:val="0"/>
            <w:tcMar>
              <w:top w:w="12" w:type="dxa"/>
              <w:left w:w="12" w:type="dxa"/>
              <w:right w:w="12" w:type="dxa"/>
            </w:tcMar>
            <w:vAlign w:val="center"/>
          </w:tcPr>
          <w:p w14:paraId="1B17F79D">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330DD84F">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377A68C9">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bl>
    <w:p w14:paraId="4BF70029">
      <w:pPr>
        <w:keepNext w:val="0"/>
        <w:keepLines w:val="0"/>
        <w:pageBreakBefore w:val="0"/>
        <w:widowControl w:val="0"/>
        <w:kinsoku/>
        <w:wordWrap/>
        <w:overflowPunct/>
        <w:topLinePunct w:val="0"/>
        <w:autoSpaceDE/>
        <w:autoSpaceDN/>
        <w:bidi w:val="0"/>
        <w:spacing w:line="240" w:lineRule="exact"/>
        <w:ind w:firstLine="643"/>
        <w:jc w:val="center"/>
        <w:textAlignment w:val="center"/>
        <w:rPr>
          <w:rFonts w:ascii="宋体" w:hAnsi="宋体" w:cs="Times New Roman"/>
          <w:b/>
          <w:bCs/>
          <w:color w:val="000000"/>
        </w:rPr>
        <w:sectPr>
          <w:footerReference r:id="rId13" w:type="default"/>
          <w:pgSz w:w="16838" w:h="11906" w:orient="landscape"/>
          <w:pgMar w:top="567" w:right="720" w:bottom="567" w:left="720" w:header="284" w:footer="283" w:gutter="0"/>
          <w:pgNumType w:fmt="decimal"/>
          <w:cols w:space="720" w:num="1"/>
          <w:docGrid w:type="lines" w:linePitch="435" w:charSpace="0"/>
        </w:sectPr>
      </w:pPr>
    </w:p>
    <w:tbl>
      <w:tblPr>
        <w:tblStyle w:val="5"/>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06"/>
        <w:gridCol w:w="5670"/>
        <w:gridCol w:w="992"/>
        <w:gridCol w:w="2268"/>
        <w:gridCol w:w="514"/>
        <w:gridCol w:w="596"/>
        <w:gridCol w:w="596"/>
      </w:tblGrid>
      <w:tr w14:paraId="6B0A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6" w:hRule="atLeast"/>
          <w:jc w:val="center"/>
        </w:trPr>
        <w:tc>
          <w:tcPr>
            <w:tcW w:w="4106" w:type="dxa"/>
            <w:vMerge w:val="restart"/>
            <w:noWrap w:val="0"/>
            <w:tcMar>
              <w:top w:w="12" w:type="dxa"/>
              <w:left w:w="12" w:type="dxa"/>
              <w:right w:w="12" w:type="dxa"/>
            </w:tcMar>
            <w:vAlign w:val="center"/>
          </w:tcPr>
          <w:p w14:paraId="364615D7">
            <w:pPr>
              <w:pStyle w:val="2"/>
              <w:keepNext w:val="0"/>
              <w:keepLines w:val="0"/>
              <w:pageBreakBefore w:val="0"/>
              <w:kinsoku/>
              <w:wordWrap/>
              <w:overflowPunct/>
              <w:topLinePunct w:val="0"/>
              <w:autoSpaceDE/>
              <w:autoSpaceDN/>
              <w:bidi w:val="0"/>
              <w:spacing w:line="240" w:lineRule="exact"/>
            </w:pPr>
          </w:p>
        </w:tc>
        <w:tc>
          <w:tcPr>
            <w:tcW w:w="5670" w:type="dxa"/>
            <w:noWrap w:val="0"/>
            <w:tcMar>
              <w:top w:w="12" w:type="dxa"/>
              <w:left w:w="12" w:type="dxa"/>
              <w:right w:w="12" w:type="dxa"/>
            </w:tcMar>
            <w:vAlign w:val="center"/>
          </w:tcPr>
          <w:p w14:paraId="6835693A">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3. 矿山企业研究项目或成果获得国家级奖励得3分，省部级奖励得2分，国家奖励办《社会科技奖励目录》中促进绿色矿山建设的得1分；企业获得国家级绿色工厂得3分，省级绿色工厂得2分；近三年内相关成果、业绩被省级及以上通报表扬或列入典</w:t>
            </w:r>
            <w:r>
              <w:rPr>
                <w:rFonts w:ascii="宋体" w:hAnsi="宋体" w:cs="Times New Roman"/>
                <w:color w:val="000000"/>
                <w:kern w:val="0"/>
                <w:sz w:val="21"/>
                <w:szCs w:val="21"/>
                <w:highlight w:val="none"/>
                <w:lang w:bidi="ar"/>
              </w:rPr>
              <w:t>型案例进行宣传报道的，1项得1分（各类奖项荣誉应体现</w:t>
            </w:r>
            <w:r>
              <w:rPr>
                <w:rFonts w:hint="eastAsia" w:ascii="宋体" w:hAnsi="宋体" w:cs="Times New Roman"/>
                <w:color w:val="000000"/>
                <w:kern w:val="0"/>
                <w:sz w:val="21"/>
                <w:szCs w:val="21"/>
                <w:highlight w:val="none"/>
                <w:lang w:bidi="ar"/>
              </w:rPr>
              <w:t>矿业权人</w:t>
            </w:r>
            <w:r>
              <w:rPr>
                <w:rFonts w:ascii="宋体" w:hAnsi="宋体" w:cs="Times New Roman"/>
                <w:color w:val="000000"/>
                <w:kern w:val="0"/>
                <w:sz w:val="21"/>
                <w:szCs w:val="21"/>
                <w:highlight w:val="none"/>
                <w:lang w:bidi="ar"/>
              </w:rPr>
              <w:t>名称）</w:t>
            </w:r>
            <w:r>
              <w:rPr>
                <w:rFonts w:hint="eastAsia" w:ascii="宋体" w:hAnsi="宋体" w:cs="Times New Roman"/>
                <w:color w:val="000000"/>
                <w:kern w:val="0"/>
                <w:sz w:val="21"/>
                <w:szCs w:val="21"/>
                <w:highlight w:val="none"/>
                <w:lang w:bidi="ar"/>
              </w:rPr>
              <w:t>；使用最新版《矿产资源节约和综合利用先进适用技术目录》和</w:t>
            </w:r>
            <w:r>
              <w:rPr>
                <w:rFonts w:hint="eastAsia" w:ascii="宋体" w:hAnsi="宋体" w:cs="Times New Roman"/>
                <w:color w:val="000000"/>
                <w:kern w:val="0"/>
                <w:sz w:val="21"/>
                <w:szCs w:val="21"/>
                <w:lang w:bidi="ar"/>
              </w:rPr>
              <w:t>“国家先进适用技术目录”中的技术，1项得1分。</w:t>
            </w:r>
          </w:p>
        </w:tc>
        <w:tc>
          <w:tcPr>
            <w:tcW w:w="992" w:type="dxa"/>
            <w:noWrap w:val="0"/>
            <w:tcMar>
              <w:top w:w="12" w:type="dxa"/>
              <w:left w:w="12" w:type="dxa"/>
              <w:right w:w="12" w:type="dxa"/>
            </w:tcMar>
            <w:vAlign w:val="center"/>
          </w:tcPr>
          <w:p w14:paraId="418914C5">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查资料、现场</w:t>
            </w:r>
          </w:p>
        </w:tc>
        <w:tc>
          <w:tcPr>
            <w:tcW w:w="2268" w:type="dxa"/>
            <w:noWrap w:val="0"/>
            <w:tcMar>
              <w:top w:w="12" w:type="dxa"/>
              <w:left w:w="12" w:type="dxa"/>
              <w:right w:w="12" w:type="dxa"/>
            </w:tcMar>
            <w:vAlign w:val="center"/>
          </w:tcPr>
          <w:p w14:paraId="14325B96">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hint="eastAsia" w:ascii="宋体" w:hAnsi="宋体" w:cs="Times New Roman"/>
                <w:color w:val="000000"/>
                <w:kern w:val="0"/>
                <w:sz w:val="21"/>
                <w:szCs w:val="21"/>
              </w:rPr>
              <w:t>主管部门公告文件，项目立项文件及项目台账</w:t>
            </w:r>
          </w:p>
        </w:tc>
        <w:tc>
          <w:tcPr>
            <w:tcW w:w="514" w:type="dxa"/>
            <w:vMerge w:val="restart"/>
            <w:noWrap w:val="0"/>
            <w:tcMar>
              <w:top w:w="12" w:type="dxa"/>
              <w:left w:w="12" w:type="dxa"/>
              <w:right w:w="12" w:type="dxa"/>
            </w:tcMar>
            <w:vAlign w:val="center"/>
          </w:tcPr>
          <w:p w14:paraId="1011D81D">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47EB54D7">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2BD28B6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25AD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jc w:val="center"/>
        </w:trPr>
        <w:tc>
          <w:tcPr>
            <w:tcW w:w="4106" w:type="dxa"/>
            <w:vMerge w:val="continue"/>
            <w:noWrap w:val="0"/>
            <w:tcMar>
              <w:top w:w="12" w:type="dxa"/>
              <w:left w:w="12" w:type="dxa"/>
              <w:right w:w="12" w:type="dxa"/>
            </w:tcMar>
            <w:vAlign w:val="center"/>
          </w:tcPr>
          <w:p w14:paraId="4F93EFB5">
            <w:pPr>
              <w:keepNext w:val="0"/>
              <w:keepLines w:val="0"/>
              <w:pageBreakBefore w:val="0"/>
              <w:widowControl w:val="0"/>
              <w:kinsoku/>
              <w:wordWrap/>
              <w:overflowPunct/>
              <w:topLinePunct w:val="0"/>
              <w:autoSpaceDE/>
              <w:autoSpaceDN/>
              <w:bidi w:val="0"/>
              <w:spacing w:line="240" w:lineRule="exact"/>
              <w:ind w:firstLine="643"/>
              <w:jc w:val="center"/>
              <w:textAlignment w:val="center"/>
              <w:rPr>
                <w:rFonts w:ascii="宋体" w:hAnsi="宋体" w:cs="Times New Roman"/>
                <w:b/>
                <w:bCs/>
                <w:color w:val="000000"/>
              </w:rPr>
            </w:pPr>
          </w:p>
        </w:tc>
        <w:tc>
          <w:tcPr>
            <w:tcW w:w="5670" w:type="dxa"/>
            <w:noWrap w:val="0"/>
            <w:tcMar>
              <w:top w:w="12" w:type="dxa"/>
              <w:left w:w="12" w:type="dxa"/>
              <w:right w:w="12" w:type="dxa"/>
            </w:tcMar>
            <w:vAlign w:val="center"/>
          </w:tcPr>
          <w:p w14:paraId="55BB2A17">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lang w:bidi="ar"/>
              </w:rPr>
            </w:pPr>
            <w:r>
              <w:rPr>
                <w:rFonts w:ascii="宋体" w:hAnsi="宋体" w:cs="Times New Roman"/>
                <w:color w:val="000000"/>
                <w:kern w:val="0"/>
                <w:sz w:val="21"/>
                <w:szCs w:val="21"/>
                <w:lang w:bidi="ar"/>
              </w:rPr>
              <w:t>4.安全生产标准化管理体系达到一级标准的，得3分；达到二级标准的，得1分。</w:t>
            </w:r>
          </w:p>
        </w:tc>
        <w:tc>
          <w:tcPr>
            <w:tcW w:w="992" w:type="dxa"/>
            <w:noWrap w:val="0"/>
            <w:tcMar>
              <w:top w:w="12" w:type="dxa"/>
              <w:left w:w="12" w:type="dxa"/>
              <w:right w:w="12" w:type="dxa"/>
            </w:tcMar>
            <w:vAlign w:val="center"/>
          </w:tcPr>
          <w:p w14:paraId="2BD461A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lang w:bidi="ar"/>
              </w:rPr>
            </w:pPr>
            <w:r>
              <w:rPr>
                <w:rFonts w:hint="eastAsia" w:ascii="宋体" w:hAnsi="宋体" w:cs="Times New Roman"/>
                <w:color w:val="000000"/>
                <w:kern w:val="0"/>
                <w:sz w:val="21"/>
                <w:szCs w:val="21"/>
                <w:lang w:bidi="ar"/>
              </w:rPr>
              <w:t>看证书</w:t>
            </w:r>
          </w:p>
        </w:tc>
        <w:tc>
          <w:tcPr>
            <w:tcW w:w="2268" w:type="dxa"/>
            <w:noWrap w:val="0"/>
            <w:tcMar>
              <w:top w:w="12" w:type="dxa"/>
              <w:left w:w="12" w:type="dxa"/>
              <w:right w:w="12" w:type="dxa"/>
            </w:tcMar>
            <w:vAlign w:val="center"/>
          </w:tcPr>
          <w:p w14:paraId="6A438FFC">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rPr>
            </w:pPr>
            <w:r>
              <w:rPr>
                <w:rFonts w:hint="eastAsia" w:ascii="宋体" w:hAnsi="宋体" w:cs="Times New Roman"/>
                <w:color w:val="000000"/>
                <w:kern w:val="0"/>
                <w:sz w:val="21"/>
                <w:szCs w:val="21"/>
              </w:rPr>
              <w:t>证书或其他证明材料</w:t>
            </w:r>
          </w:p>
        </w:tc>
        <w:tc>
          <w:tcPr>
            <w:tcW w:w="514" w:type="dxa"/>
            <w:vMerge w:val="continue"/>
            <w:noWrap w:val="0"/>
            <w:tcMar>
              <w:top w:w="12" w:type="dxa"/>
              <w:left w:w="12" w:type="dxa"/>
              <w:right w:w="12" w:type="dxa"/>
            </w:tcMar>
            <w:vAlign w:val="center"/>
          </w:tcPr>
          <w:p w14:paraId="2A95A513">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rPr>
            </w:pPr>
          </w:p>
        </w:tc>
        <w:tc>
          <w:tcPr>
            <w:tcW w:w="596" w:type="dxa"/>
            <w:noWrap w:val="0"/>
            <w:vAlign w:val="center"/>
          </w:tcPr>
          <w:p w14:paraId="7DAA6414">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rPr>
            </w:pPr>
          </w:p>
        </w:tc>
        <w:tc>
          <w:tcPr>
            <w:tcW w:w="596" w:type="dxa"/>
            <w:noWrap w:val="0"/>
            <w:vAlign w:val="center"/>
          </w:tcPr>
          <w:p w14:paraId="000A24D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rPr>
            </w:pPr>
          </w:p>
        </w:tc>
      </w:tr>
      <w:tr w14:paraId="7FC2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0" w:hRule="atLeast"/>
          <w:jc w:val="center"/>
        </w:trPr>
        <w:tc>
          <w:tcPr>
            <w:tcW w:w="4106" w:type="dxa"/>
            <w:vMerge w:val="continue"/>
            <w:noWrap w:val="0"/>
            <w:tcMar>
              <w:top w:w="12" w:type="dxa"/>
              <w:left w:w="12" w:type="dxa"/>
              <w:right w:w="12" w:type="dxa"/>
            </w:tcMar>
            <w:vAlign w:val="center"/>
          </w:tcPr>
          <w:p w14:paraId="317FBCC5">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b/>
                <w:bCs/>
                <w:color w:val="000000"/>
                <w:highlight w:val="yellow"/>
              </w:rPr>
            </w:pPr>
          </w:p>
        </w:tc>
        <w:tc>
          <w:tcPr>
            <w:tcW w:w="5670" w:type="dxa"/>
            <w:noWrap w:val="0"/>
            <w:tcMar>
              <w:top w:w="12" w:type="dxa"/>
              <w:left w:w="12" w:type="dxa"/>
              <w:right w:w="12" w:type="dxa"/>
            </w:tcMar>
            <w:vAlign w:val="center"/>
          </w:tcPr>
          <w:p w14:paraId="6F79E3A3">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highlight w:val="none"/>
                <w:lang w:bidi="ar"/>
              </w:rPr>
            </w:pPr>
            <w:r>
              <w:rPr>
                <w:rFonts w:ascii="宋体" w:hAnsi="宋体" w:cs="Times New Roman"/>
                <w:color w:val="000000"/>
                <w:kern w:val="0"/>
                <w:sz w:val="21"/>
                <w:szCs w:val="21"/>
                <w:highlight w:val="none"/>
                <w:lang w:bidi="ar"/>
              </w:rPr>
              <w:t>5.建立“三率”动态监测系统，监测数据应按照规定格式实现自动采集和传输，监测数据与结果接入自然资源主管部门绿色矿山监督监管体系，每实现“三率”指标一项得2分</w:t>
            </w:r>
            <w:r>
              <w:rPr>
                <w:rFonts w:hint="eastAsia" w:ascii="宋体" w:hAnsi="宋体" w:cs="Times New Roman"/>
                <w:color w:val="000000"/>
                <w:kern w:val="0"/>
                <w:sz w:val="21"/>
                <w:szCs w:val="21"/>
                <w:highlight w:val="none"/>
                <w:lang w:bidi="ar"/>
              </w:rPr>
              <w:t>。</w:t>
            </w:r>
          </w:p>
        </w:tc>
        <w:tc>
          <w:tcPr>
            <w:tcW w:w="992" w:type="dxa"/>
            <w:vMerge w:val="restart"/>
            <w:noWrap w:val="0"/>
            <w:tcMar>
              <w:top w:w="12" w:type="dxa"/>
              <w:left w:w="12" w:type="dxa"/>
              <w:right w:w="12" w:type="dxa"/>
            </w:tcMar>
            <w:vAlign w:val="center"/>
          </w:tcPr>
          <w:p w14:paraId="3D36B913">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highlight w:val="none"/>
                <w:lang w:bidi="ar"/>
              </w:rPr>
            </w:pPr>
            <w:r>
              <w:rPr>
                <w:rFonts w:ascii="宋体" w:hAnsi="宋体" w:cs="Times New Roman"/>
                <w:color w:val="000000"/>
                <w:kern w:val="0"/>
                <w:sz w:val="21"/>
                <w:szCs w:val="21"/>
                <w:highlight w:val="none"/>
                <w:lang w:bidi="ar"/>
              </w:rPr>
              <w:t>查现场、查系统、数据连通</w:t>
            </w:r>
          </w:p>
        </w:tc>
        <w:tc>
          <w:tcPr>
            <w:tcW w:w="2268" w:type="dxa"/>
            <w:vMerge w:val="restart"/>
            <w:noWrap w:val="0"/>
            <w:tcMar>
              <w:top w:w="12" w:type="dxa"/>
              <w:left w:w="12" w:type="dxa"/>
              <w:right w:w="12" w:type="dxa"/>
            </w:tcMar>
            <w:vAlign w:val="center"/>
          </w:tcPr>
          <w:p w14:paraId="7EAC6824">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highlight w:val="none"/>
              </w:rPr>
            </w:pPr>
            <w:r>
              <w:rPr>
                <w:rFonts w:ascii="宋体" w:hAnsi="宋体" w:cs="Times New Roman"/>
                <w:color w:val="000000"/>
                <w:kern w:val="0"/>
                <w:sz w:val="21"/>
                <w:szCs w:val="21"/>
                <w:highlight w:val="none"/>
              </w:rPr>
              <w:t>国家矿山安全监察局《智能化矿山数据融合共享规范》、《智能矿山建设规范》（DZ/T 0376-2021）相关文件等证明材料、数据连通测试</w:t>
            </w:r>
          </w:p>
        </w:tc>
        <w:tc>
          <w:tcPr>
            <w:tcW w:w="514" w:type="dxa"/>
            <w:vMerge w:val="restart"/>
            <w:noWrap w:val="0"/>
            <w:tcMar>
              <w:top w:w="12" w:type="dxa"/>
              <w:left w:w="12" w:type="dxa"/>
              <w:right w:w="12" w:type="dxa"/>
            </w:tcMar>
            <w:vAlign w:val="center"/>
          </w:tcPr>
          <w:p w14:paraId="15DF3712">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highlight w:val="none"/>
              </w:rPr>
            </w:pPr>
            <w:r>
              <w:rPr>
                <w:rFonts w:ascii="宋体" w:hAnsi="宋体" w:cs="Times New Roman"/>
                <w:color w:val="000000"/>
                <w:kern w:val="0"/>
                <w:sz w:val="21"/>
                <w:szCs w:val="21"/>
                <w:highlight w:val="none"/>
              </w:rPr>
              <w:t>奖励性（总分不超过10分）</w:t>
            </w:r>
          </w:p>
        </w:tc>
        <w:tc>
          <w:tcPr>
            <w:tcW w:w="596" w:type="dxa"/>
            <w:vMerge w:val="restart"/>
            <w:noWrap w:val="0"/>
            <w:vAlign w:val="center"/>
          </w:tcPr>
          <w:p w14:paraId="0FEF9DC4">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highlight w:val="none"/>
              </w:rPr>
            </w:pPr>
          </w:p>
        </w:tc>
        <w:tc>
          <w:tcPr>
            <w:tcW w:w="596" w:type="dxa"/>
            <w:vMerge w:val="restart"/>
            <w:noWrap w:val="0"/>
            <w:vAlign w:val="center"/>
          </w:tcPr>
          <w:p w14:paraId="3E2071F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highlight w:val="yellow"/>
              </w:rPr>
            </w:pPr>
          </w:p>
        </w:tc>
      </w:tr>
      <w:tr w14:paraId="206F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4106" w:type="dxa"/>
            <w:vMerge w:val="continue"/>
            <w:noWrap w:val="0"/>
            <w:tcMar>
              <w:top w:w="12" w:type="dxa"/>
              <w:left w:w="12" w:type="dxa"/>
              <w:right w:w="12" w:type="dxa"/>
            </w:tcMar>
            <w:vAlign w:val="center"/>
          </w:tcPr>
          <w:p w14:paraId="6CBA67EB">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b/>
                <w:bCs/>
                <w:color w:val="000000"/>
                <w:highlight w:val="yellow"/>
              </w:rPr>
            </w:pPr>
          </w:p>
        </w:tc>
        <w:tc>
          <w:tcPr>
            <w:tcW w:w="5670" w:type="dxa"/>
            <w:noWrap w:val="0"/>
            <w:tcMar>
              <w:top w:w="12" w:type="dxa"/>
              <w:left w:w="12" w:type="dxa"/>
              <w:right w:w="12" w:type="dxa"/>
            </w:tcMar>
            <w:vAlign w:val="center"/>
          </w:tcPr>
          <w:p w14:paraId="536793B1">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highlight w:val="none"/>
                <w:lang w:bidi="ar"/>
              </w:rPr>
            </w:pPr>
            <w:r>
              <w:rPr>
                <w:rFonts w:ascii="宋体" w:hAnsi="宋体" w:cs="Times New Roman"/>
                <w:color w:val="000000"/>
                <w:kern w:val="0"/>
                <w:sz w:val="21"/>
                <w:szCs w:val="21"/>
                <w:highlight w:val="none"/>
                <w:lang w:bidi="ar"/>
              </w:rPr>
              <w:t>6.矿山集中管控平台主要监测数据与监测结果接入自然资源主管部门绿色矿山监督监管体系得4分</w:t>
            </w:r>
            <w:r>
              <w:rPr>
                <w:rFonts w:hint="eastAsia" w:ascii="宋体" w:hAnsi="宋体" w:cs="Times New Roman"/>
                <w:color w:val="000000"/>
                <w:kern w:val="0"/>
                <w:sz w:val="21"/>
                <w:szCs w:val="21"/>
                <w:highlight w:val="none"/>
                <w:lang w:bidi="ar"/>
              </w:rPr>
              <w:t>。</w:t>
            </w:r>
          </w:p>
        </w:tc>
        <w:tc>
          <w:tcPr>
            <w:tcW w:w="992" w:type="dxa"/>
            <w:vMerge w:val="continue"/>
            <w:noWrap w:val="0"/>
            <w:tcMar>
              <w:top w:w="12" w:type="dxa"/>
              <w:left w:w="12" w:type="dxa"/>
              <w:right w:w="12" w:type="dxa"/>
            </w:tcMar>
            <w:vAlign w:val="center"/>
          </w:tcPr>
          <w:p w14:paraId="5DF1C949">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highlight w:val="yellow"/>
                <w:lang w:bidi="ar"/>
              </w:rPr>
            </w:pPr>
          </w:p>
        </w:tc>
        <w:tc>
          <w:tcPr>
            <w:tcW w:w="2268" w:type="dxa"/>
            <w:vMerge w:val="continue"/>
            <w:noWrap w:val="0"/>
            <w:tcMar>
              <w:top w:w="12" w:type="dxa"/>
              <w:left w:w="12" w:type="dxa"/>
              <w:right w:w="12" w:type="dxa"/>
            </w:tcMar>
            <w:vAlign w:val="center"/>
          </w:tcPr>
          <w:p w14:paraId="6E75861F">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highlight w:val="yellow"/>
              </w:rPr>
            </w:pPr>
          </w:p>
        </w:tc>
        <w:tc>
          <w:tcPr>
            <w:tcW w:w="514" w:type="dxa"/>
            <w:vMerge w:val="continue"/>
            <w:noWrap w:val="0"/>
            <w:tcMar>
              <w:top w:w="12" w:type="dxa"/>
              <w:left w:w="12" w:type="dxa"/>
              <w:right w:w="12" w:type="dxa"/>
            </w:tcMar>
            <w:vAlign w:val="center"/>
          </w:tcPr>
          <w:p w14:paraId="6244B2AF">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highlight w:val="yellow"/>
              </w:rPr>
            </w:pPr>
          </w:p>
        </w:tc>
        <w:tc>
          <w:tcPr>
            <w:tcW w:w="596" w:type="dxa"/>
            <w:vMerge w:val="continue"/>
            <w:noWrap w:val="0"/>
            <w:vAlign w:val="center"/>
          </w:tcPr>
          <w:p w14:paraId="50D6D9FB">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highlight w:val="yellow"/>
              </w:rPr>
            </w:pPr>
          </w:p>
        </w:tc>
        <w:tc>
          <w:tcPr>
            <w:tcW w:w="596" w:type="dxa"/>
            <w:vMerge w:val="continue"/>
            <w:noWrap w:val="0"/>
            <w:vAlign w:val="center"/>
          </w:tcPr>
          <w:p w14:paraId="644213E5">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highlight w:val="yellow"/>
              </w:rPr>
            </w:pPr>
          </w:p>
        </w:tc>
      </w:tr>
      <w:tr w14:paraId="095B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0" w:hRule="atLeast"/>
          <w:jc w:val="center"/>
        </w:trPr>
        <w:tc>
          <w:tcPr>
            <w:tcW w:w="4106" w:type="dxa"/>
            <w:vMerge w:val="continue"/>
            <w:noWrap w:val="0"/>
            <w:tcMar>
              <w:top w:w="12" w:type="dxa"/>
              <w:left w:w="12" w:type="dxa"/>
              <w:right w:w="12" w:type="dxa"/>
            </w:tcMar>
            <w:vAlign w:val="center"/>
          </w:tcPr>
          <w:p w14:paraId="477D95FA">
            <w:pPr>
              <w:keepNext w:val="0"/>
              <w:keepLines w:val="0"/>
              <w:pageBreakBefore w:val="0"/>
              <w:widowControl/>
              <w:kinsoku/>
              <w:wordWrap/>
              <w:overflowPunct/>
              <w:topLinePunct w:val="0"/>
              <w:autoSpaceDE/>
              <w:autoSpaceDN/>
              <w:bidi w:val="0"/>
              <w:spacing w:line="240" w:lineRule="exact"/>
              <w:ind w:firstLine="0" w:firstLineChars="0"/>
              <w:jc w:val="center"/>
              <w:textAlignment w:val="center"/>
              <w:rPr>
                <w:rFonts w:ascii="宋体" w:hAnsi="宋体" w:cs="Times New Roman"/>
                <w:b/>
                <w:bCs/>
                <w:color w:val="000000"/>
                <w:highlight w:val="yellow"/>
              </w:rPr>
            </w:pPr>
          </w:p>
        </w:tc>
        <w:tc>
          <w:tcPr>
            <w:tcW w:w="5670" w:type="dxa"/>
            <w:noWrap w:val="0"/>
            <w:tcMar>
              <w:top w:w="12" w:type="dxa"/>
              <w:left w:w="12" w:type="dxa"/>
              <w:right w:w="12" w:type="dxa"/>
            </w:tcMar>
            <w:vAlign w:val="center"/>
          </w:tcPr>
          <w:p w14:paraId="65B6F920">
            <w:pPr>
              <w:keepNext w:val="0"/>
              <w:keepLines w:val="0"/>
              <w:pageBreakBefore w:val="0"/>
              <w:widowControl/>
              <w:kinsoku/>
              <w:wordWrap/>
              <w:overflowPunct/>
              <w:topLinePunct w:val="0"/>
              <w:autoSpaceDE/>
              <w:autoSpaceDN/>
              <w:bidi w:val="0"/>
              <w:adjustRightInd w:val="0"/>
              <w:snapToGrid w:val="0"/>
              <w:spacing w:line="240" w:lineRule="exact"/>
              <w:ind w:firstLine="0" w:firstLineChars="0"/>
              <w:textAlignment w:val="center"/>
              <w:rPr>
                <w:rFonts w:ascii="宋体" w:hAnsi="宋体" w:cs="Times New Roman"/>
                <w:color w:val="000000"/>
                <w:kern w:val="0"/>
                <w:sz w:val="21"/>
                <w:szCs w:val="21"/>
                <w:highlight w:val="none"/>
                <w:lang w:bidi="ar"/>
              </w:rPr>
            </w:pPr>
            <w:r>
              <w:rPr>
                <w:rFonts w:ascii="宋体" w:hAnsi="宋体" w:cs="Times New Roman"/>
                <w:color w:val="000000"/>
                <w:kern w:val="0"/>
                <w:sz w:val="21"/>
                <w:szCs w:val="21"/>
                <w:highlight w:val="none"/>
                <w:lang w:bidi="ar"/>
              </w:rPr>
              <w:t>7.</w:t>
            </w:r>
            <w:r>
              <w:rPr>
                <w:rFonts w:hint="eastAsia" w:ascii="宋体" w:hAnsi="宋体" w:cs="Times New Roman"/>
                <w:color w:val="000000"/>
                <w:kern w:val="0"/>
                <w:sz w:val="21"/>
                <w:szCs w:val="21"/>
                <w:highlight w:val="none"/>
                <w:lang w:bidi="ar"/>
              </w:rPr>
              <w:t>矿山各功能区配备智能化监管设备，监管设备采集信号、数据接入自然资源主管部门绿色矿山监督监管体系得3分。</w:t>
            </w:r>
          </w:p>
        </w:tc>
        <w:tc>
          <w:tcPr>
            <w:tcW w:w="992" w:type="dxa"/>
            <w:vMerge w:val="continue"/>
            <w:noWrap w:val="0"/>
            <w:tcMar>
              <w:top w:w="12" w:type="dxa"/>
              <w:left w:w="12" w:type="dxa"/>
              <w:right w:w="12" w:type="dxa"/>
            </w:tcMar>
            <w:vAlign w:val="center"/>
          </w:tcPr>
          <w:p w14:paraId="6AAB2BE2">
            <w:pPr>
              <w:keepNext w:val="0"/>
              <w:keepLines w:val="0"/>
              <w:pageBreakBefore w:val="0"/>
              <w:widowControl/>
              <w:kinsoku/>
              <w:wordWrap/>
              <w:overflowPunct/>
              <w:topLinePunct w:val="0"/>
              <w:autoSpaceDE/>
              <w:autoSpaceDN/>
              <w:bidi w:val="0"/>
              <w:adjustRightInd w:val="0"/>
              <w:snapToGrid w:val="0"/>
              <w:spacing w:line="240" w:lineRule="exact"/>
              <w:ind w:firstLine="0" w:firstLineChars="0"/>
              <w:jc w:val="left"/>
              <w:textAlignment w:val="center"/>
              <w:rPr>
                <w:rFonts w:ascii="宋体" w:hAnsi="宋体" w:cs="Times New Roman"/>
                <w:color w:val="000000"/>
                <w:kern w:val="0"/>
                <w:sz w:val="21"/>
                <w:szCs w:val="21"/>
                <w:highlight w:val="yellow"/>
                <w:lang w:bidi="ar"/>
              </w:rPr>
            </w:pPr>
          </w:p>
        </w:tc>
        <w:tc>
          <w:tcPr>
            <w:tcW w:w="2268" w:type="dxa"/>
            <w:vMerge w:val="continue"/>
            <w:noWrap w:val="0"/>
            <w:tcMar>
              <w:top w:w="12" w:type="dxa"/>
              <w:left w:w="12" w:type="dxa"/>
              <w:right w:w="12" w:type="dxa"/>
            </w:tcMar>
            <w:vAlign w:val="center"/>
          </w:tcPr>
          <w:p w14:paraId="30AD8781">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left"/>
              <w:rPr>
                <w:rFonts w:ascii="宋体" w:hAnsi="宋体" w:cs="Times New Roman"/>
                <w:color w:val="000000"/>
                <w:kern w:val="0"/>
                <w:sz w:val="21"/>
                <w:szCs w:val="21"/>
                <w:highlight w:val="yellow"/>
              </w:rPr>
            </w:pPr>
          </w:p>
        </w:tc>
        <w:tc>
          <w:tcPr>
            <w:tcW w:w="514" w:type="dxa"/>
            <w:vMerge w:val="continue"/>
            <w:noWrap w:val="0"/>
            <w:tcMar>
              <w:top w:w="12" w:type="dxa"/>
              <w:left w:w="12" w:type="dxa"/>
              <w:right w:w="12" w:type="dxa"/>
            </w:tcMar>
            <w:vAlign w:val="center"/>
          </w:tcPr>
          <w:p w14:paraId="3A21D20B">
            <w:pPr>
              <w:keepNext w:val="0"/>
              <w:keepLines w:val="0"/>
              <w:pageBreakBefore w:val="0"/>
              <w:widowControl w:val="0"/>
              <w:kinsoku/>
              <w:wordWrap/>
              <w:overflowPunct/>
              <w:topLinePunct w:val="0"/>
              <w:autoSpaceDE/>
              <w:autoSpaceDN/>
              <w:bidi w:val="0"/>
              <w:spacing w:line="240" w:lineRule="exact"/>
              <w:ind w:firstLine="0" w:firstLineChars="0"/>
              <w:jc w:val="center"/>
              <w:rPr>
                <w:rFonts w:ascii="宋体" w:hAnsi="宋体" w:cs="Times New Roman"/>
                <w:color w:val="000000"/>
                <w:kern w:val="0"/>
                <w:sz w:val="21"/>
                <w:szCs w:val="21"/>
                <w:highlight w:val="yellow"/>
              </w:rPr>
            </w:pPr>
          </w:p>
        </w:tc>
        <w:tc>
          <w:tcPr>
            <w:tcW w:w="596" w:type="dxa"/>
            <w:vMerge w:val="continue"/>
            <w:noWrap w:val="0"/>
            <w:vAlign w:val="center"/>
          </w:tcPr>
          <w:p w14:paraId="7DFA7100">
            <w:pPr>
              <w:keepNext w:val="0"/>
              <w:keepLines w:val="0"/>
              <w:pageBreakBefore w:val="0"/>
              <w:widowControl w:val="0"/>
              <w:kinsoku/>
              <w:wordWrap/>
              <w:overflowPunct/>
              <w:topLinePunct w:val="0"/>
              <w:autoSpaceDE/>
              <w:autoSpaceDN/>
              <w:bidi w:val="0"/>
              <w:spacing w:line="240" w:lineRule="exact"/>
              <w:ind w:firstLine="0" w:firstLineChars="0"/>
              <w:jc w:val="left"/>
              <w:rPr>
                <w:rFonts w:ascii="宋体" w:hAnsi="宋体" w:cs="Times New Roman"/>
                <w:color w:val="000000"/>
                <w:kern w:val="0"/>
                <w:sz w:val="21"/>
                <w:szCs w:val="21"/>
                <w:highlight w:val="yellow"/>
              </w:rPr>
            </w:pPr>
          </w:p>
        </w:tc>
        <w:tc>
          <w:tcPr>
            <w:tcW w:w="596" w:type="dxa"/>
            <w:vMerge w:val="continue"/>
            <w:noWrap w:val="0"/>
            <w:vAlign w:val="center"/>
          </w:tcPr>
          <w:p w14:paraId="027775A2">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rPr>
                <w:rFonts w:ascii="宋体" w:hAnsi="宋体" w:cs="Times New Roman"/>
                <w:color w:val="000000"/>
                <w:kern w:val="0"/>
                <w:sz w:val="21"/>
                <w:szCs w:val="21"/>
                <w:highlight w:val="yellow"/>
              </w:rPr>
            </w:pPr>
          </w:p>
        </w:tc>
      </w:tr>
    </w:tbl>
    <w:p w14:paraId="57092FD7">
      <w:pPr>
        <w:keepNext w:val="0"/>
        <w:keepLines w:val="0"/>
        <w:pageBreakBefore w:val="0"/>
        <w:kinsoku/>
        <w:wordWrap/>
        <w:overflowPunct/>
        <w:topLinePunct w:val="0"/>
        <w:autoSpaceDE/>
        <w:autoSpaceDN/>
        <w:bidi w:val="0"/>
        <w:spacing w:line="240" w:lineRule="exact"/>
        <w:ind w:firstLine="640"/>
        <w:rPr>
          <w:rFonts w:ascii="宋体" w:hAnsi="宋体" w:cs="Times New Roman"/>
          <w:color w:val="000000"/>
        </w:rPr>
        <w:sectPr>
          <w:footerReference r:id="rId14" w:type="default"/>
          <w:pgSz w:w="16838" w:h="11906" w:orient="landscape"/>
          <w:pgMar w:top="567" w:right="720" w:bottom="567" w:left="720" w:header="284" w:footer="283" w:gutter="0"/>
          <w:pgNumType w:fmt="decimal"/>
          <w:cols w:space="720" w:num="1"/>
          <w:docGrid w:type="lines" w:linePitch="435" w:charSpace="0"/>
        </w:sectPr>
      </w:pPr>
      <w:r>
        <w:rPr>
          <w:rFonts w:ascii="宋体" w:hAnsi="宋体" w:cs="Times New Roman"/>
          <w:color w:val="000000"/>
        </w:rPr>
        <w:tab/>
      </w:r>
    </w:p>
    <w:p w14:paraId="3FC1B1C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方正仿宋_GBK" w:cs="方正仿宋_GBK"/>
          <w:sz w:val="32"/>
          <w:szCs w:val="32"/>
        </w:rPr>
      </w:pPr>
    </w:p>
    <w:p w14:paraId="3A3229DE">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ascii="宋体" w:hAnsi="宋体" w:eastAsia="方正小标宋_GBK" w:cs="Times New Roman"/>
          <w:bCs/>
          <w:color w:val="000000"/>
          <w:kern w:val="2"/>
          <w:sz w:val="44"/>
          <w:szCs w:val="32"/>
          <w:lang w:val="en-US" w:eastAsia="zh-CN" w:bidi="ar-SA"/>
        </w:rPr>
      </w:pPr>
      <w:r>
        <w:rPr>
          <w:rFonts w:ascii="宋体" w:hAnsi="宋体" w:eastAsia="方正小标宋_GBK" w:cs="Times New Roman"/>
          <w:bCs/>
          <w:color w:val="000000"/>
          <w:kern w:val="2"/>
          <w:sz w:val="44"/>
          <w:szCs w:val="32"/>
          <w:lang w:val="en-US" w:eastAsia="zh-CN" w:bidi="ar-SA"/>
        </w:rPr>
        <w:t>说 明</w:t>
      </w:r>
    </w:p>
    <w:p w14:paraId="3E081ED7">
      <w:pPr>
        <w:widowControl w:val="0"/>
        <w:spacing w:line="570" w:lineRule="exact"/>
        <w:ind w:firstLine="640"/>
        <w:rPr>
          <w:rFonts w:ascii="宋体" w:hAnsi="宋体" w:eastAsia="仿宋_GB2312" w:cs="Times New Roman"/>
          <w:color w:val="000000"/>
          <w:kern w:val="0"/>
          <w:szCs w:val="32"/>
        </w:rPr>
      </w:pPr>
    </w:p>
    <w:p w14:paraId="39C7A97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《云南省绿色矿山建设评价指标（试行）》包含先决条件和评分表两部分。先决条件属于否决项，有一项达不到要求，则不能参与绿色矿山遴选工作。</w:t>
      </w:r>
    </w:p>
    <w:p w14:paraId="22F979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方正黑体_GBK"/>
          <w:bCs/>
          <w:color w:val="000000"/>
          <w:kern w:val="44"/>
          <w:sz w:val="32"/>
          <w:szCs w:val="32"/>
          <w:lang w:val="en-US" w:eastAsia="zh-CN" w:bidi="ar-SA"/>
        </w:rPr>
      </w:pPr>
      <w:r>
        <w:rPr>
          <w:rFonts w:hint="eastAsia" w:ascii="宋体" w:hAnsi="宋体" w:eastAsia="方正黑体_GBK" w:cs="方正黑体_GBK"/>
          <w:bCs/>
          <w:color w:val="000000"/>
          <w:kern w:val="44"/>
          <w:sz w:val="32"/>
          <w:szCs w:val="32"/>
          <w:lang w:val="en-US" w:eastAsia="zh-CN" w:bidi="ar-SA"/>
        </w:rPr>
        <w:t>一、计分办法与达标说明</w:t>
      </w:r>
    </w:p>
    <w:p w14:paraId="4B3EC7E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（一）评价基础指标共49项，分约束性指标、提升性指标两类，分别从矿区环境、资源开采、资源综合利用、绿色低碳、生态修复与环境治理、科技创新与规范管理六个方面对绿色矿山建设水平进行评分。</w:t>
      </w:r>
    </w:p>
    <w:p w14:paraId="627F3051">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（二）约束性指标共20项，所有约束性指标必须得满分，若一项不得满分则不达标。提升性指标29项，体现差异性，按评分表内的评分说明进行评分。</w:t>
      </w:r>
    </w:p>
    <w:p w14:paraId="6026FCE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三）不涉及项计分。经判定某项指标属于不涉及项的，按大类采用折合法计分。如某矿不涉及第14-16项，假如第12、13、17、18、19、20项的得分和为10分，则“三、资源综合利用”大类最后得分为“10/13*18=13.8分”。不涉及项要在评分表中明确说明判定依据和理由。</w:t>
      </w:r>
    </w:p>
    <w:p w14:paraId="55059C2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（四）评价指标总分120分，其中基础指标总分100分，附加得分总分20分。省级绿色矿山总得分原则上不低于80分。</w:t>
      </w:r>
    </w:p>
    <w:p w14:paraId="5D13C0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方正黑体_GBK"/>
          <w:bCs/>
          <w:color w:val="000000"/>
          <w:kern w:val="44"/>
          <w:sz w:val="32"/>
          <w:szCs w:val="32"/>
          <w:lang w:val="en-US" w:eastAsia="zh-CN" w:bidi="ar-SA"/>
        </w:rPr>
      </w:pPr>
      <w:r>
        <w:rPr>
          <w:rFonts w:hint="eastAsia" w:ascii="宋体" w:hAnsi="宋体" w:eastAsia="方正黑体_GBK" w:cs="方正黑体_GBK"/>
          <w:bCs/>
          <w:color w:val="000000"/>
          <w:kern w:val="44"/>
          <w:sz w:val="32"/>
          <w:szCs w:val="32"/>
          <w:lang w:val="en-US" w:eastAsia="zh-CN" w:bidi="ar-SA"/>
        </w:rPr>
        <w:t>二、评分说明</w:t>
      </w:r>
    </w:p>
    <w:p w14:paraId="1DCED21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（一）某一指标评分说明属于扣分的，最多扣完该项分值。某一指标评分说明属于增分的，最多增至该项总分。</w:t>
      </w:r>
    </w:p>
    <w:p w14:paraId="04F19BE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（二）所有得分必须有依据并要保留证明材料，在“检查记录”栏里写明得到相应分值的原因，缺少支撑材料或证明材料不得分。如需填写内容较多，可在评估报告中重点描述。</w:t>
      </w:r>
    </w:p>
    <w:p w14:paraId="4FFF8FB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（三）对于集中建设的选矿加工等配套系统，应明确关联关系，可统一纳入评估考虑。</w:t>
      </w:r>
    </w:p>
    <w:p w14:paraId="14F0AA9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（四）对于调查问卷、现场考核、专家打分取平均值等评估方式，需要在“检查记录”说明里进行详细描述。</w:t>
      </w:r>
    </w:p>
    <w:p w14:paraId="6F86B1B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ascii="宋体" w:hAnsi="宋体" w:eastAsia="方正仿宋_GBK" w:cs="方正仿宋_GBK"/>
          <w:color w:val="000000"/>
          <w:sz w:val="32"/>
          <w:szCs w:val="32"/>
        </w:rPr>
        <w:t>（五）需要现场查看的内容，在“检查记录”里应写明哪些工作人员到什么现场看了什么内容（设备、设施、厂地、环境、现场等）。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1199C">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1FD2">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F839C">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4E423">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BC19">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2AB3">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77DC9">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05D8">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1A63A">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4942B">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FF34">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5E28">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570" w:lineRule="exact"/>
      <w:ind w:firstLine="360" w:firstLineChars="200"/>
      <w:jc w:val="both"/>
      <w:rPr>
        <w:rFonts w:ascii="Times New Roman" w:hAnsi="Times New Roman" w:eastAsia="方正仿宋_GBK" w:cs="Times New Roman"/>
        <w:kern w:val="2"/>
        <w:sz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0411E8"/>
    <w:rsid w:val="76832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next w:val="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10164</Words>
  <Characters>10701</Characters>
  <Lines>0</Lines>
  <Paragraphs>0</Paragraphs>
  <TotalTime>0</TotalTime>
  <ScaleCrop>false</ScaleCrop>
  <LinksUpToDate>false</LinksUpToDate>
  <CharactersWithSpaces>10803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2025-04-22T03:32:00Z</dcterms:created>
  <dc:creator>Lenovo</dc:creator>
  <cp:lastModifiedBy>莫语</cp:lastModifiedBy>
  <dcterms:modified xsi:type="dcterms:W3CDTF">2025-04-22T03:41:04Z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eyJoZGlkIjoiOWYzOGRiNDNiM2UxMzI1NzY2YjQ2MDA1ODRkNTQzY2YiLCJ1c2VySWQiOiIzNDA1ODU0MDcifQ==</vt:lpwstr>
  </property>
  <property fmtid="{D5CDD505-2E9C-101B-9397-08002B2CF9AE}" pid="4" name="ICV">
    <vt:lpwstr>AEB0713D619A41B3842606BE55753C95_12</vt:lpwstr>
  </property>
</Properties>
</file>