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黑体" w:hAnsi="黑体" w:eastAsia="黑体" w:cs="方正黑体_GBK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方正黑体_GBK"/>
          <w:sz w:val="32"/>
          <w:szCs w:val="32"/>
          <w:shd w:val="clear" w:color="auto" w:fill="FFFFFF"/>
        </w:rPr>
        <w:t>附件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hAnsi="方正小标宋简体" w:eastAsia="仿宋_GB2312" w:cs="方正小标宋简体"/>
          <w:sz w:val="32"/>
          <w:szCs w:val="32"/>
          <w:shd w:val="clear" w:color="auto" w:fill="FFFFFF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left="177"/>
        <w:jc w:val="center"/>
        <w:rPr>
          <w:rFonts w:ascii="方正小标宋_GBK" w:hAnsi="方正小标宋简体" w:eastAsia="方正小标宋_GBK" w:cs="方正小标宋简体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</w:rPr>
        <w:t>湖北省科技型企业知识价值信用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left="177"/>
        <w:jc w:val="center"/>
        <w:rPr>
          <w:rFonts w:ascii="方正小标宋_GBK" w:hAnsi="方正小标宋简体" w:eastAsia="方正小标宋_GBK" w:cs="方正小标宋简体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</w:rPr>
        <w:t>评价指标体系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为探索适应科技型企业特点的信用评价体系，推动科技型企业知识价值信用评价在债权融资领域的运用，提高科技型企业信用评价科学性，制定本评价指标体系。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  <w:shd w:val="clear" w:color="auto" w:fill="FFFFFF"/>
        </w:rPr>
        <w:t>一、评价指标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评价指标体系设创新人才、研发投入、研发活动、知识产权、创新产品、创新服务、创新品牌7个指标维度，总分1</w:t>
      </w:r>
      <w:r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  <w:t>00分。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在创新人才、研发活动、创新品牌等方面特别突出的企业可直接确定为A级。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方正黑体_GBK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黑体_GBK"/>
          <w:sz w:val="32"/>
          <w:szCs w:val="32"/>
          <w:shd w:val="clear" w:color="auto" w:fill="FFFFFF"/>
        </w:rPr>
        <w:t>二、信用评价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楷体_GB2312" w:hAnsi="楷体" w:eastAsia="楷体_GB2312" w:cs="方正仿宋_GBK"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 w:cs="方正仿宋_GBK"/>
          <w:bCs/>
          <w:sz w:val="32"/>
          <w:szCs w:val="32"/>
          <w:shd w:val="clear" w:color="auto" w:fill="FFFFFF"/>
        </w:rPr>
        <w:t>（一）直接确定为A级情形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满足以下情形之一的科技型企业，知识价值信用评价等级可直接确定为A级。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1.拥有国家科学技术奖获得者、国家级专利奖获得者、两院院士、国家级重大人才计划项目入选者等人才；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2.拥有经认定的省部级以上研发机构；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3.近两年承担了国家级科技计划项目；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4.驼鹿、独角兽、潜在独角兽、瞪羚等科创“新物种”企业，国家知识产权优势示范企业；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5.其他具有国际国内较大影响的企业。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楷体_GB2312" w:hAnsi="楷体" w:eastAsia="楷体_GB2312" w:cs="方正仿宋_GBK"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 w:cs="方正仿宋_GBK"/>
          <w:bCs/>
          <w:sz w:val="32"/>
          <w:szCs w:val="32"/>
          <w:shd w:val="clear" w:color="auto" w:fill="FFFFFF"/>
        </w:rPr>
        <w:t>（二）评价指标体系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600" w:lineRule="exact"/>
        <w:jc w:val="center"/>
        <w:rPr>
          <w:rFonts w:ascii="黑体" w:hAnsi="黑体" w:eastAsia="黑体" w:cs="方正黑体_GBK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黑体_GBK"/>
          <w:sz w:val="32"/>
          <w:szCs w:val="32"/>
          <w:shd w:val="clear" w:color="auto" w:fill="FFFFFF"/>
        </w:rPr>
        <w:t>评价指标体系表</w:t>
      </w:r>
    </w:p>
    <w:tbl>
      <w:tblPr>
        <w:tblStyle w:val="7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63"/>
        <w:gridCol w:w="1197"/>
        <w:gridCol w:w="2211"/>
        <w:gridCol w:w="2668"/>
        <w:gridCol w:w="1169"/>
      </w:tblGrid>
      <w:tr>
        <w:trPr>
          <w:cantSplit/>
          <w:trHeight w:val="630" w:hRule="atLeast"/>
          <w:jc w:val="center"/>
        </w:trPr>
        <w:tc>
          <w:tcPr>
            <w:tcW w:w="7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63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  <w:t>指标名称</w:t>
            </w:r>
          </w:p>
        </w:tc>
        <w:tc>
          <w:tcPr>
            <w:tcW w:w="1197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  <w:t>指标分值</w:t>
            </w:r>
          </w:p>
        </w:tc>
        <w:tc>
          <w:tcPr>
            <w:tcW w:w="221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  <w:t>指标解读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仿宋_GBK" w:eastAsia="方正黑体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仿宋_GBK" w:eastAsia="方正黑体_GBK" w:cs="方正仿宋_GBK"/>
                <w:color w:val="000000"/>
                <w:kern w:val="0"/>
                <w:sz w:val="24"/>
                <w:szCs w:val="24"/>
                <w:lang w:bidi="ar"/>
              </w:rPr>
              <w:t>评分细则</w:t>
            </w:r>
          </w:p>
        </w:tc>
        <w:tc>
          <w:tcPr>
            <w:tcW w:w="1169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 w:val="24"/>
                <w:szCs w:val="24"/>
                <w:lang w:bidi="ar"/>
              </w:rPr>
              <w:t>数据来源</w:t>
            </w:r>
          </w:p>
        </w:tc>
      </w:tr>
      <w:tr>
        <w:trPr>
          <w:cantSplit/>
          <w:trHeight w:val="2596" w:hRule="atLeast"/>
          <w:jc w:val="center"/>
        </w:trPr>
        <w:tc>
          <w:tcPr>
            <w:tcW w:w="7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创新人才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15分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kern w:val="0"/>
                <w:sz w:val="24"/>
                <w:szCs w:val="24"/>
                <w:lang w:bidi="ar"/>
              </w:rPr>
              <w:t>科技研发人员占职工总数的比重；</w:t>
            </w:r>
          </w:p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拥有省、市级科技创新人才。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计分可累计，满分15分：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kern w:val="0"/>
                <w:sz w:val="24"/>
                <w:szCs w:val="24"/>
                <w:lang w:bidi="ar"/>
              </w:rPr>
              <w:t>科技研发人员占职工总数的比重</w:t>
            </w: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10%以上得15分，10%及以下通过功效系数评价法计算；</w:t>
            </w:r>
          </w:p>
          <w:p>
            <w:pPr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省级人才每人15分；</w:t>
            </w:r>
          </w:p>
          <w:p>
            <w:pPr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市级人才每人10分。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省科技厅</w:t>
            </w:r>
          </w:p>
        </w:tc>
      </w:tr>
      <w:tr>
        <w:trPr>
          <w:cantSplit/>
          <w:trHeight w:val="1414" w:hRule="atLeast"/>
          <w:jc w:val="center"/>
        </w:trPr>
        <w:tc>
          <w:tcPr>
            <w:tcW w:w="72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研发投入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20分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研发费用占销售收入的比重。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满分15分：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3%以上15分，3%及以下通过功效系数评价法计算。 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省税务局</w:t>
            </w:r>
          </w:p>
        </w:tc>
      </w:tr>
      <w:tr>
        <w:trPr>
          <w:cantSplit/>
          <w:trHeight w:val="1264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近两年研发费用平均增速。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满分5分：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通过功效系数评价法计算。</w:t>
            </w:r>
          </w:p>
        </w:tc>
        <w:tc>
          <w:tcPr>
            <w:tcW w:w="1169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rPr>
          <w:cantSplit/>
          <w:trHeight w:val="2207" w:hRule="atLeast"/>
          <w:jc w:val="center"/>
        </w:trPr>
        <w:tc>
          <w:tcPr>
            <w:tcW w:w="7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研发活动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R&amp;D经费；</w:t>
            </w:r>
          </w:p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承担的市级以上科技计划项目数量。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计分可累计，满分10分：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R&amp;D经费得分通过功效系数评价法计算；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近两年承担市级以上科技计划项目数量，每项10分。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省科技厅</w:t>
            </w:r>
          </w:p>
        </w:tc>
      </w:tr>
      <w:tr>
        <w:trPr>
          <w:cantSplit/>
          <w:trHeight w:val="2253" w:hRule="atLeast"/>
          <w:jc w:val="center"/>
        </w:trPr>
        <w:tc>
          <w:tcPr>
            <w:tcW w:w="7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知识产权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25分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拥有自主知识产权数量。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计分可累计，满分25分：</w:t>
            </w:r>
          </w:p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Ⅰ类知识产权每项25分；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Ⅱ类知识产权每项10分；</w:t>
            </w:r>
          </w:p>
          <w:p>
            <w:pPr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PCT国际专利每项5分。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省知识产权局</w:t>
            </w:r>
          </w:p>
        </w:tc>
      </w:tr>
      <w:tr>
        <w:trPr>
          <w:cantSplit/>
          <w:trHeight w:val="3817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创新产品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15分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高新技术产品（服务）收入占销售收入的比重；</w:t>
            </w:r>
          </w:p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参与制定标准，拥有计算机软件著作权、集成电路布图设计权等成果。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计分可累计，满分15分：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高新技术产品（服务）收入占销售收入60%以上15分，60%及以下通过功效系数评价法计算；</w:t>
            </w:r>
          </w:p>
          <w:p>
            <w:pPr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参与制定标准每项10分；</w:t>
            </w:r>
          </w:p>
          <w:p>
            <w:pPr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拥有计算机软件著作权、集成电路布图设计权等成果每项10分。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省税务局</w:t>
            </w:r>
          </w:p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省科技厅</w:t>
            </w:r>
          </w:p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省知识产权局</w:t>
            </w:r>
          </w:p>
        </w:tc>
      </w:tr>
      <w:tr>
        <w:trPr>
          <w:cantSplit/>
          <w:trHeight w:val="1263" w:hRule="atLeast"/>
          <w:jc w:val="center"/>
        </w:trPr>
        <w:tc>
          <w:tcPr>
            <w:tcW w:w="7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创新服务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经认定的技术合同成交额。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满分5分：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通过功效系数评价法计算。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省科技厅</w:t>
            </w:r>
          </w:p>
        </w:tc>
      </w:tr>
      <w:tr>
        <w:trPr>
          <w:cantSplit/>
          <w:trHeight w:val="2542" w:hRule="atLeast"/>
          <w:jc w:val="center"/>
        </w:trPr>
        <w:tc>
          <w:tcPr>
            <w:tcW w:w="7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创新品牌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创新成果实现产品化或产业化；</w:t>
            </w:r>
          </w:p>
          <w:p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拥有部门认可的企业科技属性资质。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计分可累计，满分10分：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拥有部门或者行业协会认可的产品商标、认证等资质，得10分；</w:t>
            </w:r>
          </w:p>
          <w:p>
            <w:pPr>
              <w:spacing w:line="320" w:lineRule="exact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拥有高新技术企业、科技型中小企业等资质，得10分。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省科技厅</w:t>
            </w:r>
          </w:p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省知识产权局</w:t>
            </w:r>
          </w:p>
        </w:tc>
      </w:tr>
    </w:tbl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楷体_GB2312" w:hAnsi="楷体" w:eastAsia="楷体_GB2312" w:cs="方正仿宋_GBK"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 w:cs="方正仿宋_GBK"/>
          <w:bCs/>
          <w:sz w:val="32"/>
          <w:szCs w:val="32"/>
          <w:shd w:val="clear" w:color="auto" w:fill="FFFFFF"/>
        </w:rPr>
        <w:t>（三）评价等级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科技型企业知识价值信用评价等级按照指标得分划分为A、B、C、D、E五个等级。合作银行以科技型企业的信用评价等级为参考，对企业开展贷款服务。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A：90（含）分以上；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B：75（含）～90（不含）分；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C：60（含）～75（不含）分；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D：40（含）～60（不含）分；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E：40（不含）分以下。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600" w:lineRule="exact"/>
        <w:rPr>
          <w:rFonts w:ascii="黑体" w:hAnsi="黑体" w:eastAsia="黑体" w:cs="方正黑体_GBK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84"/>
    <w:rsid w:val="000034C6"/>
    <w:rsid w:val="00027C4C"/>
    <w:rsid w:val="0008269B"/>
    <w:rsid w:val="0011512D"/>
    <w:rsid w:val="00146758"/>
    <w:rsid w:val="00182C48"/>
    <w:rsid w:val="002B6784"/>
    <w:rsid w:val="0033586B"/>
    <w:rsid w:val="00453D60"/>
    <w:rsid w:val="00456C60"/>
    <w:rsid w:val="00477830"/>
    <w:rsid w:val="00552EE2"/>
    <w:rsid w:val="005644FD"/>
    <w:rsid w:val="005B755A"/>
    <w:rsid w:val="006D562B"/>
    <w:rsid w:val="0070120D"/>
    <w:rsid w:val="007932C2"/>
    <w:rsid w:val="007A4E87"/>
    <w:rsid w:val="007D3CC8"/>
    <w:rsid w:val="007F7855"/>
    <w:rsid w:val="0085188D"/>
    <w:rsid w:val="008A64F2"/>
    <w:rsid w:val="00991955"/>
    <w:rsid w:val="009C111C"/>
    <w:rsid w:val="009D1A1A"/>
    <w:rsid w:val="00A74B04"/>
    <w:rsid w:val="00B30DA6"/>
    <w:rsid w:val="00B32705"/>
    <w:rsid w:val="00C90DD9"/>
    <w:rsid w:val="00DB3715"/>
    <w:rsid w:val="00F21903"/>
    <w:rsid w:val="00F249B3"/>
    <w:rsid w:val="00FC0725"/>
    <w:rsid w:val="00FF3C13"/>
    <w:rsid w:val="07822E78"/>
    <w:rsid w:val="12615FD1"/>
    <w:rsid w:val="23590B72"/>
    <w:rsid w:val="BBB3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5249</Words>
  <Characters>5329</Characters>
  <Lines>41</Lines>
  <Paragraphs>11</Paragraphs>
  <TotalTime>31</TotalTime>
  <ScaleCrop>false</ScaleCrop>
  <LinksUpToDate>false</LinksUpToDate>
  <CharactersWithSpaces>5389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2025-03-13T08:44:00Z</dcterms:created>
  <dc:creator>user</dc:creator>
  <cp:lastModifiedBy>WPS_1692262740</cp:lastModifiedBy>
  <cp:lastPrinted>2025-03-15T09:01:00Z</cp:lastPrinted>
  <dcterms:modified xsi:type="dcterms:W3CDTF">2025-04-10T14:09:00Z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eyJoZGlkIjoiNDY2MjMxM2U4NzFiMmRkZTk5NzhkNjA2ODVkZTA4YzAifQ==</vt:lpwstr>
  </property>
  <property fmtid="{D5CDD505-2E9C-101B-9397-08002B2CF9AE}" pid="3" name="KSOProductBuildVer">
    <vt:lpwstr>2052-6.5.2.8766</vt:lpwstr>
  </property>
  <property fmtid="{D5CDD505-2E9C-101B-9397-08002B2CF9AE}" pid="4" name="ICV">
    <vt:lpwstr>29DE8E7292C1A82C7C60F76757D7CA89_43</vt:lpwstr>
  </property>
</Properties>
</file>