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00913">
      <w:pPr>
        <w:keepNext w:val="0"/>
        <w:keepLines w:val="0"/>
        <w:pageBreakBefore w:val="0"/>
        <w:widowControl w:val="0"/>
        <w:kinsoku/>
        <w:wordWrap/>
        <w:overflowPunct/>
        <w:topLinePunct w:val="0"/>
        <w:autoSpaceDE/>
        <w:autoSpaceDN/>
        <w:bidi w:val="0"/>
        <w:adjustRightInd/>
        <w:snapToGrid/>
        <w:spacing w:line="410" w:lineRule="atLeast"/>
        <w:ind w:left="0" w:firstLine="0" w:firstLineChars="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附件</w:t>
      </w:r>
    </w:p>
    <w:p w14:paraId="6742AFBE">
      <w:pPr>
        <w:keepNext w:val="0"/>
        <w:keepLines w:val="0"/>
        <w:pageBreakBefore w:val="0"/>
        <w:widowControl w:val="0"/>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宋体" w:hAnsi="宋体" w:eastAsia="宋体" w:cs="宋体"/>
          <w:b w:val="0"/>
          <w:bCs w:val="0"/>
          <w:kern w:val="21"/>
          <w:sz w:val="36"/>
          <w:szCs w:val="36"/>
        </w:rPr>
      </w:pPr>
      <w:r>
        <w:rPr>
          <w:rFonts w:hint="eastAsia" w:ascii="宋体" w:hAnsi="宋体" w:eastAsia="宋体" w:cs="宋体"/>
          <w:b w:val="0"/>
          <w:bCs w:val="0"/>
          <w:kern w:val="21"/>
          <w:sz w:val="36"/>
          <w:szCs w:val="36"/>
        </w:rPr>
        <w:t>深圳市绿色融资企业及项目</w:t>
      </w:r>
    </w:p>
    <w:p w14:paraId="7AF4AAC3">
      <w:pPr>
        <w:keepNext w:val="0"/>
        <w:keepLines w:val="0"/>
        <w:pageBreakBefore w:val="0"/>
        <w:widowControl w:val="0"/>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宋体" w:hAnsi="宋体" w:eastAsia="宋体" w:cs="宋体"/>
          <w:b w:val="0"/>
          <w:bCs w:val="0"/>
          <w:kern w:val="21"/>
          <w:sz w:val="36"/>
          <w:szCs w:val="36"/>
        </w:rPr>
      </w:pPr>
      <w:r>
        <w:rPr>
          <w:rFonts w:hint="eastAsia" w:ascii="宋体" w:hAnsi="宋体" w:eastAsia="宋体" w:cs="宋体"/>
          <w:b w:val="0"/>
          <w:bCs w:val="0"/>
          <w:kern w:val="21"/>
          <w:sz w:val="36"/>
          <w:szCs w:val="36"/>
        </w:rPr>
        <w:t>评估认定指引</w:t>
      </w:r>
    </w:p>
    <w:p w14:paraId="244F8D83">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p>
    <w:p w14:paraId="37833648">
      <w:pPr>
        <w:keepNext w:val="0"/>
        <w:keepLines w:val="0"/>
        <w:pageBreakBefore w:val="0"/>
        <w:widowControl w:val="0"/>
        <w:kinsoku/>
        <w:wordWrap/>
        <w:overflowPunct/>
        <w:topLinePunct w:val="0"/>
        <w:autoSpaceDE/>
        <w:autoSpaceDN/>
        <w:bidi w:val="0"/>
        <w:adjustRightInd/>
        <w:snapToGrid/>
        <w:spacing w:line="404" w:lineRule="atLeast"/>
        <w:ind w:left="0" w:firstLine="0" w:firstLineChars="0"/>
        <w:jc w:val="center"/>
        <w:textAlignment w:val="auto"/>
        <w:outlineLvl w:val="9"/>
        <w:rPr>
          <w:rFonts w:hint="eastAsia" w:ascii="黑体" w:hAnsi="黑体" w:eastAsia="黑体" w:cs="黑体"/>
          <w:b w:val="0"/>
          <w:bCs w:val="0"/>
          <w:kern w:val="21"/>
          <w:sz w:val="24"/>
          <w:szCs w:val="24"/>
        </w:rPr>
      </w:pPr>
      <w:r>
        <w:rPr>
          <w:rFonts w:hint="eastAsia" w:ascii="黑体" w:hAnsi="黑体" w:eastAsia="黑体" w:cs="黑体"/>
          <w:b w:val="0"/>
          <w:bCs w:val="0"/>
          <w:kern w:val="21"/>
          <w:sz w:val="24"/>
          <w:szCs w:val="24"/>
        </w:rPr>
        <w:t>第一章</w:t>
      </w:r>
      <w:r>
        <w:rPr>
          <w:rFonts w:hint="eastAsia" w:ascii="黑体" w:hAnsi="黑体" w:eastAsia="黑体" w:cs="黑体"/>
          <w:b w:val="0"/>
          <w:bCs w:val="0"/>
          <w:kern w:val="21"/>
          <w:sz w:val="24"/>
          <w:szCs w:val="24"/>
          <w:lang w:val="en-US" w:eastAsia="zh-CN"/>
        </w:rPr>
        <w:t xml:space="preserve"> </w:t>
      </w:r>
      <w:r>
        <w:rPr>
          <w:rFonts w:hint="eastAsia" w:ascii="黑体" w:hAnsi="黑体" w:eastAsia="黑体" w:cs="黑体"/>
          <w:b w:val="0"/>
          <w:bCs w:val="0"/>
          <w:kern w:val="21"/>
          <w:sz w:val="24"/>
          <w:szCs w:val="24"/>
        </w:rPr>
        <w:t xml:space="preserve"> 总</w:t>
      </w:r>
      <w:r>
        <w:rPr>
          <w:rFonts w:hint="eastAsia" w:ascii="黑体" w:hAnsi="黑体" w:eastAsia="黑体" w:cs="黑体"/>
          <w:b w:val="0"/>
          <w:bCs w:val="0"/>
          <w:kern w:val="21"/>
          <w:sz w:val="24"/>
          <w:szCs w:val="24"/>
          <w:lang w:val="en-US" w:eastAsia="zh-CN"/>
        </w:rPr>
        <w:t xml:space="preserve">    </w:t>
      </w:r>
      <w:r>
        <w:rPr>
          <w:rFonts w:hint="eastAsia" w:ascii="黑体" w:hAnsi="黑体" w:eastAsia="黑体" w:cs="黑体"/>
          <w:b w:val="0"/>
          <w:bCs w:val="0"/>
          <w:kern w:val="21"/>
          <w:sz w:val="24"/>
          <w:szCs w:val="24"/>
        </w:rPr>
        <w:t>则</w:t>
      </w:r>
    </w:p>
    <w:p w14:paraId="267030B4">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黑体" w:cs="宋体"/>
          <w:b w:val="0"/>
          <w:bCs w:val="0"/>
          <w:kern w:val="21"/>
          <w:sz w:val="24"/>
          <w:szCs w:val="24"/>
          <w:lang w:eastAsia="zh-CN"/>
        </w:rPr>
      </w:pPr>
    </w:p>
    <w:p w14:paraId="7F44F1F8">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第一条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为促进绿色产业发展，服务绿色实体经济，规范绿色融资企业及项目评估认定，促进深圳市绿色金融市场规范健康发展，根据《深圳经济特区绿色金融条例》《深圳市绿色融资主体库管理办法》等相关规定，制定本指引。</w:t>
      </w:r>
    </w:p>
    <w:p w14:paraId="48A171FC">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第二条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本指引适用于深圳市绿色融资企业及项目的评估认定工作。</w:t>
      </w:r>
    </w:p>
    <w:p w14:paraId="78AFF852">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绿色融资企业（项目）的评估认定，是指对企业（项目）的绿色特性开展认证、评级，发表认证或者评级结论，并出具绿色融资企业（项目）评估认定报告的行为。</w:t>
      </w:r>
    </w:p>
    <w:p w14:paraId="743E7641">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第三条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本指引所称绿色融资企业是指同时满足以下条件的企业：</w:t>
      </w:r>
    </w:p>
    <w:p w14:paraId="1D002ADA">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（一）符合本指引</w:t>
      </w:r>
      <w:r>
        <w:rPr>
          <w:rFonts w:hint="eastAsia" w:ascii="宋体" w:hAnsi="宋体" w:eastAsia="宋体" w:cs="宋体"/>
          <w:b w:val="0"/>
          <w:bCs w:val="0"/>
          <w:kern w:val="21"/>
          <w:sz w:val="24"/>
          <w:szCs w:val="24"/>
          <w:lang w:eastAsia="zh-CN"/>
        </w:rPr>
        <w:t>第五条</w:t>
      </w:r>
      <w:r>
        <w:rPr>
          <w:rFonts w:hint="eastAsia" w:ascii="宋体" w:hAnsi="宋体" w:eastAsia="宋体" w:cs="宋体"/>
          <w:b w:val="0"/>
          <w:bCs w:val="0"/>
          <w:kern w:val="21"/>
          <w:sz w:val="24"/>
          <w:szCs w:val="24"/>
        </w:rPr>
        <w:t>规定的基本要求；</w:t>
      </w:r>
    </w:p>
    <w:p w14:paraId="3400274D">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二）属于以下两种类型的企业之一：从事应对气候变化、环境改善、资源节约高效利用和生态系统保护等绿色经营活动的企业，或者属于《深圳市人民政府关于发展壮大战略性新兴产业集群和培育发展未来产业的意见》中规定的战略性新兴产业及未来产业（以下统称“20</w:t>
      </w:r>
      <w:r>
        <w:rPr>
          <w:rFonts w:hint="eastAsia" w:ascii="宋体" w:hAnsi="宋体" w:cs="宋体"/>
          <w:b w:val="0"/>
          <w:bCs w:val="0"/>
          <w:kern w:val="21"/>
          <w:sz w:val="24"/>
          <w:szCs w:val="24"/>
          <w:lang w:eastAsia="zh-CN"/>
        </w:rPr>
        <w:t>＋</w:t>
      </w:r>
      <w:r>
        <w:rPr>
          <w:rFonts w:hint="eastAsia" w:ascii="宋体" w:hAnsi="宋体" w:eastAsia="宋体" w:cs="宋体"/>
          <w:b w:val="0"/>
          <w:bCs w:val="0"/>
          <w:kern w:val="21"/>
          <w:sz w:val="24"/>
          <w:szCs w:val="24"/>
        </w:rPr>
        <w:t>8”产业）且碳绩效符合本指引要求的企业；</w:t>
      </w:r>
    </w:p>
    <w:p w14:paraId="642342B4">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（三）有融资需求。</w:t>
      </w:r>
    </w:p>
    <w:p w14:paraId="22370CB7">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第四条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本指引所称绿色融资项目是指满足本指引</w:t>
      </w:r>
      <w:r>
        <w:rPr>
          <w:rFonts w:hint="eastAsia" w:ascii="宋体" w:hAnsi="宋体" w:eastAsia="宋体" w:cs="宋体"/>
          <w:b w:val="0"/>
          <w:bCs w:val="0"/>
          <w:kern w:val="21"/>
          <w:sz w:val="24"/>
          <w:szCs w:val="24"/>
          <w:lang w:eastAsia="zh-CN"/>
        </w:rPr>
        <w:t>第八条</w:t>
      </w:r>
      <w:r>
        <w:rPr>
          <w:rFonts w:hint="eastAsia" w:ascii="宋体" w:hAnsi="宋体" w:eastAsia="宋体" w:cs="宋体"/>
          <w:b w:val="0"/>
          <w:bCs w:val="0"/>
          <w:kern w:val="21"/>
          <w:sz w:val="24"/>
          <w:szCs w:val="24"/>
        </w:rPr>
        <w:t>规定的基本要求、符合国家最新版绿色产业指导目录或者绿色债券支持项目目录规定且有融资需求的项目。</w:t>
      </w:r>
    </w:p>
    <w:p w14:paraId="5C1217C1">
      <w:pPr>
        <w:keepNext w:val="0"/>
        <w:keepLines w:val="0"/>
        <w:pageBreakBefore w:val="0"/>
        <w:widowControl w:val="0"/>
        <w:kinsoku/>
        <w:wordWrap/>
        <w:overflowPunct/>
        <w:topLinePunct w:val="0"/>
        <w:autoSpaceDE/>
        <w:autoSpaceDN/>
        <w:bidi w:val="0"/>
        <w:adjustRightInd/>
        <w:snapToGrid/>
        <w:spacing w:line="404" w:lineRule="atLeast"/>
        <w:ind w:left="0" w:firstLine="0" w:firstLineChars="0"/>
        <w:jc w:val="center"/>
        <w:textAlignment w:val="auto"/>
        <w:outlineLvl w:val="9"/>
        <w:rPr>
          <w:rFonts w:hint="eastAsia" w:ascii="黑体" w:hAnsi="黑体" w:eastAsia="黑体" w:cs="黑体"/>
          <w:b w:val="0"/>
          <w:bCs w:val="0"/>
          <w:kern w:val="21"/>
          <w:sz w:val="24"/>
          <w:szCs w:val="24"/>
        </w:rPr>
      </w:pPr>
    </w:p>
    <w:p w14:paraId="1C19A5CF">
      <w:pPr>
        <w:keepNext w:val="0"/>
        <w:keepLines w:val="0"/>
        <w:pageBreakBefore w:val="0"/>
        <w:widowControl w:val="0"/>
        <w:kinsoku/>
        <w:wordWrap/>
        <w:overflowPunct/>
        <w:topLinePunct w:val="0"/>
        <w:autoSpaceDE/>
        <w:autoSpaceDN/>
        <w:bidi w:val="0"/>
        <w:adjustRightInd/>
        <w:snapToGrid/>
        <w:spacing w:line="404" w:lineRule="atLeast"/>
        <w:ind w:left="0" w:firstLine="0" w:firstLineChars="0"/>
        <w:jc w:val="center"/>
        <w:textAlignment w:val="auto"/>
        <w:outlineLvl w:val="9"/>
        <w:rPr>
          <w:rFonts w:hint="eastAsia" w:ascii="黑体" w:hAnsi="黑体" w:eastAsia="黑体" w:cs="黑体"/>
          <w:b w:val="0"/>
          <w:bCs w:val="0"/>
          <w:kern w:val="21"/>
          <w:sz w:val="24"/>
          <w:szCs w:val="24"/>
        </w:rPr>
      </w:pPr>
      <w:r>
        <w:rPr>
          <w:rFonts w:hint="eastAsia" w:ascii="黑体" w:hAnsi="黑体" w:eastAsia="黑体" w:cs="黑体"/>
          <w:b w:val="0"/>
          <w:bCs w:val="0"/>
          <w:kern w:val="21"/>
          <w:sz w:val="24"/>
          <w:szCs w:val="24"/>
        </w:rPr>
        <w:t xml:space="preserve">第二章 </w:t>
      </w:r>
      <w:r>
        <w:rPr>
          <w:rFonts w:hint="eastAsia" w:ascii="黑体" w:hAnsi="黑体" w:eastAsia="黑体" w:cs="黑体"/>
          <w:b w:val="0"/>
          <w:bCs w:val="0"/>
          <w:kern w:val="21"/>
          <w:sz w:val="24"/>
          <w:szCs w:val="24"/>
          <w:lang w:val="en-US" w:eastAsia="zh-CN"/>
        </w:rPr>
        <w:t xml:space="preserve"> </w:t>
      </w:r>
      <w:r>
        <w:rPr>
          <w:rFonts w:hint="eastAsia" w:ascii="黑体" w:hAnsi="黑体" w:eastAsia="黑体" w:cs="黑体"/>
          <w:b w:val="0"/>
          <w:bCs w:val="0"/>
          <w:kern w:val="21"/>
          <w:sz w:val="24"/>
          <w:szCs w:val="24"/>
        </w:rPr>
        <w:t>绿色融资企业评估认定</w:t>
      </w:r>
    </w:p>
    <w:p w14:paraId="17404A04">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黑体" w:cs="宋体"/>
          <w:b w:val="0"/>
          <w:bCs w:val="0"/>
          <w:kern w:val="21"/>
          <w:sz w:val="24"/>
          <w:szCs w:val="24"/>
          <w:lang w:eastAsia="zh-CN"/>
        </w:rPr>
      </w:pPr>
    </w:p>
    <w:p w14:paraId="237FF9DC">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第五条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申请绿色融资企业认定的企业应当同时符合以下条件：</w:t>
      </w:r>
    </w:p>
    <w:p w14:paraId="7DB01A36">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（一）企业依法在深圳设立，证照齐全，且存续期满一年；</w:t>
      </w:r>
    </w:p>
    <w:p w14:paraId="293D3011">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（二）企业信用记录良好，近三年未被评为环保不良企业（红牌）；</w:t>
      </w:r>
    </w:p>
    <w:p w14:paraId="6261A8EC">
      <w:pPr>
        <w:keepNext w:val="0"/>
        <w:keepLines w:val="0"/>
        <w:pageBreakBefore w:val="0"/>
        <w:widowControl w:val="0"/>
        <w:kinsoku/>
        <w:wordWrap/>
        <w:overflowPunct/>
        <w:topLinePunct w:val="0"/>
        <w:autoSpaceDE/>
        <w:autoSpaceDN/>
        <w:bidi w:val="0"/>
        <w:adjustRightInd/>
        <w:snapToGrid/>
        <w:spacing w:line="404"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三）近三年无环境、质量、安全生产等领域严重违法行为，包括因生态环境违法行为被追究刑事责任，或者被依法处以十万元以上罚款、实施按日连续处罚、实施限制生产、停产停业、吊销生态环境相关许可证件，或者因生态环境违法行为其法定代表人、主要负责人、直接负责的主管人员或者其他直接责任人员被依法处以行政拘留的；</w:t>
      </w:r>
    </w:p>
    <w:p w14:paraId="3B0E8F08">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（四）企业经营业务符合国家、广东省及深圳市产业政策，不应从事属于国家、广东省及深圳市产业政策列明的淘汰类活动，不使用国家、广东省及深圳市限制或者淘汰的技术、设备以及产品；</w:t>
      </w:r>
    </w:p>
    <w:p w14:paraId="17053F88">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（五）纳入环境信息依法披露名单的企业按照《企业环境信息依法披露管理办法》等要求依法披露环境信息。</w:t>
      </w:r>
    </w:p>
    <w:p w14:paraId="446CF63E">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第六条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满足</w:t>
      </w:r>
      <w:r>
        <w:rPr>
          <w:rFonts w:hint="eastAsia" w:ascii="宋体" w:hAnsi="宋体" w:eastAsia="宋体" w:cs="宋体"/>
          <w:b w:val="0"/>
          <w:bCs w:val="0"/>
          <w:kern w:val="21"/>
          <w:sz w:val="24"/>
          <w:szCs w:val="24"/>
          <w:lang w:eastAsia="zh-CN"/>
        </w:rPr>
        <w:t>第五条</w:t>
      </w:r>
      <w:r>
        <w:rPr>
          <w:rFonts w:hint="eastAsia" w:ascii="宋体" w:hAnsi="宋体" w:eastAsia="宋体" w:cs="宋体"/>
          <w:b w:val="0"/>
          <w:bCs w:val="0"/>
          <w:kern w:val="21"/>
          <w:sz w:val="24"/>
          <w:szCs w:val="24"/>
        </w:rPr>
        <w:t>要求的企业，由管理机构委托第三方服务机构对其进行绿色等级初步评估认定，评估内容包括：</w:t>
      </w:r>
    </w:p>
    <w:p w14:paraId="31B833CD">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（一）绿色收入占比；</w:t>
      </w:r>
    </w:p>
    <w:p w14:paraId="3CFD9686">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（二）气候投融资项目收入占比；</w:t>
      </w:r>
    </w:p>
    <w:p w14:paraId="368000A9">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（三）“20</w:t>
      </w:r>
      <w:r>
        <w:rPr>
          <w:rFonts w:hint="eastAsia" w:ascii="宋体" w:hAnsi="宋体" w:cs="宋体"/>
          <w:b w:val="0"/>
          <w:bCs w:val="0"/>
          <w:kern w:val="21"/>
          <w:sz w:val="24"/>
          <w:szCs w:val="24"/>
          <w:lang w:eastAsia="zh-CN"/>
        </w:rPr>
        <w:t>＋</w:t>
      </w:r>
      <w:r>
        <w:rPr>
          <w:rFonts w:hint="eastAsia" w:ascii="宋体" w:hAnsi="宋体" w:eastAsia="宋体" w:cs="宋体"/>
          <w:b w:val="0"/>
          <w:bCs w:val="0"/>
          <w:kern w:val="21"/>
          <w:sz w:val="24"/>
          <w:szCs w:val="24"/>
        </w:rPr>
        <w:t>8”产业主营业务收入占比；</w:t>
      </w:r>
    </w:p>
    <w:p w14:paraId="275CD140">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（四）碳绩效表现。</w:t>
      </w:r>
    </w:p>
    <w:p w14:paraId="0D697750">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具体按照附表《深圳市绿色融资企业评估认定条件及等级划分》进行评估认定。</w:t>
      </w:r>
    </w:p>
    <w:p w14:paraId="432C4CE9">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第七条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依据本指引认定的绿色融资企业进入绿色融资主体库，按照其绿色表现由高到低分为“深绿”（G-1）及“绿色”（G-2）两个等级。</w:t>
      </w:r>
    </w:p>
    <w:p w14:paraId="2881F063">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p>
    <w:p w14:paraId="65DDF242">
      <w:pPr>
        <w:keepNext w:val="0"/>
        <w:keepLines w:val="0"/>
        <w:pageBreakBefore w:val="0"/>
        <w:widowControl w:val="0"/>
        <w:kinsoku/>
        <w:wordWrap/>
        <w:overflowPunct/>
        <w:topLinePunct w:val="0"/>
        <w:autoSpaceDE/>
        <w:autoSpaceDN/>
        <w:bidi w:val="0"/>
        <w:adjustRightInd/>
        <w:snapToGrid/>
        <w:spacing w:line="396" w:lineRule="atLeast"/>
        <w:ind w:left="0" w:firstLine="0" w:firstLineChars="0"/>
        <w:jc w:val="center"/>
        <w:textAlignment w:val="auto"/>
        <w:outlineLvl w:val="9"/>
        <w:rPr>
          <w:rFonts w:hint="eastAsia" w:ascii="黑体" w:hAnsi="黑体" w:eastAsia="黑体" w:cs="黑体"/>
          <w:b w:val="0"/>
          <w:bCs w:val="0"/>
          <w:kern w:val="21"/>
          <w:sz w:val="24"/>
          <w:szCs w:val="24"/>
        </w:rPr>
      </w:pPr>
      <w:r>
        <w:rPr>
          <w:rFonts w:hint="eastAsia" w:ascii="黑体" w:hAnsi="黑体" w:eastAsia="黑体" w:cs="黑体"/>
          <w:b w:val="0"/>
          <w:bCs w:val="0"/>
          <w:kern w:val="21"/>
          <w:sz w:val="24"/>
          <w:szCs w:val="24"/>
        </w:rPr>
        <w:t>第三章</w:t>
      </w:r>
      <w:r>
        <w:rPr>
          <w:rFonts w:hint="eastAsia" w:ascii="黑体" w:hAnsi="黑体" w:eastAsia="黑体" w:cs="黑体"/>
          <w:b w:val="0"/>
          <w:bCs w:val="0"/>
          <w:kern w:val="21"/>
          <w:sz w:val="24"/>
          <w:szCs w:val="24"/>
          <w:lang w:val="en-US" w:eastAsia="zh-CN"/>
        </w:rPr>
        <w:t xml:space="preserve">  </w:t>
      </w:r>
      <w:r>
        <w:rPr>
          <w:rFonts w:hint="eastAsia" w:ascii="黑体" w:hAnsi="黑体" w:eastAsia="黑体" w:cs="黑体"/>
          <w:b w:val="0"/>
          <w:bCs w:val="0"/>
          <w:kern w:val="21"/>
          <w:sz w:val="24"/>
          <w:szCs w:val="24"/>
        </w:rPr>
        <w:t>绿色融资项目评估认定</w:t>
      </w:r>
    </w:p>
    <w:p w14:paraId="3C6C56B5">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黑体" w:cs="宋体"/>
          <w:b w:val="0"/>
          <w:bCs w:val="0"/>
          <w:kern w:val="21"/>
          <w:sz w:val="24"/>
          <w:szCs w:val="24"/>
          <w:lang w:eastAsia="zh-CN"/>
        </w:rPr>
      </w:pPr>
    </w:p>
    <w:p w14:paraId="1145265A">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第八条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申请绿色融资项目认定的项目及其业主单位应当同时符合以下条件：</w:t>
      </w:r>
    </w:p>
    <w:p w14:paraId="6A8EEA9E">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（一）项目业主或者项目业主总部机构依法设立，证照齐全；</w:t>
      </w:r>
    </w:p>
    <w:p w14:paraId="17524B49">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（二）项目业主信用记录良好，近三年未被评为环保不良企业（红牌）；</w:t>
      </w:r>
    </w:p>
    <w:p w14:paraId="7E2B933C">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三）项目业主或者项目业主总部机构在建设和生产过程中遵守有关法律、法规、政策和标准，近三年无环境、质量、安全生产等领域严重违法行为，包括因生态环境违法行为被追究刑事责任，或者被依法处以十万元以上罚款、实施按日连续处罚、实施限制生产、停产整治、吊销生态环境相关许可证件，或者因生态环境违法行为其法定代表人、主要负责人、直接负责的主管人员或者其他直接责任人员被依法处以行政拘留的；</w:t>
      </w:r>
    </w:p>
    <w:p w14:paraId="069B54E5">
      <w:pPr>
        <w:keepNext w:val="0"/>
        <w:keepLines w:val="0"/>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（四）项目符合国家、地方、行业相关规划、政策、标准等一般性项目建设要求，且不属于国家、广东省和深圳市明令淘汰类、限制类以及其他相关主管部门要求的限制产能；</w:t>
      </w:r>
    </w:p>
    <w:p w14:paraId="4701145C">
      <w:pPr>
        <w:keepNext w:val="0"/>
        <w:keepLines w:val="0"/>
        <w:pageBreakBefore w:val="0"/>
        <w:widowControl w:val="0"/>
        <w:kinsoku/>
        <w:wordWrap/>
        <w:overflowPunct/>
        <w:topLinePunct w:val="0"/>
        <w:autoSpaceDE/>
        <w:autoSpaceDN/>
        <w:bidi w:val="0"/>
        <w:adjustRightInd/>
        <w:snapToGrid/>
        <w:spacing w:line="410"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rPr>
        <w:t>（五）纳入环境信息依法披露名单的项目业主应当按照《企业环境信息依法披露管理办法》等要求依法披露环境信息。</w:t>
      </w:r>
    </w:p>
    <w:p w14:paraId="79EAF34D">
      <w:pPr>
        <w:keepNext w:val="0"/>
        <w:keepLines w:val="0"/>
        <w:pageBreakBefore w:val="0"/>
        <w:widowControl w:val="0"/>
        <w:kinsoku/>
        <w:wordWrap/>
        <w:overflowPunct/>
        <w:topLinePunct w:val="0"/>
        <w:autoSpaceDE/>
        <w:autoSpaceDN/>
        <w:bidi w:val="0"/>
        <w:adjustRightInd/>
        <w:snapToGrid/>
        <w:spacing w:line="410"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第九条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满足</w:t>
      </w:r>
      <w:r>
        <w:rPr>
          <w:rFonts w:hint="eastAsia" w:ascii="宋体" w:hAnsi="宋体" w:eastAsia="宋体" w:cs="宋体"/>
          <w:b w:val="0"/>
          <w:bCs w:val="0"/>
          <w:kern w:val="21"/>
          <w:sz w:val="24"/>
          <w:szCs w:val="24"/>
          <w:lang w:eastAsia="zh-CN"/>
        </w:rPr>
        <w:t>第八条</w:t>
      </w:r>
      <w:r>
        <w:rPr>
          <w:rFonts w:hint="eastAsia" w:ascii="宋体" w:hAnsi="宋体" w:eastAsia="宋体" w:cs="宋体"/>
          <w:b w:val="0"/>
          <w:bCs w:val="0"/>
          <w:kern w:val="21"/>
          <w:sz w:val="24"/>
          <w:szCs w:val="24"/>
        </w:rPr>
        <w:t>要求的项目，管理机构委托第三方服务机构对其进行绿色资质的初步评估认定，评估内容包括项目是否符合国家最新版绿色产业指导目录、绿色债券支持项目目录、绿色融资统计制度所列项目范围及相关标准要求。</w:t>
      </w:r>
    </w:p>
    <w:p w14:paraId="319C14BA">
      <w:pPr>
        <w:keepNext w:val="0"/>
        <w:keepLines w:val="0"/>
        <w:pageBreakBefore w:val="0"/>
        <w:widowControl w:val="0"/>
        <w:kinsoku/>
        <w:wordWrap/>
        <w:overflowPunct/>
        <w:topLinePunct w:val="0"/>
        <w:autoSpaceDE/>
        <w:autoSpaceDN/>
        <w:bidi w:val="0"/>
        <w:adjustRightInd/>
        <w:snapToGrid/>
        <w:spacing w:line="410" w:lineRule="atLeast"/>
        <w:ind w:left="0" w:firstLine="480" w:firstLineChars="200"/>
        <w:jc w:val="both"/>
        <w:textAlignment w:val="auto"/>
        <w:outlineLvl w:val="9"/>
        <w:rPr>
          <w:rFonts w:hint="eastAsia" w:ascii="宋体" w:hAnsi="宋体" w:eastAsia="宋体" w:cs="宋体"/>
          <w:b w:val="0"/>
          <w:bCs w:val="0"/>
          <w:kern w:val="21"/>
          <w:sz w:val="24"/>
          <w:szCs w:val="24"/>
        </w:rPr>
      </w:pPr>
      <w:r>
        <w:rPr>
          <w:rFonts w:hint="eastAsia" w:ascii="宋体" w:hAnsi="宋体" w:eastAsia="黑体" w:cs="宋体"/>
          <w:b w:val="0"/>
          <w:bCs w:val="0"/>
          <w:kern w:val="21"/>
          <w:sz w:val="24"/>
          <w:szCs w:val="24"/>
          <w:lang w:eastAsia="zh-CN"/>
        </w:rPr>
        <w:t>第十条</w:t>
      </w:r>
      <w:r>
        <w:rPr>
          <w:rFonts w:hint="eastAsia" w:ascii="宋体" w:hAnsi="宋体" w:cs="宋体"/>
          <w:b w:val="0"/>
          <w:bCs w:val="0"/>
          <w:kern w:val="21"/>
          <w:sz w:val="24"/>
          <w:szCs w:val="24"/>
          <w:lang w:eastAsia="zh-CN"/>
        </w:rPr>
        <w:t xml:space="preserve">  </w:t>
      </w:r>
      <w:r>
        <w:rPr>
          <w:rFonts w:hint="eastAsia" w:ascii="宋体" w:hAnsi="宋体" w:eastAsia="宋体" w:cs="宋体"/>
          <w:b w:val="0"/>
          <w:bCs w:val="0"/>
          <w:kern w:val="21"/>
          <w:sz w:val="24"/>
          <w:szCs w:val="24"/>
        </w:rPr>
        <w:t>依据本指引认定的绿色融资项目进入绿色融资主体库。</w:t>
      </w:r>
    </w:p>
    <w:p w14:paraId="5D17349C">
      <w:pPr>
        <w:keepNext w:val="0"/>
        <w:keepLines w:val="0"/>
        <w:pageBreakBefore w:val="0"/>
        <w:widowControl w:val="0"/>
        <w:kinsoku/>
        <w:wordWrap/>
        <w:overflowPunct/>
        <w:topLinePunct w:val="0"/>
        <w:autoSpaceDE/>
        <w:autoSpaceDN/>
        <w:bidi w:val="0"/>
        <w:adjustRightInd/>
        <w:snapToGrid/>
        <w:spacing w:line="410" w:lineRule="atLeast"/>
        <w:ind w:left="0" w:firstLine="480" w:firstLineChars="200"/>
        <w:jc w:val="both"/>
        <w:textAlignment w:val="auto"/>
        <w:outlineLvl w:val="9"/>
        <w:rPr>
          <w:rFonts w:hint="eastAsia" w:ascii="宋体" w:hAnsi="宋体" w:eastAsia="宋体" w:cs="宋体"/>
          <w:b w:val="0"/>
          <w:bCs w:val="0"/>
          <w:kern w:val="21"/>
          <w:sz w:val="24"/>
          <w:szCs w:val="24"/>
        </w:rPr>
      </w:pPr>
    </w:p>
    <w:p w14:paraId="019E3E91">
      <w:pPr>
        <w:keepNext w:val="0"/>
        <w:keepLines w:val="0"/>
        <w:pageBreakBefore w:val="0"/>
        <w:widowControl w:val="0"/>
        <w:kinsoku/>
        <w:wordWrap/>
        <w:overflowPunct/>
        <w:topLinePunct w:val="0"/>
        <w:autoSpaceDE/>
        <w:autoSpaceDN/>
        <w:bidi w:val="0"/>
        <w:adjustRightInd/>
        <w:snapToGrid/>
        <w:spacing w:line="410" w:lineRule="atLeast"/>
        <w:ind w:left="0" w:firstLine="480" w:firstLineChars="200"/>
        <w:jc w:val="both"/>
        <w:textAlignment w:val="auto"/>
        <w:outlineLvl w:val="9"/>
        <w:rPr>
          <w:rFonts w:hint="eastAsia" w:ascii="宋体" w:hAnsi="宋体" w:eastAsia="宋体" w:cs="宋体"/>
          <w:b w:val="0"/>
          <w:bCs w:val="0"/>
          <w:kern w:val="21"/>
          <w:sz w:val="24"/>
          <w:szCs w:val="24"/>
        </w:rPr>
      </w:pPr>
    </w:p>
    <w:p w14:paraId="7CFBBEFB">
      <w:pPr>
        <w:keepNext w:val="0"/>
        <w:keepLines w:val="0"/>
        <w:pageBreakBefore w:val="0"/>
        <w:widowControl w:val="0"/>
        <w:kinsoku/>
        <w:wordWrap/>
        <w:overflowPunct/>
        <w:topLinePunct w:val="0"/>
        <w:autoSpaceDE/>
        <w:autoSpaceDN/>
        <w:bidi w:val="0"/>
        <w:adjustRightInd/>
        <w:snapToGrid/>
        <w:spacing w:line="410" w:lineRule="atLeast"/>
        <w:ind w:left="0" w:firstLine="480" w:firstLineChars="200"/>
        <w:jc w:val="both"/>
        <w:textAlignment w:val="auto"/>
        <w:outlineLvl w:val="9"/>
        <w:rPr>
          <w:rFonts w:hint="eastAsia" w:ascii="宋体" w:hAnsi="宋体" w:eastAsia="宋体" w:cs="宋体"/>
          <w:b w:val="0"/>
          <w:bCs w:val="0"/>
          <w:kern w:val="21"/>
          <w:sz w:val="24"/>
          <w:szCs w:val="24"/>
        </w:rPr>
      </w:pPr>
    </w:p>
    <w:p w14:paraId="075856B3">
      <w:pPr>
        <w:keepNext w:val="0"/>
        <w:keepLines w:val="0"/>
        <w:pageBreakBefore w:val="0"/>
        <w:widowControl w:val="0"/>
        <w:kinsoku/>
        <w:wordWrap/>
        <w:overflowPunct/>
        <w:topLinePunct w:val="0"/>
        <w:autoSpaceDE/>
        <w:autoSpaceDN/>
        <w:bidi w:val="0"/>
        <w:adjustRightInd/>
        <w:snapToGrid/>
        <w:spacing w:line="410" w:lineRule="atLeast"/>
        <w:ind w:left="0" w:firstLine="480" w:firstLineChars="200"/>
        <w:jc w:val="both"/>
        <w:textAlignment w:val="auto"/>
        <w:outlineLvl w:val="9"/>
        <w:rPr>
          <w:rFonts w:hint="eastAsia" w:ascii="宋体" w:hAnsi="宋体" w:eastAsia="宋体" w:cs="宋体"/>
          <w:b w:val="0"/>
          <w:bCs w:val="0"/>
          <w:kern w:val="21"/>
          <w:sz w:val="24"/>
          <w:szCs w:val="24"/>
          <w:lang w:val="en-US"/>
        </w:rPr>
      </w:pPr>
    </w:p>
    <w:p w14:paraId="60E9963A">
      <w:pPr>
        <w:pStyle w:val="3"/>
        <w:keepNext w:val="0"/>
        <w:keepLines w:val="0"/>
        <w:pageBreakBefore w:val="0"/>
        <w:widowControl w:val="0"/>
        <w:kinsoku/>
        <w:wordWrap/>
        <w:overflowPunct/>
        <w:topLinePunct w:val="0"/>
        <w:autoSpaceDE/>
        <w:autoSpaceDN/>
        <w:bidi w:val="0"/>
        <w:adjustRightInd/>
        <w:snapToGrid/>
        <w:spacing w:line="410" w:lineRule="atLeast"/>
        <w:ind w:left="0" w:firstLine="0" w:firstLineChars="0"/>
        <w:jc w:val="both"/>
        <w:textAlignment w:val="auto"/>
        <w:outlineLvl w:val="9"/>
        <w:rPr>
          <w:rStyle w:val="6"/>
          <w:rFonts w:hint="eastAsia" w:ascii="宋体" w:hAnsi="宋体" w:eastAsia="宋体" w:cs="宋体"/>
          <w:b w:val="0"/>
          <w:bCs w:val="0"/>
          <w:kern w:val="21"/>
          <w:sz w:val="24"/>
          <w:szCs w:val="24"/>
          <w:lang w:val="en-US"/>
        </w:rPr>
      </w:pPr>
      <w:r>
        <w:rPr>
          <w:rStyle w:val="6"/>
          <w:rFonts w:hint="eastAsia" w:ascii="宋体" w:hAnsi="宋体" w:eastAsia="宋体" w:cs="宋体"/>
          <w:b w:val="0"/>
          <w:bCs w:val="0"/>
          <w:kern w:val="21"/>
          <w:sz w:val="24"/>
          <w:szCs w:val="24"/>
          <w:lang w:val="en-US"/>
        </w:rPr>
        <w:t>附表1-1</w:t>
      </w:r>
    </w:p>
    <w:p w14:paraId="3A858354">
      <w:pPr>
        <w:pStyle w:val="3"/>
        <w:keepNext w:val="0"/>
        <w:keepLines w:val="0"/>
        <w:pageBreakBefore w:val="0"/>
        <w:widowControl w:val="0"/>
        <w:kinsoku/>
        <w:wordWrap/>
        <w:overflowPunct/>
        <w:topLinePunct w:val="0"/>
        <w:autoSpaceDE/>
        <w:autoSpaceDN/>
        <w:bidi w:val="0"/>
        <w:adjustRightInd/>
        <w:snapToGrid/>
        <w:spacing w:line="0" w:lineRule="atLeast"/>
        <w:ind w:left="0" w:firstLine="0" w:firstLineChars="0"/>
        <w:jc w:val="center"/>
        <w:textAlignment w:val="auto"/>
        <w:outlineLvl w:val="9"/>
        <w:rPr>
          <w:rStyle w:val="6"/>
          <w:rFonts w:hint="eastAsia" w:ascii="宋体" w:hAnsi="宋体" w:eastAsia="宋体" w:cs="宋体"/>
          <w:b w:val="0"/>
          <w:bCs w:val="0"/>
          <w:kern w:val="21"/>
          <w:sz w:val="36"/>
          <w:szCs w:val="36"/>
          <w:lang w:val="en-US"/>
        </w:rPr>
      </w:pPr>
      <w:r>
        <w:rPr>
          <w:rStyle w:val="6"/>
          <w:rFonts w:hint="eastAsia" w:ascii="宋体" w:hAnsi="宋体" w:eastAsia="宋体" w:cs="宋体"/>
          <w:b w:val="0"/>
          <w:bCs w:val="0"/>
          <w:kern w:val="21"/>
          <w:sz w:val="36"/>
          <w:szCs w:val="36"/>
          <w:lang w:val="en-US"/>
        </w:rPr>
        <w:t>深圳市绿色融资企业评估认定</w:t>
      </w:r>
    </w:p>
    <w:p w14:paraId="01CD7A03">
      <w:pPr>
        <w:pStyle w:val="3"/>
        <w:keepNext w:val="0"/>
        <w:keepLines w:val="0"/>
        <w:pageBreakBefore w:val="0"/>
        <w:widowControl w:val="0"/>
        <w:kinsoku/>
        <w:wordWrap/>
        <w:overflowPunct/>
        <w:topLinePunct w:val="0"/>
        <w:autoSpaceDE/>
        <w:autoSpaceDN/>
        <w:bidi w:val="0"/>
        <w:adjustRightInd/>
        <w:snapToGrid/>
        <w:spacing w:after="157" w:afterLines="50" w:line="0" w:lineRule="atLeast"/>
        <w:ind w:left="0" w:firstLine="0" w:firstLineChars="0"/>
        <w:jc w:val="center"/>
        <w:textAlignment w:val="auto"/>
        <w:outlineLvl w:val="9"/>
        <w:rPr>
          <w:rStyle w:val="6"/>
          <w:rFonts w:hint="eastAsia" w:ascii="宋体" w:hAnsi="宋体" w:eastAsia="宋体" w:cs="宋体"/>
          <w:b w:val="0"/>
          <w:bCs w:val="0"/>
          <w:kern w:val="21"/>
          <w:sz w:val="36"/>
          <w:szCs w:val="36"/>
          <w:lang w:val="en-US"/>
        </w:rPr>
      </w:pPr>
      <w:r>
        <w:rPr>
          <w:rStyle w:val="6"/>
          <w:rFonts w:hint="eastAsia" w:ascii="宋体" w:hAnsi="宋体" w:eastAsia="宋体" w:cs="宋体"/>
          <w:b w:val="0"/>
          <w:bCs w:val="0"/>
          <w:kern w:val="21"/>
          <w:sz w:val="36"/>
          <w:szCs w:val="36"/>
          <w:lang w:val="en-US"/>
        </w:rPr>
        <w:t>条件及等级划分</w:t>
      </w:r>
    </w:p>
    <w:tbl>
      <w:tblPr>
        <w:tblStyle w:val="5"/>
        <w:tblW w:w="49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43"/>
        <w:gridCol w:w="949"/>
        <w:gridCol w:w="6909"/>
        <w:gridCol w:w="535"/>
      </w:tblGrid>
      <w:tr w14:paraId="425B7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3" w:type="pct"/>
            <w:tcBorders>
              <w:tl2br w:val="nil"/>
              <w:tr2bl w:val="nil"/>
            </w:tcBorders>
            <w:noWrap w:val="0"/>
            <w:vAlign w:val="center"/>
          </w:tcPr>
          <w:p w14:paraId="164CE293">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黑体" w:hAnsi="黑体" w:eastAsia="黑体" w:cs="黑体"/>
                <w:b w:val="0"/>
                <w:bCs w:val="0"/>
                <w:kern w:val="21"/>
                <w:sz w:val="21"/>
                <w:szCs w:val="21"/>
                <w:lang w:val="en-GB"/>
              </w:rPr>
            </w:pPr>
            <w:r>
              <w:rPr>
                <w:rStyle w:val="6"/>
                <w:rFonts w:hint="eastAsia" w:ascii="黑体" w:hAnsi="黑体" w:eastAsia="黑体" w:cs="黑体"/>
                <w:b w:val="0"/>
                <w:bCs w:val="0"/>
                <w:kern w:val="21"/>
                <w:sz w:val="21"/>
                <w:szCs w:val="21"/>
                <w:lang w:val="en-GB"/>
              </w:rPr>
              <w:t>序号</w:t>
            </w:r>
          </w:p>
        </w:tc>
        <w:tc>
          <w:tcPr>
            <w:tcW w:w="530" w:type="pct"/>
            <w:tcBorders>
              <w:tl2br w:val="nil"/>
              <w:tr2bl w:val="nil"/>
            </w:tcBorders>
            <w:noWrap w:val="0"/>
            <w:vAlign w:val="center"/>
          </w:tcPr>
          <w:p w14:paraId="0E0BF6BE">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黑体" w:hAnsi="黑体" w:eastAsia="黑体" w:cs="黑体"/>
                <w:b w:val="0"/>
                <w:bCs w:val="0"/>
                <w:kern w:val="21"/>
                <w:sz w:val="21"/>
                <w:szCs w:val="21"/>
                <w:lang w:val="en-GB"/>
              </w:rPr>
            </w:pPr>
            <w:r>
              <w:rPr>
                <w:rStyle w:val="6"/>
                <w:rFonts w:hint="eastAsia" w:ascii="黑体" w:hAnsi="黑体" w:eastAsia="黑体" w:cs="黑体"/>
                <w:b w:val="0"/>
                <w:bCs w:val="0"/>
                <w:kern w:val="21"/>
                <w:sz w:val="21"/>
                <w:szCs w:val="21"/>
                <w:lang w:val="en-US"/>
              </w:rPr>
              <w:t>企业类别</w:t>
            </w:r>
          </w:p>
        </w:tc>
        <w:tc>
          <w:tcPr>
            <w:tcW w:w="3865" w:type="pct"/>
            <w:tcBorders>
              <w:tl2br w:val="nil"/>
              <w:tr2bl w:val="nil"/>
            </w:tcBorders>
            <w:noWrap w:val="0"/>
            <w:vAlign w:val="center"/>
          </w:tcPr>
          <w:p w14:paraId="59BC56F0">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黑体" w:hAnsi="黑体" w:eastAsia="黑体" w:cs="黑体"/>
                <w:b w:val="0"/>
                <w:bCs w:val="0"/>
                <w:kern w:val="21"/>
                <w:sz w:val="21"/>
                <w:szCs w:val="21"/>
                <w:lang w:val="en-GB"/>
              </w:rPr>
            </w:pPr>
            <w:r>
              <w:rPr>
                <w:rStyle w:val="6"/>
                <w:rFonts w:hint="eastAsia" w:ascii="黑体" w:hAnsi="黑体" w:eastAsia="黑体" w:cs="黑体"/>
                <w:b w:val="0"/>
                <w:bCs w:val="0"/>
                <w:kern w:val="21"/>
                <w:sz w:val="21"/>
                <w:szCs w:val="21"/>
                <w:lang w:val="en-US"/>
              </w:rPr>
              <w:t>考核指标及</w:t>
            </w:r>
            <w:r>
              <w:rPr>
                <w:rStyle w:val="6"/>
                <w:rFonts w:hint="eastAsia" w:ascii="黑体" w:hAnsi="黑体" w:eastAsia="黑体" w:cs="黑体"/>
                <w:b w:val="0"/>
                <w:bCs w:val="0"/>
                <w:kern w:val="21"/>
                <w:sz w:val="21"/>
                <w:szCs w:val="21"/>
                <w:lang w:val="en-GB"/>
              </w:rPr>
              <w:t>企业表现</w:t>
            </w:r>
          </w:p>
        </w:tc>
        <w:tc>
          <w:tcPr>
            <w:tcW w:w="299" w:type="pct"/>
            <w:tcBorders>
              <w:tl2br w:val="nil"/>
              <w:tr2bl w:val="nil"/>
            </w:tcBorders>
            <w:noWrap w:val="0"/>
            <w:vAlign w:val="center"/>
          </w:tcPr>
          <w:p w14:paraId="2E77FD8A">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黑体" w:hAnsi="黑体" w:eastAsia="黑体" w:cs="黑体"/>
                <w:b w:val="0"/>
                <w:bCs w:val="0"/>
                <w:kern w:val="21"/>
                <w:sz w:val="21"/>
                <w:szCs w:val="21"/>
                <w:lang w:val="en-GB"/>
              </w:rPr>
            </w:pPr>
            <w:r>
              <w:rPr>
                <w:rStyle w:val="6"/>
                <w:rFonts w:hint="eastAsia" w:ascii="黑体" w:hAnsi="黑体" w:eastAsia="黑体" w:cs="黑体"/>
                <w:b w:val="0"/>
                <w:bCs w:val="0"/>
                <w:kern w:val="21"/>
                <w:sz w:val="21"/>
                <w:szCs w:val="21"/>
                <w:lang w:val="en-GB"/>
              </w:rPr>
              <w:t>等级</w:t>
            </w:r>
          </w:p>
        </w:tc>
      </w:tr>
      <w:tr w14:paraId="19616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3" w:type="pct"/>
            <w:tcBorders>
              <w:tl2br w:val="nil"/>
              <w:tr2bl w:val="nil"/>
            </w:tcBorders>
            <w:noWrap w:val="0"/>
            <w:vAlign w:val="center"/>
          </w:tcPr>
          <w:p w14:paraId="35F92123">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1</w:t>
            </w:r>
          </w:p>
        </w:tc>
        <w:tc>
          <w:tcPr>
            <w:tcW w:w="530" w:type="pct"/>
            <w:vMerge w:val="restart"/>
            <w:tcBorders>
              <w:tl2br w:val="nil"/>
              <w:tr2bl w:val="nil"/>
            </w:tcBorders>
            <w:noWrap w:val="0"/>
            <w:vAlign w:val="center"/>
          </w:tcPr>
          <w:p w14:paraId="35FCE2A1">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US"/>
              </w:rPr>
              <w:t>绿色产业企业</w:t>
            </w:r>
          </w:p>
        </w:tc>
        <w:tc>
          <w:tcPr>
            <w:tcW w:w="3865" w:type="pct"/>
            <w:tcBorders>
              <w:tl2br w:val="nil"/>
              <w:tr2bl w:val="nil"/>
            </w:tcBorders>
            <w:noWrap w:val="0"/>
            <w:vAlign w:val="center"/>
          </w:tcPr>
          <w:p w14:paraId="077D9DA9">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绿色产业的主营业务收入。若</w:t>
            </w:r>
            <w:r>
              <w:rPr>
                <w:rStyle w:val="6"/>
                <w:rFonts w:hint="eastAsia" w:ascii="宋体" w:hAnsi="宋体" w:eastAsia="宋体" w:cs="宋体"/>
                <w:b w:val="0"/>
                <w:bCs w:val="0"/>
                <w:kern w:val="21"/>
                <w:sz w:val="21"/>
                <w:szCs w:val="21"/>
                <w:lang w:val="en-GB"/>
              </w:rPr>
              <w:t>主营业务收入来自于《绿色</w:t>
            </w:r>
            <w:r>
              <w:rPr>
                <w:rStyle w:val="6"/>
                <w:rFonts w:hint="eastAsia" w:ascii="宋体" w:hAnsi="宋体" w:eastAsia="宋体" w:cs="宋体"/>
                <w:b w:val="0"/>
                <w:bCs w:val="0"/>
                <w:kern w:val="21"/>
                <w:sz w:val="21"/>
                <w:szCs w:val="21"/>
                <w:lang w:val="en-US"/>
              </w:rPr>
              <w:t>低碳转型</w:t>
            </w:r>
            <w:r>
              <w:rPr>
                <w:rStyle w:val="6"/>
                <w:rFonts w:hint="eastAsia" w:ascii="宋体" w:hAnsi="宋体" w:eastAsia="宋体" w:cs="宋体"/>
                <w:b w:val="0"/>
                <w:bCs w:val="0"/>
                <w:kern w:val="21"/>
                <w:sz w:val="21"/>
                <w:szCs w:val="21"/>
                <w:lang w:val="en-GB"/>
              </w:rPr>
              <w:t>产业指导目录》或者《绿色债券支持项目目录》中规定的行业产业占比大于等于80%，</w:t>
            </w:r>
            <w:r>
              <w:rPr>
                <w:rStyle w:val="6"/>
                <w:rFonts w:hint="eastAsia" w:ascii="宋体" w:hAnsi="宋体" w:eastAsia="宋体" w:cs="宋体"/>
                <w:b w:val="0"/>
                <w:bCs w:val="0"/>
                <w:kern w:val="21"/>
                <w:sz w:val="21"/>
                <w:szCs w:val="21"/>
                <w:lang w:val="en-US"/>
              </w:rPr>
              <w:t>则企业绿色等级为G-1。</w:t>
            </w:r>
          </w:p>
        </w:tc>
        <w:tc>
          <w:tcPr>
            <w:tcW w:w="299" w:type="pct"/>
            <w:tcBorders>
              <w:tl2br w:val="nil"/>
              <w:tr2bl w:val="nil"/>
            </w:tcBorders>
            <w:noWrap w:val="0"/>
            <w:vAlign w:val="center"/>
          </w:tcPr>
          <w:p w14:paraId="521E66E9">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G-1</w:t>
            </w:r>
          </w:p>
        </w:tc>
      </w:tr>
      <w:tr w14:paraId="6B4FF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3" w:type="pct"/>
            <w:tcBorders>
              <w:tl2br w:val="nil"/>
              <w:tr2bl w:val="nil"/>
            </w:tcBorders>
            <w:noWrap w:val="0"/>
            <w:vAlign w:val="center"/>
          </w:tcPr>
          <w:p w14:paraId="4221D2C3">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2</w:t>
            </w:r>
          </w:p>
        </w:tc>
        <w:tc>
          <w:tcPr>
            <w:tcW w:w="530" w:type="pct"/>
            <w:vMerge w:val="continue"/>
            <w:tcBorders>
              <w:tl2br w:val="nil"/>
              <w:tr2bl w:val="nil"/>
            </w:tcBorders>
            <w:noWrap w:val="0"/>
            <w:vAlign w:val="center"/>
          </w:tcPr>
          <w:p w14:paraId="2841B958">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GB"/>
              </w:rPr>
            </w:pPr>
          </w:p>
        </w:tc>
        <w:tc>
          <w:tcPr>
            <w:tcW w:w="3865" w:type="pct"/>
            <w:tcBorders>
              <w:tl2br w:val="nil"/>
              <w:tr2bl w:val="nil"/>
            </w:tcBorders>
            <w:noWrap w:val="0"/>
            <w:vAlign w:val="center"/>
          </w:tcPr>
          <w:p w14:paraId="37B8DD86">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US"/>
              </w:rPr>
              <w:t>绿色产业的主营业务收入。若</w:t>
            </w:r>
            <w:r>
              <w:rPr>
                <w:rStyle w:val="6"/>
                <w:rFonts w:hint="eastAsia" w:ascii="宋体" w:hAnsi="宋体" w:eastAsia="宋体" w:cs="宋体"/>
                <w:b w:val="0"/>
                <w:bCs w:val="0"/>
                <w:kern w:val="21"/>
                <w:sz w:val="21"/>
                <w:szCs w:val="21"/>
                <w:lang w:val="en-GB"/>
              </w:rPr>
              <w:t>主营业务收入来自于《绿色</w:t>
            </w:r>
            <w:r>
              <w:rPr>
                <w:rStyle w:val="6"/>
                <w:rFonts w:hint="eastAsia" w:ascii="宋体" w:hAnsi="宋体" w:eastAsia="宋体" w:cs="宋体"/>
                <w:b w:val="0"/>
                <w:bCs w:val="0"/>
                <w:kern w:val="21"/>
                <w:sz w:val="21"/>
                <w:szCs w:val="21"/>
                <w:lang w:val="en-US"/>
              </w:rPr>
              <w:t>低碳转型</w:t>
            </w:r>
            <w:r>
              <w:rPr>
                <w:rStyle w:val="6"/>
                <w:rFonts w:hint="eastAsia" w:ascii="宋体" w:hAnsi="宋体" w:eastAsia="宋体" w:cs="宋体"/>
                <w:b w:val="0"/>
                <w:bCs w:val="0"/>
                <w:kern w:val="21"/>
                <w:sz w:val="21"/>
                <w:szCs w:val="21"/>
                <w:lang w:val="en-GB"/>
              </w:rPr>
              <w:t>产业指导目录》或者《绿色债券支持项目目录》中规定的行业产业占比大于等于50%小于80%，</w:t>
            </w:r>
            <w:r>
              <w:rPr>
                <w:rStyle w:val="6"/>
                <w:rFonts w:hint="eastAsia" w:ascii="宋体" w:hAnsi="宋体" w:eastAsia="宋体" w:cs="宋体"/>
                <w:b w:val="0"/>
                <w:bCs w:val="0"/>
                <w:kern w:val="21"/>
                <w:sz w:val="21"/>
                <w:szCs w:val="21"/>
                <w:lang w:val="en-US"/>
              </w:rPr>
              <w:t>则企业绿色等级为G-2。</w:t>
            </w:r>
          </w:p>
        </w:tc>
        <w:tc>
          <w:tcPr>
            <w:tcW w:w="299" w:type="pct"/>
            <w:tcBorders>
              <w:tl2br w:val="nil"/>
              <w:tr2bl w:val="nil"/>
            </w:tcBorders>
            <w:noWrap w:val="0"/>
            <w:vAlign w:val="center"/>
          </w:tcPr>
          <w:p w14:paraId="1BA8FA5C">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G-2</w:t>
            </w:r>
          </w:p>
        </w:tc>
      </w:tr>
      <w:tr w14:paraId="2C11F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3" w:type="pct"/>
            <w:tcBorders>
              <w:tl2br w:val="nil"/>
              <w:tr2bl w:val="nil"/>
            </w:tcBorders>
            <w:noWrap w:val="0"/>
            <w:vAlign w:val="center"/>
          </w:tcPr>
          <w:p w14:paraId="2D1099F1">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3</w:t>
            </w:r>
          </w:p>
        </w:tc>
        <w:tc>
          <w:tcPr>
            <w:tcW w:w="530" w:type="pct"/>
            <w:vMerge w:val="restart"/>
            <w:tcBorders>
              <w:tl2br w:val="nil"/>
              <w:tr2bl w:val="nil"/>
            </w:tcBorders>
            <w:noWrap w:val="0"/>
            <w:vAlign w:val="center"/>
          </w:tcPr>
          <w:p w14:paraId="0EAE270E">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国家（深圳）气候投融资项目库企业</w:t>
            </w:r>
          </w:p>
        </w:tc>
        <w:tc>
          <w:tcPr>
            <w:tcW w:w="3865" w:type="pct"/>
            <w:tcBorders>
              <w:tl2br w:val="nil"/>
              <w:tr2bl w:val="nil"/>
            </w:tcBorders>
            <w:noWrap w:val="0"/>
            <w:vAlign w:val="center"/>
          </w:tcPr>
          <w:p w14:paraId="66FC7A49">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来自于气候投融资项目的主营业务收入。若</w:t>
            </w:r>
            <w:r>
              <w:rPr>
                <w:rStyle w:val="6"/>
                <w:rFonts w:hint="eastAsia" w:ascii="宋体" w:hAnsi="宋体" w:eastAsia="宋体" w:cs="宋体"/>
                <w:b w:val="0"/>
                <w:bCs w:val="0"/>
                <w:kern w:val="21"/>
                <w:sz w:val="21"/>
                <w:szCs w:val="21"/>
                <w:lang w:val="en-GB"/>
              </w:rPr>
              <w:t>来自于国家（深圳）气候投融</w:t>
            </w:r>
            <w:r>
              <w:rPr>
                <w:rStyle w:val="6"/>
                <w:rFonts w:hint="eastAsia" w:ascii="宋体" w:hAnsi="宋体" w:eastAsia="宋体" w:cs="宋体"/>
                <w:b w:val="0"/>
                <w:bCs w:val="0"/>
                <w:spacing w:val="-1"/>
                <w:kern w:val="21"/>
                <w:sz w:val="21"/>
                <w:szCs w:val="21"/>
                <w:lang w:val="en-GB"/>
              </w:rPr>
              <w:t>资项目库在库项目的主营业务收入占比大于等于50%，且项目获评国家（深</w:t>
            </w:r>
            <w:r>
              <w:rPr>
                <w:rStyle w:val="6"/>
                <w:rFonts w:hint="eastAsia" w:ascii="宋体" w:hAnsi="宋体" w:eastAsia="宋体" w:cs="宋体"/>
                <w:b w:val="0"/>
                <w:bCs w:val="0"/>
                <w:kern w:val="21"/>
                <w:sz w:val="21"/>
                <w:szCs w:val="21"/>
                <w:lang w:val="en-GB"/>
              </w:rPr>
              <w:t>圳）气候投融资项目库推广库项目或者开发库项目，</w:t>
            </w:r>
            <w:r>
              <w:rPr>
                <w:rStyle w:val="6"/>
                <w:rFonts w:hint="eastAsia" w:ascii="宋体" w:hAnsi="宋体" w:eastAsia="宋体" w:cs="宋体"/>
                <w:b w:val="0"/>
                <w:bCs w:val="0"/>
                <w:kern w:val="21"/>
                <w:sz w:val="21"/>
                <w:szCs w:val="21"/>
                <w:lang w:val="en-US"/>
              </w:rPr>
              <w:t>则企业绿色等级为G-1。</w:t>
            </w:r>
          </w:p>
        </w:tc>
        <w:tc>
          <w:tcPr>
            <w:tcW w:w="299" w:type="pct"/>
            <w:tcBorders>
              <w:tl2br w:val="nil"/>
              <w:tr2bl w:val="nil"/>
            </w:tcBorders>
            <w:noWrap w:val="0"/>
            <w:vAlign w:val="center"/>
          </w:tcPr>
          <w:p w14:paraId="7DFA1A99">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G-1</w:t>
            </w:r>
          </w:p>
        </w:tc>
      </w:tr>
      <w:tr w14:paraId="3190C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3" w:type="pct"/>
            <w:tcBorders>
              <w:tl2br w:val="nil"/>
              <w:tr2bl w:val="nil"/>
            </w:tcBorders>
            <w:noWrap w:val="0"/>
            <w:vAlign w:val="center"/>
          </w:tcPr>
          <w:p w14:paraId="4E446E1E">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4</w:t>
            </w:r>
          </w:p>
        </w:tc>
        <w:tc>
          <w:tcPr>
            <w:tcW w:w="530" w:type="pct"/>
            <w:vMerge w:val="continue"/>
            <w:tcBorders>
              <w:tl2br w:val="nil"/>
              <w:tr2bl w:val="nil"/>
            </w:tcBorders>
            <w:noWrap w:val="0"/>
            <w:vAlign w:val="center"/>
          </w:tcPr>
          <w:p w14:paraId="71BE1E3C">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Fonts w:hint="eastAsia" w:ascii="宋体" w:hAnsi="宋体" w:eastAsia="宋体" w:cs="宋体"/>
                <w:b w:val="0"/>
                <w:bCs w:val="0"/>
                <w:kern w:val="21"/>
                <w:sz w:val="21"/>
                <w:szCs w:val="21"/>
                <w:lang w:val="en-US" w:eastAsia="zh-CN" w:bidi="ar-SA"/>
              </w:rPr>
            </w:pPr>
          </w:p>
        </w:tc>
        <w:tc>
          <w:tcPr>
            <w:tcW w:w="3865" w:type="pct"/>
            <w:tcBorders>
              <w:tl2br w:val="nil"/>
              <w:tr2bl w:val="nil"/>
            </w:tcBorders>
            <w:noWrap w:val="0"/>
            <w:vAlign w:val="center"/>
          </w:tcPr>
          <w:p w14:paraId="5530AD78">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US"/>
              </w:rPr>
              <w:t>来自于气候投融资项目的主营业务收入。若</w:t>
            </w:r>
            <w:r>
              <w:rPr>
                <w:rStyle w:val="6"/>
                <w:rFonts w:hint="eastAsia" w:ascii="宋体" w:hAnsi="宋体" w:eastAsia="宋体" w:cs="宋体"/>
                <w:b w:val="0"/>
                <w:bCs w:val="0"/>
                <w:kern w:val="21"/>
                <w:sz w:val="21"/>
                <w:szCs w:val="21"/>
                <w:lang w:val="en-GB"/>
              </w:rPr>
              <w:t>来自于国家（深圳）气候投融资项目库在库项目的主营业务收入占比大于等于50%，且项目纳入国家（深圳）气候投融资项目库孵化库，</w:t>
            </w:r>
            <w:r>
              <w:rPr>
                <w:rStyle w:val="6"/>
                <w:rFonts w:hint="eastAsia" w:ascii="宋体" w:hAnsi="宋体" w:eastAsia="宋体" w:cs="宋体"/>
                <w:b w:val="0"/>
                <w:bCs w:val="0"/>
                <w:kern w:val="21"/>
                <w:sz w:val="21"/>
                <w:szCs w:val="21"/>
                <w:lang w:val="en-US"/>
              </w:rPr>
              <w:t>则企业绿色等级为G-2。</w:t>
            </w:r>
          </w:p>
        </w:tc>
        <w:tc>
          <w:tcPr>
            <w:tcW w:w="299" w:type="pct"/>
            <w:tcBorders>
              <w:tl2br w:val="nil"/>
              <w:tr2bl w:val="nil"/>
            </w:tcBorders>
            <w:noWrap w:val="0"/>
            <w:vAlign w:val="center"/>
          </w:tcPr>
          <w:p w14:paraId="43BA66F6">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G-2</w:t>
            </w:r>
          </w:p>
        </w:tc>
      </w:tr>
      <w:tr w14:paraId="3B222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3" w:type="pct"/>
            <w:tcBorders>
              <w:tl2br w:val="nil"/>
              <w:tr2bl w:val="nil"/>
            </w:tcBorders>
            <w:noWrap w:val="0"/>
            <w:vAlign w:val="center"/>
          </w:tcPr>
          <w:p w14:paraId="1B2D8891">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5</w:t>
            </w:r>
          </w:p>
        </w:tc>
        <w:tc>
          <w:tcPr>
            <w:tcW w:w="530" w:type="pct"/>
            <w:tcBorders>
              <w:tl2br w:val="nil"/>
              <w:tr2bl w:val="nil"/>
            </w:tcBorders>
            <w:noWrap w:val="0"/>
            <w:vAlign w:val="center"/>
          </w:tcPr>
          <w:p w14:paraId="488DC2B2">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US"/>
              </w:rPr>
              <w:t>“20</w:t>
            </w:r>
            <w:r>
              <w:rPr>
                <w:rStyle w:val="6"/>
                <w:rFonts w:hint="eastAsia" w:ascii="宋体" w:hAnsi="宋体" w:eastAsia="宋体" w:cs="宋体"/>
                <w:b w:val="0"/>
                <w:bCs w:val="0"/>
                <w:kern w:val="21"/>
                <w:sz w:val="21"/>
                <w:szCs w:val="21"/>
                <w:lang w:val="en-US" w:eastAsia="zh-CN"/>
              </w:rPr>
              <w:t>＋</w:t>
            </w:r>
            <w:r>
              <w:rPr>
                <w:rStyle w:val="6"/>
                <w:rFonts w:hint="eastAsia" w:ascii="宋体" w:hAnsi="宋体" w:eastAsia="宋体" w:cs="宋体"/>
                <w:b w:val="0"/>
                <w:bCs w:val="0"/>
                <w:kern w:val="21"/>
                <w:sz w:val="21"/>
                <w:szCs w:val="21"/>
                <w:lang w:val="en-US"/>
              </w:rPr>
              <w:t>8</w:t>
            </w:r>
            <w:r>
              <w:rPr>
                <w:rStyle w:val="6"/>
                <w:rFonts w:hint="eastAsia" w:ascii="宋体" w:hAnsi="宋体" w:eastAsia="宋体" w:cs="宋体"/>
                <w:b w:val="0"/>
                <w:bCs w:val="0"/>
                <w:spacing w:val="-62"/>
                <w:kern w:val="21"/>
                <w:sz w:val="21"/>
                <w:szCs w:val="21"/>
                <w:lang w:val="en-US"/>
              </w:rPr>
              <w:t>”</w:t>
            </w:r>
            <w:r>
              <w:rPr>
                <w:rStyle w:val="6"/>
                <w:rFonts w:hint="eastAsia" w:ascii="宋体" w:hAnsi="宋体" w:eastAsia="宋体" w:cs="宋体"/>
                <w:b w:val="0"/>
                <w:bCs w:val="0"/>
                <w:kern w:val="21"/>
                <w:sz w:val="21"/>
                <w:szCs w:val="21"/>
                <w:lang w:val="en-US"/>
              </w:rPr>
              <w:t>产业企业</w:t>
            </w:r>
          </w:p>
        </w:tc>
        <w:tc>
          <w:tcPr>
            <w:tcW w:w="3865" w:type="pct"/>
            <w:tcBorders>
              <w:tl2br w:val="nil"/>
              <w:tr2bl w:val="nil"/>
            </w:tcBorders>
            <w:noWrap w:val="0"/>
            <w:vAlign w:val="center"/>
          </w:tcPr>
          <w:p w14:paraId="199250EB">
            <w:pPr>
              <w:pStyle w:val="3"/>
              <w:keepNext/>
              <w:keepLines/>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eastAsia="zh-CN" w:bidi="ar-SA"/>
              </w:rPr>
            </w:pPr>
            <w:r>
              <w:rPr>
                <w:rStyle w:val="6"/>
                <w:rFonts w:hint="eastAsia" w:ascii="宋体" w:hAnsi="宋体" w:eastAsia="宋体" w:cs="宋体"/>
                <w:b w:val="0"/>
                <w:bCs w:val="0"/>
                <w:kern w:val="21"/>
                <w:sz w:val="21"/>
                <w:szCs w:val="21"/>
                <w:lang w:val="en-US" w:eastAsia="zh-CN" w:bidi="ar-SA"/>
              </w:rPr>
              <w:t>“20＋8”产业的主营业务收入。主营业务收入来自于“20＋8”产业中规定的行业产业占比大于等于50%。</w:t>
            </w:r>
          </w:p>
          <w:p w14:paraId="33C13EE9">
            <w:pPr>
              <w:pStyle w:val="3"/>
              <w:keepNext/>
              <w:keepLines/>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eastAsia="zh-CN" w:bidi="ar-SA"/>
              </w:rPr>
            </w:pPr>
            <w:r>
              <w:rPr>
                <w:rStyle w:val="6"/>
                <w:rFonts w:hint="eastAsia" w:ascii="宋体" w:hAnsi="宋体" w:eastAsia="宋体" w:cs="宋体"/>
                <w:b w:val="0"/>
                <w:bCs w:val="0"/>
                <w:kern w:val="21"/>
                <w:sz w:val="21"/>
                <w:szCs w:val="21"/>
                <w:lang w:val="en-US" w:eastAsia="zh-CN" w:bidi="ar-SA"/>
              </w:rPr>
              <w:t>碳绩效。近三年或者成立至今碳排放强度年均下降6%及以上，或者企业碳排放强度低于行业平均值15%及以上，或者企业碳绩效综合评级为AAA级。</w:t>
            </w:r>
          </w:p>
          <w:p w14:paraId="2EE9D277">
            <w:pPr>
              <w:pStyle w:val="3"/>
              <w:keepNext/>
              <w:keepLines/>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eastAsia="zh-CN" w:bidi="ar-SA"/>
              </w:rPr>
            </w:pPr>
            <w:r>
              <w:rPr>
                <w:rStyle w:val="6"/>
                <w:rFonts w:hint="eastAsia" w:ascii="宋体" w:hAnsi="宋体" w:eastAsia="宋体" w:cs="宋体"/>
                <w:b w:val="0"/>
                <w:bCs w:val="0"/>
                <w:kern w:val="21"/>
                <w:sz w:val="21"/>
                <w:szCs w:val="21"/>
                <w:lang w:val="en-US" w:eastAsia="zh-CN" w:bidi="ar-SA"/>
              </w:rPr>
              <w:t>同时满足上述两个条件，则企业绿色等级为G-1。</w:t>
            </w:r>
          </w:p>
        </w:tc>
        <w:tc>
          <w:tcPr>
            <w:tcW w:w="299" w:type="pct"/>
            <w:tcBorders>
              <w:tl2br w:val="nil"/>
              <w:tr2bl w:val="nil"/>
            </w:tcBorders>
            <w:noWrap w:val="0"/>
            <w:vAlign w:val="center"/>
          </w:tcPr>
          <w:p w14:paraId="607F0E6F">
            <w:pPr>
              <w:pStyle w:val="3"/>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GB"/>
              </w:rPr>
              <w:t>G-1</w:t>
            </w:r>
          </w:p>
        </w:tc>
      </w:tr>
      <w:tr w14:paraId="3E7B8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3" w:type="pct"/>
            <w:tcBorders>
              <w:tl2br w:val="nil"/>
              <w:tr2bl w:val="nil"/>
            </w:tcBorders>
            <w:noWrap w:val="0"/>
            <w:vAlign w:val="center"/>
          </w:tcPr>
          <w:p w14:paraId="3F0A7E18">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Fonts w:hint="eastAsia" w:ascii="宋体" w:hAnsi="宋体" w:eastAsia="宋体" w:cs="宋体"/>
                <w:b w:val="0"/>
                <w:bCs w:val="0"/>
                <w:kern w:val="21"/>
                <w:sz w:val="21"/>
                <w:szCs w:val="21"/>
                <w:lang w:val="en-GB" w:eastAsia="zh-CN" w:bidi="ar-SA"/>
              </w:rPr>
            </w:pPr>
            <w:r>
              <w:rPr>
                <w:rStyle w:val="6"/>
                <w:rFonts w:hint="eastAsia" w:ascii="宋体" w:hAnsi="宋体" w:eastAsia="宋体" w:cs="宋体"/>
                <w:b w:val="0"/>
                <w:bCs w:val="0"/>
                <w:kern w:val="21"/>
                <w:sz w:val="21"/>
                <w:szCs w:val="21"/>
                <w:lang w:val="en-GB"/>
              </w:rPr>
              <w:t>6</w:t>
            </w:r>
          </w:p>
        </w:tc>
        <w:tc>
          <w:tcPr>
            <w:tcW w:w="530" w:type="pct"/>
            <w:tcBorders>
              <w:tl2br w:val="nil"/>
              <w:tr2bl w:val="nil"/>
            </w:tcBorders>
            <w:noWrap w:val="0"/>
            <w:vAlign w:val="center"/>
          </w:tcPr>
          <w:p w14:paraId="4B99A761">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Fonts w:hint="eastAsia" w:ascii="宋体" w:hAnsi="宋体" w:eastAsia="宋体" w:cs="宋体"/>
                <w:b w:val="0"/>
                <w:bCs w:val="0"/>
                <w:kern w:val="21"/>
                <w:sz w:val="21"/>
                <w:szCs w:val="21"/>
                <w:lang w:val="en-US" w:eastAsia="zh-CN" w:bidi="ar-SA"/>
              </w:rPr>
            </w:pPr>
            <w:r>
              <w:rPr>
                <w:rStyle w:val="6"/>
                <w:rFonts w:hint="eastAsia" w:ascii="宋体" w:hAnsi="宋体" w:eastAsia="宋体" w:cs="宋体"/>
                <w:b w:val="0"/>
                <w:bCs w:val="0"/>
                <w:kern w:val="21"/>
                <w:sz w:val="21"/>
                <w:szCs w:val="21"/>
                <w:lang w:val="en-US"/>
              </w:rPr>
              <w:t>“20</w:t>
            </w:r>
            <w:r>
              <w:rPr>
                <w:rStyle w:val="6"/>
                <w:rFonts w:hint="eastAsia" w:ascii="宋体" w:hAnsi="宋体" w:eastAsia="宋体" w:cs="宋体"/>
                <w:b w:val="0"/>
                <w:bCs w:val="0"/>
                <w:kern w:val="21"/>
                <w:sz w:val="21"/>
                <w:szCs w:val="21"/>
                <w:lang w:val="en-US" w:eastAsia="zh-CN"/>
              </w:rPr>
              <w:t>＋</w:t>
            </w:r>
            <w:r>
              <w:rPr>
                <w:rStyle w:val="6"/>
                <w:rFonts w:hint="eastAsia" w:ascii="宋体" w:hAnsi="宋体" w:eastAsia="宋体" w:cs="宋体"/>
                <w:b w:val="0"/>
                <w:bCs w:val="0"/>
                <w:kern w:val="21"/>
                <w:sz w:val="21"/>
                <w:szCs w:val="21"/>
                <w:lang w:val="en-US"/>
              </w:rPr>
              <w:t>8</w:t>
            </w:r>
            <w:r>
              <w:rPr>
                <w:rStyle w:val="6"/>
                <w:rFonts w:hint="eastAsia" w:ascii="宋体" w:hAnsi="宋体" w:eastAsia="宋体" w:cs="宋体"/>
                <w:b w:val="0"/>
                <w:bCs w:val="0"/>
                <w:spacing w:val="-62"/>
                <w:kern w:val="21"/>
                <w:sz w:val="21"/>
                <w:szCs w:val="21"/>
                <w:lang w:val="en-US"/>
              </w:rPr>
              <w:t>”</w:t>
            </w:r>
            <w:r>
              <w:rPr>
                <w:rStyle w:val="6"/>
                <w:rFonts w:hint="eastAsia" w:ascii="宋体" w:hAnsi="宋体" w:eastAsia="宋体" w:cs="宋体"/>
                <w:b w:val="0"/>
                <w:bCs w:val="0"/>
                <w:kern w:val="21"/>
                <w:sz w:val="21"/>
                <w:szCs w:val="21"/>
                <w:lang w:val="en-US"/>
              </w:rPr>
              <w:t>产业企业</w:t>
            </w:r>
          </w:p>
        </w:tc>
        <w:tc>
          <w:tcPr>
            <w:tcW w:w="3865" w:type="pct"/>
            <w:tcBorders>
              <w:tl2br w:val="nil"/>
              <w:tr2bl w:val="nil"/>
            </w:tcBorders>
            <w:noWrap w:val="0"/>
            <w:vAlign w:val="center"/>
          </w:tcPr>
          <w:p w14:paraId="7C27BFDC">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eastAsia="zh-CN"/>
              </w:rPr>
            </w:pPr>
            <w:r>
              <w:rPr>
                <w:rStyle w:val="6"/>
                <w:rFonts w:hint="eastAsia" w:ascii="宋体" w:hAnsi="宋体" w:eastAsia="宋体" w:cs="宋体"/>
                <w:b w:val="0"/>
                <w:bCs w:val="0"/>
                <w:kern w:val="21"/>
                <w:sz w:val="21"/>
                <w:szCs w:val="21"/>
                <w:lang w:val="en-US"/>
              </w:rPr>
              <w:t>“20</w:t>
            </w:r>
            <w:r>
              <w:rPr>
                <w:rStyle w:val="6"/>
                <w:rFonts w:hint="eastAsia" w:ascii="宋体" w:hAnsi="宋体" w:eastAsia="宋体" w:cs="宋体"/>
                <w:b w:val="0"/>
                <w:bCs w:val="0"/>
                <w:kern w:val="21"/>
                <w:sz w:val="21"/>
                <w:szCs w:val="21"/>
                <w:lang w:val="en-US" w:eastAsia="zh-CN"/>
              </w:rPr>
              <w:t>＋</w:t>
            </w:r>
            <w:r>
              <w:rPr>
                <w:rStyle w:val="6"/>
                <w:rFonts w:hint="eastAsia" w:ascii="宋体" w:hAnsi="宋体" w:eastAsia="宋体" w:cs="宋体"/>
                <w:b w:val="0"/>
                <w:bCs w:val="0"/>
                <w:kern w:val="21"/>
                <w:sz w:val="21"/>
                <w:szCs w:val="21"/>
                <w:lang w:val="en-US"/>
              </w:rPr>
              <w:t>8”产业的主营业务收入。</w:t>
            </w:r>
            <w:r>
              <w:rPr>
                <w:rStyle w:val="6"/>
                <w:rFonts w:hint="eastAsia" w:ascii="宋体" w:hAnsi="宋体" w:eastAsia="宋体" w:cs="宋体"/>
                <w:b w:val="0"/>
                <w:bCs w:val="0"/>
                <w:kern w:val="21"/>
                <w:sz w:val="21"/>
                <w:szCs w:val="21"/>
                <w:lang w:val="en-GB"/>
              </w:rPr>
              <w:t>主营业务收入来自于“20</w:t>
            </w:r>
            <w:r>
              <w:rPr>
                <w:rStyle w:val="6"/>
                <w:rFonts w:hint="eastAsia" w:ascii="宋体" w:hAnsi="宋体" w:eastAsia="宋体" w:cs="宋体"/>
                <w:b w:val="0"/>
                <w:bCs w:val="0"/>
                <w:kern w:val="21"/>
                <w:sz w:val="21"/>
                <w:szCs w:val="21"/>
                <w:lang w:val="en-GB" w:eastAsia="zh-CN"/>
              </w:rPr>
              <w:t>＋</w:t>
            </w:r>
            <w:r>
              <w:rPr>
                <w:rStyle w:val="6"/>
                <w:rFonts w:hint="eastAsia" w:ascii="宋体" w:hAnsi="宋体" w:eastAsia="宋体" w:cs="宋体"/>
                <w:b w:val="0"/>
                <w:bCs w:val="0"/>
                <w:kern w:val="21"/>
                <w:sz w:val="21"/>
                <w:szCs w:val="21"/>
                <w:lang w:val="en-GB"/>
              </w:rPr>
              <w:t>8”产业中规定的行业产业占比大于等于50%</w:t>
            </w:r>
            <w:r>
              <w:rPr>
                <w:rStyle w:val="6"/>
                <w:rFonts w:hint="eastAsia" w:ascii="宋体" w:hAnsi="宋体" w:eastAsia="宋体" w:cs="宋体"/>
                <w:b w:val="0"/>
                <w:bCs w:val="0"/>
                <w:kern w:val="21"/>
                <w:sz w:val="21"/>
                <w:szCs w:val="21"/>
                <w:lang w:val="en-GB" w:eastAsia="zh-CN"/>
              </w:rPr>
              <w:t>。</w:t>
            </w:r>
          </w:p>
          <w:p w14:paraId="128143DE">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GB"/>
              </w:rPr>
            </w:pPr>
            <w:r>
              <w:rPr>
                <w:rStyle w:val="6"/>
                <w:rFonts w:hint="eastAsia" w:ascii="宋体" w:hAnsi="宋体" w:eastAsia="宋体" w:cs="宋体"/>
                <w:b w:val="0"/>
                <w:bCs w:val="0"/>
                <w:kern w:val="21"/>
                <w:sz w:val="21"/>
                <w:szCs w:val="21"/>
                <w:lang w:val="en-US"/>
              </w:rPr>
              <w:t>碳绩效。</w:t>
            </w:r>
            <w:r>
              <w:rPr>
                <w:rStyle w:val="6"/>
                <w:rFonts w:hint="eastAsia" w:ascii="宋体" w:hAnsi="宋体" w:eastAsia="宋体" w:cs="宋体"/>
                <w:b w:val="0"/>
                <w:bCs w:val="0"/>
                <w:kern w:val="21"/>
                <w:sz w:val="21"/>
                <w:szCs w:val="21"/>
                <w:lang w:val="en-GB"/>
              </w:rPr>
              <w:t>近三年或者成立至今碳排放强度年均下降4%</w:t>
            </w:r>
            <w:r>
              <w:rPr>
                <w:rStyle w:val="6"/>
                <w:rFonts w:hint="eastAsia" w:ascii="宋体" w:hAnsi="宋体" w:eastAsia="宋体" w:cs="宋体"/>
                <w:b w:val="0"/>
                <w:bCs w:val="0"/>
                <w:kern w:val="21"/>
                <w:sz w:val="21"/>
                <w:szCs w:val="21"/>
                <w:lang w:val="en-GB" w:eastAsia="zh-CN"/>
              </w:rPr>
              <w:t>－</w:t>
            </w:r>
            <w:r>
              <w:rPr>
                <w:rStyle w:val="6"/>
                <w:rFonts w:hint="eastAsia" w:ascii="宋体" w:hAnsi="宋体" w:eastAsia="宋体" w:cs="宋体"/>
                <w:b w:val="0"/>
                <w:bCs w:val="0"/>
                <w:kern w:val="21"/>
                <w:sz w:val="21"/>
                <w:szCs w:val="21"/>
                <w:lang w:val="en-GB"/>
              </w:rPr>
              <w:t>6%（含4%），或者企业碳排放强度低于行业平均水平10%</w:t>
            </w:r>
            <w:r>
              <w:rPr>
                <w:rStyle w:val="6"/>
                <w:rFonts w:hint="eastAsia" w:ascii="宋体" w:hAnsi="宋体" w:eastAsia="宋体" w:cs="宋体"/>
                <w:b w:val="0"/>
                <w:bCs w:val="0"/>
                <w:kern w:val="21"/>
                <w:sz w:val="21"/>
                <w:szCs w:val="21"/>
                <w:lang w:val="en-GB" w:eastAsia="zh-CN"/>
              </w:rPr>
              <w:t>－</w:t>
            </w:r>
            <w:r>
              <w:rPr>
                <w:rStyle w:val="6"/>
                <w:rFonts w:hint="eastAsia" w:ascii="宋体" w:hAnsi="宋体" w:eastAsia="宋体" w:cs="宋体"/>
                <w:b w:val="0"/>
                <w:bCs w:val="0"/>
                <w:kern w:val="21"/>
                <w:sz w:val="21"/>
                <w:szCs w:val="21"/>
                <w:lang w:val="en-GB"/>
              </w:rPr>
              <w:t>15%（含10%），或者企业碳绩效综合评级为AA级或者A级。</w:t>
            </w:r>
          </w:p>
          <w:p w14:paraId="1C3FE188">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Fonts w:hint="eastAsia" w:ascii="宋体" w:hAnsi="宋体" w:eastAsia="宋体" w:cs="宋体"/>
                <w:b w:val="0"/>
                <w:bCs w:val="0"/>
                <w:kern w:val="21"/>
                <w:sz w:val="21"/>
                <w:szCs w:val="21"/>
                <w:lang w:val="en-US" w:eastAsia="zh-CN" w:bidi="ar-SA"/>
              </w:rPr>
            </w:pPr>
            <w:r>
              <w:rPr>
                <w:rStyle w:val="6"/>
                <w:rFonts w:hint="eastAsia" w:ascii="宋体" w:hAnsi="宋体" w:eastAsia="宋体" w:cs="宋体"/>
                <w:b w:val="0"/>
                <w:bCs w:val="0"/>
                <w:kern w:val="21"/>
                <w:sz w:val="21"/>
                <w:szCs w:val="21"/>
                <w:lang w:val="en-US"/>
              </w:rPr>
              <w:t>同时满足上述两个条件，则企业绿色等级为</w:t>
            </w:r>
            <w:r>
              <w:rPr>
                <w:rStyle w:val="6"/>
                <w:rFonts w:hint="eastAsia" w:ascii="宋体" w:hAnsi="宋体" w:eastAsia="宋体" w:cs="宋体"/>
                <w:b w:val="0"/>
                <w:bCs w:val="0"/>
                <w:kern w:val="21"/>
                <w:sz w:val="21"/>
                <w:szCs w:val="21"/>
                <w:lang w:val="en-GB"/>
              </w:rPr>
              <w:t>G-2。</w:t>
            </w:r>
          </w:p>
        </w:tc>
        <w:tc>
          <w:tcPr>
            <w:tcW w:w="299" w:type="pct"/>
            <w:tcBorders>
              <w:tl2br w:val="nil"/>
              <w:tr2bl w:val="nil"/>
            </w:tcBorders>
            <w:noWrap w:val="0"/>
            <w:vAlign w:val="center"/>
          </w:tcPr>
          <w:p w14:paraId="0EF6BB26">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Fonts w:hint="eastAsia" w:ascii="宋体" w:hAnsi="宋体" w:eastAsia="宋体" w:cs="宋体"/>
                <w:b w:val="0"/>
                <w:bCs w:val="0"/>
                <w:kern w:val="21"/>
                <w:sz w:val="21"/>
                <w:szCs w:val="21"/>
                <w:lang w:val="en-GB" w:eastAsia="zh-CN" w:bidi="ar-SA"/>
              </w:rPr>
            </w:pPr>
            <w:r>
              <w:rPr>
                <w:rStyle w:val="6"/>
                <w:rFonts w:hint="eastAsia" w:ascii="宋体" w:hAnsi="宋体" w:eastAsia="宋体" w:cs="宋体"/>
                <w:b w:val="0"/>
                <w:bCs w:val="0"/>
                <w:kern w:val="21"/>
                <w:sz w:val="21"/>
                <w:szCs w:val="21"/>
                <w:lang w:val="en-GB"/>
              </w:rPr>
              <w:t>G-2</w:t>
            </w:r>
          </w:p>
        </w:tc>
      </w:tr>
    </w:tbl>
    <w:p w14:paraId="0B0EA164">
      <w:pPr>
        <w:keepNext w:val="0"/>
        <w:keepLines w:val="0"/>
        <w:pageBreakBefore w:val="0"/>
        <w:widowControl w:val="0"/>
        <w:kinsoku/>
        <w:wordWrap/>
        <w:overflowPunct/>
        <w:topLinePunct w:val="0"/>
        <w:autoSpaceDE/>
        <w:autoSpaceDN/>
        <w:bidi w:val="0"/>
        <w:adjustRightInd/>
        <w:snapToGrid/>
        <w:spacing w:line="20" w:lineRule="exact"/>
        <w:textAlignment w:val="auto"/>
      </w:pPr>
    </w:p>
    <w:p w14:paraId="1A77EFB2">
      <w:pPr>
        <w:pStyle w:val="3"/>
        <w:keepNext w:val="0"/>
        <w:keepLines w:val="0"/>
        <w:pageBreakBefore w:val="0"/>
        <w:widowControl w:val="0"/>
        <w:kinsoku/>
        <w:wordWrap/>
        <w:overflowPunct/>
        <w:topLinePunct w:val="0"/>
        <w:autoSpaceDE/>
        <w:autoSpaceDN/>
        <w:bidi w:val="0"/>
        <w:adjustRightInd/>
        <w:snapToGrid/>
        <w:spacing w:before="95" w:beforeLines="30" w:line="356" w:lineRule="atLeast"/>
        <w:ind w:left="0" w:firstLine="420" w:firstLineChars="200"/>
        <w:jc w:val="both"/>
        <w:textAlignment w:val="auto"/>
        <w:outlineLvl w:val="9"/>
        <w:rPr>
          <w:rStyle w:val="6"/>
          <w:rFonts w:hint="eastAsia" w:ascii="楷体_GB2312" w:hAnsi="楷体_GB2312" w:eastAsia="楷体_GB2312" w:cs="楷体_GB2312"/>
          <w:b w:val="0"/>
          <w:bCs w:val="0"/>
          <w:kern w:val="21"/>
          <w:sz w:val="21"/>
          <w:szCs w:val="21"/>
          <w:lang w:val="en-US"/>
        </w:rPr>
      </w:pPr>
      <w:r>
        <w:rPr>
          <w:rStyle w:val="6"/>
          <w:rFonts w:hint="eastAsia" w:ascii="楷体_GB2312" w:hAnsi="楷体_GB2312" w:eastAsia="楷体_GB2312" w:cs="楷体_GB2312"/>
          <w:b w:val="0"/>
          <w:bCs w:val="0"/>
          <w:kern w:val="21"/>
          <w:sz w:val="21"/>
          <w:szCs w:val="21"/>
          <w:lang w:val="en-US"/>
        </w:rPr>
        <w:t>注：国家《绿色低碳转型产业指导目录》及《绿色债券支持项目目录》如有更新，依据最新版本执行。</w:t>
      </w:r>
    </w:p>
    <w:p w14:paraId="797E4ABF">
      <w:pPr>
        <w:pStyle w:val="3"/>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Style w:val="6"/>
          <w:rFonts w:hint="eastAsia" w:ascii="宋体" w:hAnsi="宋体" w:eastAsia="宋体" w:cs="宋体"/>
          <w:b w:val="0"/>
          <w:bCs w:val="0"/>
          <w:kern w:val="21"/>
          <w:sz w:val="24"/>
          <w:szCs w:val="24"/>
          <w:lang w:val="en-US"/>
        </w:rPr>
      </w:pPr>
    </w:p>
    <w:p w14:paraId="208B42A4">
      <w:pPr>
        <w:pStyle w:val="3"/>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Style w:val="6"/>
          <w:rFonts w:hint="eastAsia" w:ascii="宋体" w:hAnsi="宋体" w:eastAsia="宋体" w:cs="宋体"/>
          <w:b w:val="0"/>
          <w:bCs w:val="0"/>
          <w:kern w:val="21"/>
          <w:sz w:val="24"/>
          <w:szCs w:val="24"/>
          <w:lang w:val="en-US"/>
        </w:rPr>
      </w:pPr>
    </w:p>
    <w:p w14:paraId="3FB7D11F">
      <w:pPr>
        <w:pStyle w:val="3"/>
        <w:pageBreakBefore w:val="0"/>
        <w:widowControl w:val="0"/>
        <w:kinsoku/>
        <w:wordWrap/>
        <w:overflowPunct/>
        <w:topLinePunct w:val="0"/>
        <w:autoSpaceDE/>
        <w:autoSpaceDN/>
        <w:bidi w:val="0"/>
        <w:adjustRightInd/>
        <w:snapToGrid/>
        <w:spacing w:line="396" w:lineRule="atLeast"/>
        <w:ind w:left="0" w:firstLine="480" w:firstLineChars="200"/>
        <w:jc w:val="both"/>
        <w:textAlignment w:val="auto"/>
        <w:outlineLvl w:val="9"/>
        <w:rPr>
          <w:rStyle w:val="6"/>
          <w:rFonts w:hint="eastAsia" w:ascii="宋体" w:hAnsi="宋体" w:eastAsia="宋体" w:cs="宋体"/>
          <w:b w:val="0"/>
          <w:bCs w:val="0"/>
          <w:kern w:val="21"/>
          <w:sz w:val="24"/>
          <w:szCs w:val="24"/>
          <w:lang w:val="en-US"/>
        </w:rPr>
      </w:pPr>
    </w:p>
    <w:p w14:paraId="00800134">
      <w:pPr>
        <w:pStyle w:val="3"/>
        <w:keepNext w:val="0"/>
        <w:keepLines w:val="0"/>
        <w:pageBreakBefore w:val="0"/>
        <w:widowControl w:val="0"/>
        <w:kinsoku/>
        <w:wordWrap/>
        <w:overflowPunct/>
        <w:topLinePunct w:val="0"/>
        <w:autoSpaceDE/>
        <w:autoSpaceDN/>
        <w:bidi w:val="0"/>
        <w:adjustRightInd/>
        <w:snapToGrid/>
        <w:spacing w:line="396" w:lineRule="atLeast"/>
        <w:ind w:left="0" w:firstLine="0" w:firstLineChars="0"/>
        <w:jc w:val="both"/>
        <w:textAlignment w:val="auto"/>
        <w:outlineLvl w:val="9"/>
        <w:rPr>
          <w:rStyle w:val="6"/>
          <w:rFonts w:hint="eastAsia" w:ascii="宋体" w:hAnsi="宋体" w:eastAsia="宋体" w:cs="宋体"/>
          <w:b w:val="0"/>
          <w:bCs w:val="0"/>
          <w:kern w:val="21"/>
          <w:sz w:val="24"/>
          <w:szCs w:val="24"/>
          <w:lang w:val="en-US"/>
        </w:rPr>
      </w:pPr>
      <w:r>
        <w:rPr>
          <w:rStyle w:val="6"/>
          <w:rFonts w:hint="eastAsia" w:ascii="宋体" w:hAnsi="宋体" w:eastAsia="宋体" w:cs="宋体"/>
          <w:b w:val="0"/>
          <w:bCs w:val="0"/>
          <w:kern w:val="21"/>
          <w:sz w:val="24"/>
          <w:szCs w:val="24"/>
          <w:lang w:val="en-US"/>
        </w:rPr>
        <w:t>附表1-2</w:t>
      </w:r>
    </w:p>
    <w:p w14:paraId="49AB6918">
      <w:pPr>
        <w:pStyle w:val="3"/>
        <w:keepNext w:val="0"/>
        <w:keepLines w:val="0"/>
        <w:pageBreakBefore w:val="0"/>
        <w:widowControl w:val="0"/>
        <w:kinsoku/>
        <w:wordWrap/>
        <w:overflowPunct/>
        <w:topLinePunct w:val="0"/>
        <w:autoSpaceDE/>
        <w:autoSpaceDN/>
        <w:bidi w:val="0"/>
        <w:adjustRightInd/>
        <w:snapToGrid/>
        <w:spacing w:after="157" w:afterLines="50" w:line="0" w:lineRule="atLeast"/>
        <w:ind w:left="0" w:firstLine="0" w:firstLineChars="0"/>
        <w:jc w:val="center"/>
        <w:textAlignment w:val="auto"/>
        <w:outlineLvl w:val="9"/>
        <w:rPr>
          <w:rStyle w:val="6"/>
          <w:rFonts w:hint="eastAsia" w:ascii="宋体" w:hAnsi="宋体" w:eastAsia="宋体" w:cs="宋体"/>
          <w:b w:val="0"/>
          <w:bCs w:val="0"/>
          <w:kern w:val="21"/>
          <w:sz w:val="36"/>
          <w:szCs w:val="36"/>
          <w:lang w:val="en-US"/>
        </w:rPr>
      </w:pPr>
      <w:r>
        <w:rPr>
          <w:rStyle w:val="6"/>
          <w:rFonts w:hint="eastAsia" w:ascii="宋体" w:hAnsi="宋体" w:eastAsia="宋体" w:cs="宋体"/>
          <w:b w:val="0"/>
          <w:bCs w:val="0"/>
          <w:kern w:val="21"/>
          <w:sz w:val="36"/>
          <w:szCs w:val="36"/>
          <w:lang w:val="en-US"/>
        </w:rPr>
        <w:t>企业碳绩效综合评级说明</w:t>
      </w:r>
    </w:p>
    <w:tbl>
      <w:tblPr>
        <w:tblStyle w:val="5"/>
        <w:tblW w:w="49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0"/>
        <w:gridCol w:w="1174"/>
        <w:gridCol w:w="7372"/>
      </w:tblGrid>
      <w:tr w14:paraId="1CDCB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564" w:type="dxa"/>
            <w:gridSpan w:val="2"/>
            <w:tcBorders>
              <w:tl2br w:val="nil"/>
              <w:tr2bl w:val="nil"/>
            </w:tcBorders>
            <w:noWrap w:val="0"/>
            <w:vAlign w:val="center"/>
          </w:tcPr>
          <w:p w14:paraId="331C421E">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黑体" w:hAnsi="黑体" w:eastAsia="黑体" w:cs="黑体"/>
                <w:b w:val="0"/>
                <w:bCs w:val="0"/>
                <w:kern w:val="21"/>
                <w:sz w:val="21"/>
                <w:szCs w:val="21"/>
                <w:lang w:val="en-US"/>
              </w:rPr>
            </w:pPr>
            <w:r>
              <w:rPr>
                <w:rStyle w:val="6"/>
                <w:rFonts w:hint="eastAsia" w:ascii="黑体" w:hAnsi="黑体" w:eastAsia="黑体" w:cs="黑体"/>
                <w:b w:val="0"/>
                <w:bCs w:val="0"/>
                <w:kern w:val="21"/>
                <w:sz w:val="21"/>
                <w:szCs w:val="21"/>
                <w:lang w:val="en-US"/>
              </w:rPr>
              <w:t>指标</w:t>
            </w:r>
          </w:p>
        </w:tc>
        <w:tc>
          <w:tcPr>
            <w:tcW w:w="7372" w:type="dxa"/>
            <w:tcBorders>
              <w:tl2br w:val="nil"/>
              <w:tr2bl w:val="nil"/>
            </w:tcBorders>
            <w:noWrap w:val="0"/>
            <w:vAlign w:val="center"/>
          </w:tcPr>
          <w:p w14:paraId="6A65353A">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黑体" w:hAnsi="黑体" w:eastAsia="黑体" w:cs="黑体"/>
                <w:b w:val="0"/>
                <w:bCs w:val="0"/>
                <w:kern w:val="21"/>
                <w:sz w:val="21"/>
                <w:szCs w:val="21"/>
                <w:lang w:val="en-US"/>
              </w:rPr>
            </w:pPr>
            <w:r>
              <w:rPr>
                <w:rStyle w:val="6"/>
                <w:rFonts w:hint="eastAsia" w:ascii="黑体" w:hAnsi="黑体" w:eastAsia="黑体" w:cs="黑体"/>
                <w:b w:val="0"/>
                <w:bCs w:val="0"/>
                <w:kern w:val="21"/>
                <w:sz w:val="21"/>
                <w:szCs w:val="21"/>
                <w:lang w:val="en-US"/>
              </w:rPr>
              <w:t>级别释义</w:t>
            </w:r>
          </w:p>
        </w:tc>
      </w:tr>
      <w:tr w14:paraId="0B5D4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390" w:type="dxa"/>
            <w:vMerge w:val="restart"/>
            <w:tcBorders>
              <w:tl2br w:val="nil"/>
              <w:tr2bl w:val="nil"/>
            </w:tcBorders>
            <w:noWrap w:val="0"/>
            <w:vAlign w:val="center"/>
          </w:tcPr>
          <w:p w14:paraId="3BEA4D37">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评级维度</w:t>
            </w:r>
          </w:p>
        </w:tc>
        <w:tc>
          <w:tcPr>
            <w:tcW w:w="1174" w:type="dxa"/>
            <w:tcBorders>
              <w:tl2br w:val="nil"/>
              <w:tr2bl w:val="nil"/>
            </w:tcBorders>
            <w:noWrap w:val="0"/>
            <w:vAlign w:val="center"/>
          </w:tcPr>
          <w:p w14:paraId="03782DF0">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能源</w:t>
            </w:r>
            <w:r>
              <w:rPr>
                <w:rStyle w:val="6"/>
                <w:rFonts w:hint="eastAsia" w:ascii="宋体" w:hAnsi="宋体" w:eastAsia="宋体" w:cs="宋体"/>
                <w:b w:val="0"/>
                <w:bCs w:val="0"/>
                <w:kern w:val="21"/>
                <w:sz w:val="21"/>
                <w:szCs w:val="21"/>
                <w:lang w:val="en-US" w:eastAsia="zh-CN"/>
              </w:rPr>
              <w:tab/>
            </w:r>
            <w:r>
              <w:rPr>
                <w:rStyle w:val="6"/>
                <w:rFonts w:hint="eastAsia" w:ascii="宋体" w:hAnsi="宋体" w:eastAsia="宋体" w:cs="宋体"/>
                <w:b w:val="0"/>
                <w:bCs w:val="0"/>
                <w:kern w:val="21"/>
                <w:sz w:val="21"/>
                <w:szCs w:val="21"/>
                <w:lang w:val="en-US"/>
              </w:rPr>
              <w:t>效率</w:t>
            </w:r>
          </w:p>
        </w:tc>
        <w:tc>
          <w:tcPr>
            <w:tcW w:w="7372" w:type="dxa"/>
            <w:tcBorders>
              <w:tl2br w:val="nil"/>
              <w:tr2bl w:val="nil"/>
            </w:tcBorders>
            <w:noWrap w:val="0"/>
            <w:vAlign w:val="center"/>
          </w:tcPr>
          <w:p w14:paraId="7A00F130">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eastAsia="zh-CN"/>
              </w:rPr>
            </w:pPr>
            <w:r>
              <w:rPr>
                <w:rStyle w:val="6"/>
                <w:rFonts w:hint="eastAsia" w:ascii="宋体" w:hAnsi="宋体" w:eastAsia="宋体" w:cs="宋体"/>
                <w:b w:val="0"/>
                <w:bCs w:val="0"/>
                <w:kern w:val="21"/>
                <w:sz w:val="21"/>
                <w:szCs w:val="21"/>
                <w:lang w:val="en-US"/>
              </w:rPr>
              <w:t>评估企业的能源强度、能源强度变化率等指标与行业基准值的对比情况</w:t>
            </w:r>
            <w:r>
              <w:rPr>
                <w:rStyle w:val="6"/>
                <w:rFonts w:hint="eastAsia" w:ascii="宋体" w:hAnsi="宋体" w:eastAsia="宋体" w:cs="宋体"/>
                <w:b w:val="0"/>
                <w:bCs w:val="0"/>
                <w:kern w:val="21"/>
                <w:sz w:val="21"/>
                <w:szCs w:val="21"/>
                <w:lang w:val="en-US" w:eastAsia="zh-CN"/>
              </w:rPr>
              <w:t>。</w:t>
            </w:r>
          </w:p>
        </w:tc>
      </w:tr>
      <w:tr w14:paraId="6466A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390" w:type="dxa"/>
            <w:vMerge w:val="continue"/>
            <w:tcBorders>
              <w:tl2br w:val="nil"/>
              <w:tr2bl w:val="nil"/>
            </w:tcBorders>
            <w:noWrap w:val="0"/>
            <w:vAlign w:val="center"/>
          </w:tcPr>
          <w:p w14:paraId="2133AB6A">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p>
        </w:tc>
        <w:tc>
          <w:tcPr>
            <w:tcW w:w="1174" w:type="dxa"/>
            <w:tcBorders>
              <w:tl2br w:val="nil"/>
              <w:tr2bl w:val="nil"/>
            </w:tcBorders>
            <w:noWrap w:val="0"/>
            <w:vAlign w:val="center"/>
          </w:tcPr>
          <w:p w14:paraId="6982C1B3">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碳排放效率</w:t>
            </w:r>
          </w:p>
        </w:tc>
        <w:tc>
          <w:tcPr>
            <w:tcW w:w="7372" w:type="dxa"/>
            <w:tcBorders>
              <w:tl2br w:val="nil"/>
              <w:tr2bl w:val="nil"/>
            </w:tcBorders>
            <w:noWrap w:val="0"/>
            <w:vAlign w:val="center"/>
          </w:tcPr>
          <w:p w14:paraId="6E0AFC50">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eastAsia="zh-CN"/>
              </w:rPr>
            </w:pPr>
            <w:r>
              <w:rPr>
                <w:rStyle w:val="6"/>
                <w:rFonts w:hint="eastAsia" w:ascii="宋体" w:hAnsi="宋体" w:eastAsia="宋体" w:cs="宋体"/>
                <w:b w:val="0"/>
                <w:bCs w:val="0"/>
                <w:kern w:val="21"/>
                <w:sz w:val="21"/>
                <w:szCs w:val="21"/>
                <w:lang w:val="en-US"/>
              </w:rPr>
              <w:t>评估企业的碳生产力、碳强度变化率等指标与行业基准值的对比情况</w:t>
            </w:r>
            <w:r>
              <w:rPr>
                <w:rStyle w:val="6"/>
                <w:rFonts w:hint="eastAsia" w:ascii="宋体" w:hAnsi="宋体" w:eastAsia="宋体" w:cs="宋体"/>
                <w:b w:val="0"/>
                <w:bCs w:val="0"/>
                <w:kern w:val="21"/>
                <w:sz w:val="21"/>
                <w:szCs w:val="21"/>
                <w:lang w:val="en-US" w:eastAsia="zh-CN"/>
              </w:rPr>
              <w:t>。</w:t>
            </w:r>
          </w:p>
        </w:tc>
      </w:tr>
      <w:tr w14:paraId="30606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390" w:type="dxa"/>
            <w:vMerge w:val="continue"/>
            <w:tcBorders>
              <w:tl2br w:val="nil"/>
              <w:tr2bl w:val="nil"/>
            </w:tcBorders>
            <w:noWrap w:val="0"/>
            <w:vAlign w:val="center"/>
          </w:tcPr>
          <w:p w14:paraId="53FAD532">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p>
        </w:tc>
        <w:tc>
          <w:tcPr>
            <w:tcW w:w="1174" w:type="dxa"/>
            <w:tcBorders>
              <w:tl2br w:val="nil"/>
              <w:tr2bl w:val="nil"/>
            </w:tcBorders>
            <w:noWrap w:val="0"/>
            <w:vAlign w:val="center"/>
          </w:tcPr>
          <w:p w14:paraId="126651F5">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行业禀赋</w:t>
            </w:r>
          </w:p>
        </w:tc>
        <w:tc>
          <w:tcPr>
            <w:tcW w:w="7372" w:type="dxa"/>
            <w:tcBorders>
              <w:tl2br w:val="nil"/>
              <w:tr2bl w:val="nil"/>
            </w:tcBorders>
            <w:noWrap w:val="0"/>
            <w:vAlign w:val="center"/>
          </w:tcPr>
          <w:p w14:paraId="686DFD0B">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评估企业所属行业的碳生产力水平。</w:t>
            </w:r>
          </w:p>
        </w:tc>
      </w:tr>
      <w:tr w14:paraId="7C6D5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0" w:type="dxa"/>
            <w:vMerge w:val="restart"/>
            <w:tcBorders>
              <w:tl2br w:val="nil"/>
              <w:tr2bl w:val="nil"/>
            </w:tcBorders>
            <w:noWrap w:val="0"/>
            <w:vAlign w:val="center"/>
          </w:tcPr>
          <w:p w14:paraId="3D124381">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Fonts w:hint="eastAsia" w:ascii="宋体" w:hAnsi="宋体" w:eastAsia="宋体" w:cs="宋体"/>
                <w:b w:val="0"/>
                <w:bCs w:val="0"/>
                <w:kern w:val="21"/>
                <w:sz w:val="21"/>
                <w:szCs w:val="21"/>
                <w:lang w:val="en-US" w:eastAsia="zh-CN" w:bidi="ar-SA"/>
              </w:rPr>
            </w:pPr>
            <w:r>
              <w:rPr>
                <w:rStyle w:val="6"/>
                <w:rFonts w:hint="eastAsia" w:ascii="宋体" w:hAnsi="宋体" w:eastAsia="宋体" w:cs="宋体"/>
                <w:b w:val="0"/>
                <w:bCs w:val="0"/>
                <w:kern w:val="21"/>
                <w:sz w:val="21"/>
                <w:szCs w:val="21"/>
                <w:lang w:val="en-US"/>
              </w:rPr>
              <w:t>等级</w:t>
            </w:r>
            <w:bookmarkStart w:id="0" w:name="_GoBack"/>
            <w:bookmarkEnd w:id="0"/>
          </w:p>
        </w:tc>
        <w:tc>
          <w:tcPr>
            <w:tcW w:w="1174" w:type="dxa"/>
            <w:tcBorders>
              <w:tl2br w:val="nil"/>
              <w:tr2bl w:val="nil"/>
            </w:tcBorders>
            <w:noWrap w:val="0"/>
            <w:vAlign w:val="center"/>
          </w:tcPr>
          <w:p w14:paraId="22793B2B">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AAA</w:t>
            </w:r>
          </w:p>
        </w:tc>
        <w:tc>
          <w:tcPr>
            <w:tcW w:w="7372" w:type="dxa"/>
            <w:tcBorders>
              <w:tl2br w:val="nil"/>
              <w:tr2bl w:val="nil"/>
            </w:tcBorders>
            <w:noWrap w:val="0"/>
            <w:vAlign w:val="center"/>
          </w:tcPr>
          <w:p w14:paraId="57DF75B4">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企业碳绩效评级最高级别。</w:t>
            </w:r>
          </w:p>
          <w:p w14:paraId="22687417">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表示企业发展完全契合国家双碳战略规划，能为国家双碳目标做出突出贡献。当前生产经营的碳排放、能源消耗极低，且仍在继续降低，并远优于行业基准值。</w:t>
            </w:r>
          </w:p>
        </w:tc>
      </w:tr>
      <w:tr w14:paraId="3D0B5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0" w:type="dxa"/>
            <w:vMerge w:val="continue"/>
            <w:tcBorders>
              <w:tl2br w:val="nil"/>
              <w:tr2bl w:val="nil"/>
            </w:tcBorders>
            <w:noWrap w:val="0"/>
            <w:vAlign w:val="center"/>
          </w:tcPr>
          <w:p w14:paraId="5529E4CB">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p>
        </w:tc>
        <w:tc>
          <w:tcPr>
            <w:tcW w:w="1174" w:type="dxa"/>
            <w:tcBorders>
              <w:tl2br w:val="nil"/>
              <w:tr2bl w:val="nil"/>
            </w:tcBorders>
            <w:noWrap w:val="0"/>
            <w:vAlign w:val="center"/>
          </w:tcPr>
          <w:p w14:paraId="00A44837">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AA</w:t>
            </w:r>
          </w:p>
        </w:tc>
        <w:tc>
          <w:tcPr>
            <w:tcW w:w="7372" w:type="dxa"/>
            <w:tcBorders>
              <w:tl2br w:val="nil"/>
              <w:tr2bl w:val="nil"/>
            </w:tcBorders>
            <w:noWrap w:val="0"/>
            <w:vAlign w:val="center"/>
          </w:tcPr>
          <w:p w14:paraId="0A0D6957">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AU"/>
              </w:rPr>
            </w:pPr>
            <w:r>
              <w:rPr>
                <w:rStyle w:val="6"/>
                <w:rFonts w:hint="eastAsia" w:ascii="宋体" w:hAnsi="宋体" w:eastAsia="宋体" w:cs="宋体"/>
                <w:b w:val="0"/>
                <w:bCs w:val="0"/>
                <w:kern w:val="21"/>
                <w:sz w:val="21"/>
                <w:szCs w:val="21"/>
                <w:lang w:val="en-AU"/>
              </w:rPr>
              <w:t>企业碳绩效评级高级别。</w:t>
            </w:r>
          </w:p>
          <w:p w14:paraId="4B607C2C">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AU"/>
              </w:rPr>
              <w:t>表示企业发展较为契合国家双碳战略规划，能为国家双碳目标做出一定贡献。当前生产经营的碳排放、能源消耗很低，且仍在降低，并优于行业基准值。</w:t>
            </w:r>
          </w:p>
        </w:tc>
      </w:tr>
      <w:tr w14:paraId="3599E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0" w:type="dxa"/>
            <w:vMerge w:val="continue"/>
            <w:tcBorders>
              <w:tl2br w:val="nil"/>
              <w:tr2bl w:val="nil"/>
            </w:tcBorders>
            <w:noWrap w:val="0"/>
            <w:vAlign w:val="center"/>
          </w:tcPr>
          <w:p w14:paraId="7E25956E">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Fonts w:hint="eastAsia" w:ascii="宋体" w:hAnsi="宋体" w:eastAsia="宋体" w:cs="宋体"/>
                <w:b w:val="0"/>
                <w:bCs w:val="0"/>
                <w:kern w:val="21"/>
                <w:sz w:val="21"/>
                <w:szCs w:val="21"/>
                <w:lang w:val="en-US" w:eastAsia="zh-CN" w:bidi="ar-SA"/>
              </w:rPr>
            </w:pPr>
          </w:p>
        </w:tc>
        <w:tc>
          <w:tcPr>
            <w:tcW w:w="1174" w:type="dxa"/>
            <w:tcBorders>
              <w:tl2br w:val="nil"/>
              <w:tr2bl w:val="nil"/>
            </w:tcBorders>
            <w:noWrap w:val="0"/>
            <w:vAlign w:val="center"/>
          </w:tcPr>
          <w:p w14:paraId="5F083C4F">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A</w:t>
            </w:r>
          </w:p>
        </w:tc>
        <w:tc>
          <w:tcPr>
            <w:tcW w:w="7372" w:type="dxa"/>
            <w:tcBorders>
              <w:tl2br w:val="nil"/>
              <w:tr2bl w:val="nil"/>
            </w:tcBorders>
            <w:noWrap w:val="0"/>
            <w:vAlign w:val="center"/>
          </w:tcPr>
          <w:p w14:paraId="76E1F969">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AU"/>
              </w:rPr>
            </w:pPr>
            <w:r>
              <w:rPr>
                <w:rStyle w:val="6"/>
                <w:rFonts w:hint="eastAsia" w:ascii="宋体" w:hAnsi="宋体" w:eastAsia="宋体" w:cs="宋体"/>
                <w:b w:val="0"/>
                <w:bCs w:val="0"/>
                <w:kern w:val="21"/>
                <w:sz w:val="21"/>
                <w:szCs w:val="21"/>
                <w:lang w:val="en-AU"/>
              </w:rPr>
              <w:t>企业碳绩效评级较高级别。</w:t>
            </w:r>
          </w:p>
          <w:p w14:paraId="6C906911">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AU"/>
              </w:rPr>
              <w:t>表示企业发展适应国家双碳战略规划，能帮助国家实现双碳目标。当前生产经营的碳排放、能源消耗较低，或者变化速率持续降低，并略优于行业基准值。</w:t>
            </w:r>
          </w:p>
        </w:tc>
      </w:tr>
      <w:tr w14:paraId="7DA67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0" w:type="dxa"/>
            <w:vMerge w:val="continue"/>
            <w:tcBorders>
              <w:tl2br w:val="nil"/>
              <w:tr2bl w:val="nil"/>
            </w:tcBorders>
            <w:noWrap w:val="0"/>
            <w:vAlign w:val="center"/>
          </w:tcPr>
          <w:p w14:paraId="3B176676">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p>
        </w:tc>
        <w:tc>
          <w:tcPr>
            <w:tcW w:w="1174" w:type="dxa"/>
            <w:tcBorders>
              <w:tl2br w:val="nil"/>
              <w:tr2bl w:val="nil"/>
            </w:tcBorders>
            <w:noWrap w:val="0"/>
            <w:vAlign w:val="center"/>
          </w:tcPr>
          <w:p w14:paraId="2619BA59">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BBB</w:t>
            </w:r>
          </w:p>
        </w:tc>
        <w:tc>
          <w:tcPr>
            <w:tcW w:w="7372" w:type="dxa"/>
            <w:tcBorders>
              <w:tl2br w:val="nil"/>
              <w:tr2bl w:val="nil"/>
            </w:tcBorders>
            <w:noWrap w:val="0"/>
            <w:vAlign w:val="center"/>
          </w:tcPr>
          <w:p w14:paraId="2F33EA7D">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AU"/>
              </w:rPr>
            </w:pPr>
            <w:r>
              <w:rPr>
                <w:rStyle w:val="6"/>
                <w:rFonts w:hint="eastAsia" w:ascii="宋体" w:hAnsi="宋体" w:eastAsia="宋体" w:cs="宋体"/>
                <w:b w:val="0"/>
                <w:bCs w:val="0"/>
                <w:kern w:val="21"/>
                <w:sz w:val="21"/>
                <w:szCs w:val="21"/>
                <w:lang w:val="en-AU"/>
              </w:rPr>
              <w:t>企业碳绩效评级中等级别。</w:t>
            </w:r>
          </w:p>
          <w:p w14:paraId="7DA490BE">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AU"/>
              </w:rPr>
              <w:t>表示企业发展可适应国家双碳战略规划。当前生产经营的碳排放、能源消耗不高，或者变化速率持续降低，并与行业基准值水平相当。</w:t>
            </w:r>
          </w:p>
        </w:tc>
      </w:tr>
      <w:tr w14:paraId="3875A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0" w:type="dxa"/>
            <w:vMerge w:val="continue"/>
            <w:tcBorders>
              <w:tl2br w:val="nil"/>
              <w:tr2bl w:val="nil"/>
            </w:tcBorders>
            <w:noWrap w:val="0"/>
            <w:vAlign w:val="center"/>
          </w:tcPr>
          <w:p w14:paraId="00C4917B">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p>
        </w:tc>
        <w:tc>
          <w:tcPr>
            <w:tcW w:w="1174" w:type="dxa"/>
            <w:tcBorders>
              <w:tl2br w:val="nil"/>
              <w:tr2bl w:val="nil"/>
            </w:tcBorders>
            <w:noWrap w:val="0"/>
            <w:vAlign w:val="center"/>
          </w:tcPr>
          <w:p w14:paraId="6DCFE849">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BB</w:t>
            </w:r>
          </w:p>
        </w:tc>
        <w:tc>
          <w:tcPr>
            <w:tcW w:w="7372" w:type="dxa"/>
            <w:tcBorders>
              <w:tl2br w:val="nil"/>
              <w:tr2bl w:val="nil"/>
            </w:tcBorders>
            <w:noWrap w:val="0"/>
            <w:vAlign w:val="center"/>
          </w:tcPr>
          <w:p w14:paraId="4DA54E93">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AU"/>
              </w:rPr>
            </w:pPr>
            <w:r>
              <w:rPr>
                <w:rStyle w:val="6"/>
                <w:rFonts w:hint="eastAsia" w:ascii="宋体" w:hAnsi="宋体" w:eastAsia="宋体" w:cs="宋体"/>
                <w:b w:val="0"/>
                <w:bCs w:val="0"/>
                <w:kern w:val="21"/>
                <w:sz w:val="21"/>
                <w:szCs w:val="21"/>
                <w:lang w:val="en-AU"/>
              </w:rPr>
              <w:t>企业碳绩效评级中等偏下级别。</w:t>
            </w:r>
          </w:p>
          <w:p w14:paraId="5E087B6D">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AU"/>
              </w:rPr>
              <w:t>表示企业发展不违背国家双碳战略规划。当前生产经营的碳排放、能源消耗水平一般，并差于行业基准水平。</w:t>
            </w:r>
          </w:p>
        </w:tc>
      </w:tr>
      <w:tr w14:paraId="6FB13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0" w:type="dxa"/>
            <w:vMerge w:val="continue"/>
            <w:tcBorders>
              <w:tl2br w:val="nil"/>
              <w:tr2bl w:val="nil"/>
            </w:tcBorders>
            <w:noWrap w:val="0"/>
            <w:vAlign w:val="center"/>
          </w:tcPr>
          <w:p w14:paraId="5784BA94">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Fonts w:hint="eastAsia" w:ascii="宋体" w:hAnsi="宋体" w:eastAsia="宋体" w:cs="宋体"/>
                <w:b w:val="0"/>
                <w:bCs w:val="0"/>
                <w:kern w:val="21"/>
                <w:sz w:val="21"/>
                <w:szCs w:val="21"/>
                <w:lang w:val="en-US" w:eastAsia="zh-CN" w:bidi="ar-SA"/>
              </w:rPr>
            </w:pPr>
          </w:p>
        </w:tc>
        <w:tc>
          <w:tcPr>
            <w:tcW w:w="1174" w:type="dxa"/>
            <w:tcBorders>
              <w:tl2br w:val="nil"/>
              <w:tr2bl w:val="nil"/>
            </w:tcBorders>
            <w:noWrap w:val="0"/>
            <w:vAlign w:val="center"/>
          </w:tcPr>
          <w:p w14:paraId="1546E98E">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B</w:t>
            </w:r>
          </w:p>
        </w:tc>
        <w:tc>
          <w:tcPr>
            <w:tcW w:w="7372" w:type="dxa"/>
            <w:tcBorders>
              <w:tl2br w:val="nil"/>
              <w:tr2bl w:val="nil"/>
            </w:tcBorders>
            <w:noWrap w:val="0"/>
            <w:vAlign w:val="center"/>
          </w:tcPr>
          <w:p w14:paraId="404D66AF">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AU"/>
              </w:rPr>
            </w:pPr>
            <w:r>
              <w:rPr>
                <w:rStyle w:val="6"/>
                <w:rFonts w:hint="eastAsia" w:ascii="宋体" w:hAnsi="宋体" w:eastAsia="宋体" w:cs="宋体"/>
                <w:b w:val="0"/>
                <w:bCs w:val="0"/>
                <w:kern w:val="21"/>
                <w:sz w:val="21"/>
                <w:szCs w:val="21"/>
                <w:lang w:val="en-AU"/>
              </w:rPr>
              <w:t>企业碳绩效评级中低级别。</w:t>
            </w:r>
          </w:p>
          <w:p w14:paraId="2F4EE66E">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AU"/>
              </w:rPr>
              <w:t>表示企业发展目前不适应国家双碳战略规划。当前生产经营的碳排放、能源消耗水平略高，并差于行业基准水平。</w:t>
            </w:r>
          </w:p>
        </w:tc>
      </w:tr>
      <w:tr w14:paraId="029C9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0" w:type="dxa"/>
            <w:vMerge w:val="continue"/>
            <w:tcBorders>
              <w:tl2br w:val="nil"/>
              <w:tr2bl w:val="nil"/>
            </w:tcBorders>
            <w:noWrap w:val="0"/>
            <w:vAlign w:val="center"/>
          </w:tcPr>
          <w:p w14:paraId="19E091CA">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p>
        </w:tc>
        <w:tc>
          <w:tcPr>
            <w:tcW w:w="1174" w:type="dxa"/>
            <w:tcBorders>
              <w:tl2br w:val="nil"/>
              <w:tr2bl w:val="nil"/>
            </w:tcBorders>
            <w:noWrap w:val="0"/>
            <w:vAlign w:val="center"/>
          </w:tcPr>
          <w:p w14:paraId="7015DF61">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CCC</w:t>
            </w:r>
          </w:p>
        </w:tc>
        <w:tc>
          <w:tcPr>
            <w:tcW w:w="7372" w:type="dxa"/>
            <w:tcBorders>
              <w:tl2br w:val="nil"/>
              <w:tr2bl w:val="nil"/>
            </w:tcBorders>
            <w:noWrap w:val="0"/>
            <w:vAlign w:val="center"/>
          </w:tcPr>
          <w:p w14:paraId="0D23F8B2">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AU"/>
              </w:rPr>
            </w:pPr>
            <w:r>
              <w:rPr>
                <w:rStyle w:val="6"/>
                <w:rFonts w:hint="eastAsia" w:ascii="宋体" w:hAnsi="宋体" w:eastAsia="宋体" w:cs="宋体"/>
                <w:b w:val="0"/>
                <w:bCs w:val="0"/>
                <w:kern w:val="21"/>
                <w:sz w:val="21"/>
                <w:szCs w:val="21"/>
                <w:lang w:val="en-AU"/>
              </w:rPr>
              <w:t>企业碳绩效评级低级别。</w:t>
            </w:r>
          </w:p>
          <w:p w14:paraId="3375396F">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AU"/>
              </w:rPr>
              <w:t>表示企业发展目前有所违背国家双碳战略规划。当前生产经营的碳排放、能源消耗水平较高，并差于行业基准值水平。</w:t>
            </w:r>
          </w:p>
        </w:tc>
      </w:tr>
      <w:tr w14:paraId="33923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0" w:type="dxa"/>
            <w:vMerge w:val="continue"/>
            <w:tcBorders>
              <w:tl2br w:val="nil"/>
              <w:tr2bl w:val="nil"/>
            </w:tcBorders>
            <w:noWrap w:val="0"/>
            <w:vAlign w:val="center"/>
          </w:tcPr>
          <w:p w14:paraId="3AA20F45">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p>
        </w:tc>
        <w:tc>
          <w:tcPr>
            <w:tcW w:w="1174" w:type="dxa"/>
            <w:tcBorders>
              <w:tl2br w:val="nil"/>
              <w:tr2bl w:val="nil"/>
            </w:tcBorders>
            <w:noWrap w:val="0"/>
            <w:vAlign w:val="center"/>
          </w:tcPr>
          <w:p w14:paraId="68BBE54B">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CC</w:t>
            </w:r>
          </w:p>
        </w:tc>
        <w:tc>
          <w:tcPr>
            <w:tcW w:w="7372" w:type="dxa"/>
            <w:tcBorders>
              <w:tl2br w:val="nil"/>
              <w:tr2bl w:val="nil"/>
            </w:tcBorders>
            <w:noWrap w:val="0"/>
            <w:vAlign w:val="center"/>
          </w:tcPr>
          <w:p w14:paraId="6FA24861">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AU"/>
              </w:rPr>
            </w:pPr>
            <w:r>
              <w:rPr>
                <w:rStyle w:val="6"/>
                <w:rFonts w:hint="eastAsia" w:ascii="宋体" w:hAnsi="宋体" w:eastAsia="宋体" w:cs="宋体"/>
                <w:b w:val="0"/>
                <w:bCs w:val="0"/>
                <w:kern w:val="21"/>
                <w:sz w:val="21"/>
                <w:szCs w:val="21"/>
                <w:lang w:val="en-AU"/>
              </w:rPr>
              <w:t>企业碳绩效评级次低级别。</w:t>
            </w:r>
          </w:p>
          <w:p w14:paraId="5B366923">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AU"/>
              </w:rPr>
              <w:t>表示企业发展目前或者将来违背国家双碳战略规划。当前生产经营的碳排放、能源消耗水平较高，并远差于行业基准水平。</w:t>
            </w:r>
          </w:p>
        </w:tc>
      </w:tr>
      <w:tr w14:paraId="5A634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0" w:type="dxa"/>
            <w:vMerge w:val="continue"/>
            <w:tcBorders>
              <w:tl2br w:val="nil"/>
              <w:tr2bl w:val="nil"/>
            </w:tcBorders>
            <w:noWrap w:val="0"/>
            <w:vAlign w:val="center"/>
          </w:tcPr>
          <w:p w14:paraId="5813C77A">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p>
        </w:tc>
        <w:tc>
          <w:tcPr>
            <w:tcW w:w="1174" w:type="dxa"/>
            <w:tcBorders>
              <w:tl2br w:val="nil"/>
              <w:tr2bl w:val="nil"/>
            </w:tcBorders>
            <w:noWrap w:val="0"/>
            <w:vAlign w:val="center"/>
          </w:tcPr>
          <w:p w14:paraId="2E893729">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center"/>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US"/>
              </w:rPr>
              <w:t>C</w:t>
            </w:r>
          </w:p>
        </w:tc>
        <w:tc>
          <w:tcPr>
            <w:tcW w:w="7372" w:type="dxa"/>
            <w:tcBorders>
              <w:tl2br w:val="nil"/>
              <w:tr2bl w:val="nil"/>
            </w:tcBorders>
            <w:noWrap w:val="0"/>
            <w:vAlign w:val="center"/>
          </w:tcPr>
          <w:p w14:paraId="05CA92B5">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AU"/>
              </w:rPr>
            </w:pPr>
            <w:r>
              <w:rPr>
                <w:rStyle w:val="6"/>
                <w:rFonts w:hint="eastAsia" w:ascii="宋体" w:hAnsi="宋体" w:eastAsia="宋体" w:cs="宋体"/>
                <w:b w:val="0"/>
                <w:bCs w:val="0"/>
                <w:kern w:val="21"/>
                <w:sz w:val="21"/>
                <w:szCs w:val="21"/>
                <w:lang w:val="en-AU"/>
              </w:rPr>
              <w:t>企业碳绩效评级最低级别。</w:t>
            </w:r>
          </w:p>
          <w:p w14:paraId="74C79F0C">
            <w:pPr>
              <w:pStyle w:val="3"/>
              <w:keepNext w:val="0"/>
              <w:keepLines w:val="0"/>
              <w:pageBreakBefore w:val="0"/>
              <w:widowControl w:val="0"/>
              <w:kinsoku/>
              <w:wordWrap/>
              <w:overflowPunct/>
              <w:topLinePunct w:val="0"/>
              <w:autoSpaceDE/>
              <w:autoSpaceDN/>
              <w:bidi w:val="0"/>
              <w:adjustRightInd/>
              <w:snapToGrid/>
              <w:spacing w:before="32" w:beforeLines="10" w:after="32" w:afterLines="10" w:line="300" w:lineRule="exact"/>
              <w:ind w:left="-63" w:leftChars="-30" w:right="-63" w:rightChars="-30" w:firstLine="0" w:firstLineChars="0"/>
              <w:jc w:val="both"/>
              <w:textAlignment w:val="auto"/>
              <w:outlineLvl w:val="9"/>
              <w:rPr>
                <w:rStyle w:val="6"/>
                <w:rFonts w:hint="eastAsia" w:ascii="宋体" w:hAnsi="宋体" w:eastAsia="宋体" w:cs="宋体"/>
                <w:b w:val="0"/>
                <w:bCs w:val="0"/>
                <w:kern w:val="21"/>
                <w:sz w:val="21"/>
                <w:szCs w:val="21"/>
                <w:lang w:val="en-US"/>
              </w:rPr>
            </w:pPr>
            <w:r>
              <w:rPr>
                <w:rStyle w:val="6"/>
                <w:rFonts w:hint="eastAsia" w:ascii="宋体" w:hAnsi="宋体" w:eastAsia="宋体" w:cs="宋体"/>
                <w:b w:val="0"/>
                <w:bCs w:val="0"/>
                <w:kern w:val="21"/>
                <w:sz w:val="21"/>
                <w:szCs w:val="21"/>
                <w:lang w:val="en-AU"/>
              </w:rPr>
              <w:t>表示企业发展目前且将来都违背国家双碳战略规划。当前生产经营的碳排放、能源消耗水平高，且没有下降趋势。</w:t>
            </w:r>
          </w:p>
        </w:tc>
      </w:tr>
    </w:tbl>
    <w:p w14:paraId="65CF4842"/>
    <w:sectPr>
      <w:pgSz w:w="11906" w:h="16838"/>
      <w:pgMar w:top="2268" w:right="1417" w:bottom="226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TA0ZGFlNzI0NmI0N2FiNGI1MzFhYTlmMDJhN2QifQ=="/>
  </w:docVars>
  <w:rsids>
    <w:rsidRoot w:val="54C0161E"/>
    <w:rsid w:val="54C01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3"/>
    <w:qFormat/>
    <w:uiPriority w:val="0"/>
    <w:pPr>
      <w:spacing w:line="400" w:lineRule="atLeast"/>
      <w:ind w:firstLine="480" w:firstLineChars="200"/>
      <w:outlineLvl w:val="0"/>
    </w:pPr>
    <w:rPr>
      <w:rFonts w:ascii="黑体" w:hAnsi="宋体" w:eastAsia="黑体"/>
      <w:bCs/>
      <w:kern w:val="44"/>
      <w:sz w:val="24"/>
      <w:szCs w:val="2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Char1 Char Char Char Char Char Char"/>
    <w:basedOn w:val="1"/>
    <w:qFormat/>
    <w:uiPriority w:val="0"/>
    <w:pPr>
      <w:widowControl/>
      <w:adjustRightInd w:val="0"/>
      <w:snapToGrid w:val="0"/>
      <w:spacing w:beforeLines="25" w:line="240" w:lineRule="exact"/>
      <w:ind w:firstLine="560" w:firstLineChars="192"/>
      <w:jc w:val="left"/>
    </w:pPr>
    <w:rPr>
      <w:rFonts w:ascii="宋体" w:hAnsi="宋体" w:eastAsia="仿宋_GB2312"/>
      <w:kern w:val="0"/>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2024-08-14T07:28:00Z</dcterms:created>
  <dc:creator>龙瑶</dc:creator>
  <cp:lastModifiedBy>龙瑶</cp:lastModifiedBy>
  <dcterms:modified xsi:type="dcterms:W3CDTF">2024-08-14T07:34:03Z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C11EEA5A0F4C461A8E033CC05FBB9A10_11</vt:lpwstr>
  </property>
</Properties>
</file>