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val="0"/>
        <w:snapToGrid w:val="0"/>
        <w:spacing w:line="396" w:lineRule="atLeast"/>
        <w:ind w:left="0" w:leftChars="0" w:right="0" w:rightChars="0" w:firstLine="0" w:firstLineChars="0"/>
        <w:jc w:val="both"/>
        <w:textAlignment w:val="auto"/>
        <w:outlineLvl w:val="9"/>
        <w:rPr>
          <w:rFonts w:hint="eastAsia" w:ascii="宋体" w:hAnsi="宋体" w:eastAsia="宋体" w:cs="宋体"/>
          <w:b w:val="0"/>
          <w:bCs w:val="0"/>
          <w:caps w:val="0"/>
          <w:kern w:val="21"/>
          <w:sz w:val="24"/>
          <w:szCs w:val="24"/>
        </w:rPr>
      </w:pPr>
      <w:r>
        <w:rPr>
          <w:rFonts w:hint="eastAsia" w:ascii="宋体" w:hAnsi="宋体" w:eastAsia="宋体" w:cs="宋体"/>
          <w:b w:val="0"/>
          <w:bCs w:val="0"/>
          <w:caps w:val="0"/>
          <w:kern w:val="21"/>
          <w:sz w:val="24"/>
          <w:szCs w:val="24"/>
        </w:rPr>
        <w:t>附件</w:t>
      </w:r>
    </w:p>
    <w:p>
      <w:pPr>
        <w:pStyle w:val="4"/>
        <w:keepNext w:val="0"/>
        <w:keepLines w:val="0"/>
        <w:pageBreakBefore w:val="0"/>
        <w:widowControl/>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aps w:val="0"/>
          <w:kern w:val="21"/>
          <w:sz w:val="36"/>
          <w:szCs w:val="36"/>
        </w:rPr>
      </w:pPr>
      <w:r>
        <w:rPr>
          <w:rFonts w:hint="eastAsia" w:ascii="宋体" w:hAnsi="宋体" w:eastAsia="宋体" w:cs="宋体"/>
          <w:b w:val="0"/>
          <w:bCs w:val="0"/>
          <w:caps w:val="0"/>
          <w:kern w:val="21"/>
          <w:sz w:val="36"/>
          <w:szCs w:val="36"/>
        </w:rPr>
        <w:t>名词解释</w:t>
      </w:r>
    </w:p>
    <w:p>
      <w:pPr>
        <w:keepNext w:val="0"/>
        <w:keepLines w:val="0"/>
        <w:pageBreakBefore w:val="0"/>
        <w:widowControl w:val="0"/>
        <w:kinsoku/>
        <w:wordWrap/>
        <w:overflowPunct/>
        <w:topLinePunct w:val="0"/>
        <w:autoSpaceDE/>
        <w:autoSpaceDN/>
        <w:bidi w:val="0"/>
        <w:adjustRightInd/>
        <w:snapToGrid/>
        <w:spacing w:before="157" w:beforeLines="50" w:line="396" w:lineRule="atLeast"/>
        <w:ind w:firstLine="480" w:firstLineChars="200"/>
        <w:textAlignment w:val="auto"/>
        <w:rPr>
          <w:rFonts w:hint="eastAsia" w:ascii="宋体" w:hAnsi="宋体" w:eastAsia="宋体" w:cs="宋体"/>
          <w:sz w:val="24"/>
          <w:szCs w:val="24"/>
        </w:rPr>
      </w:pPr>
      <w:r>
        <w:rPr>
          <w:rFonts w:hint="eastAsia" w:ascii="黑体" w:hAnsi="黑体" w:eastAsia="黑体" w:cs="黑体"/>
          <w:sz w:val="24"/>
          <w:szCs w:val="24"/>
        </w:rPr>
        <w:t>种业企业</w:t>
      </w:r>
      <w:r>
        <w:rPr>
          <w:rFonts w:hint="eastAsia" w:ascii="宋体" w:hAnsi="宋体" w:eastAsia="宋体" w:cs="宋体"/>
          <w:sz w:val="24"/>
          <w:szCs w:val="24"/>
        </w:rPr>
        <w:t>：是指从事《中华人民共和国渔业法》所规定的水产苗种种质资源保护、培育和生产经营等活动，有生产基地，并取得相应生产经营许可证的企业。</w:t>
      </w:r>
    </w:p>
    <w:p>
      <w:pPr>
        <w:keepNext w:val="0"/>
        <w:keepLines w:val="0"/>
        <w:pageBreakBefore w:val="0"/>
        <w:widowControl w:val="0"/>
        <w:kinsoku/>
        <w:wordWrap/>
        <w:overflowPunct/>
        <w:topLinePunct w:val="0"/>
        <w:autoSpaceDE/>
        <w:autoSpaceDN/>
        <w:bidi w:val="0"/>
        <w:adjustRightInd/>
        <w:snapToGrid/>
        <w:spacing w:line="396" w:lineRule="atLeast"/>
        <w:ind w:firstLine="480" w:firstLineChars="200"/>
        <w:textAlignment w:val="auto"/>
        <w:rPr>
          <w:rFonts w:hint="eastAsia" w:ascii="宋体" w:hAnsi="宋体" w:eastAsia="宋体" w:cs="宋体"/>
          <w:sz w:val="24"/>
          <w:szCs w:val="24"/>
        </w:rPr>
      </w:pPr>
      <w:r>
        <w:rPr>
          <w:rFonts w:hint="eastAsia" w:ascii="黑体" w:hAnsi="黑体" w:eastAsia="黑体" w:cs="黑体"/>
          <w:sz w:val="24"/>
          <w:szCs w:val="24"/>
        </w:rPr>
        <w:t>简易生态型池塘</w:t>
      </w:r>
      <w:r>
        <w:rPr>
          <w:rFonts w:hint="eastAsia" w:ascii="宋体" w:hAnsi="宋体" w:eastAsia="宋体" w:cs="宋体"/>
          <w:sz w:val="24"/>
          <w:szCs w:val="24"/>
        </w:rPr>
        <w:t>：（1）池塘改造标准：池塘应当具有完善排灌系统，灌排水原则上分开；鱼塘规划合理，基坡稳固，蓄水深度达2米以上；供电等配套设施完善。（2）尾水治理流程：可减小池塘污染，池塘养殖水处理后循环使用。主要包括养殖池塘——排水渠（管道）——生态循环池——养殖池塘的内部循环流程等。</w:t>
      </w:r>
    </w:p>
    <w:p>
      <w:pPr>
        <w:keepNext w:val="0"/>
        <w:keepLines w:val="0"/>
        <w:pageBreakBefore w:val="0"/>
        <w:widowControl w:val="0"/>
        <w:kinsoku/>
        <w:wordWrap/>
        <w:overflowPunct/>
        <w:topLinePunct w:val="0"/>
        <w:autoSpaceDE/>
        <w:autoSpaceDN/>
        <w:bidi w:val="0"/>
        <w:adjustRightInd/>
        <w:snapToGrid/>
        <w:spacing w:line="396" w:lineRule="atLeast"/>
        <w:ind w:firstLine="480" w:firstLineChars="200"/>
        <w:textAlignment w:val="auto"/>
        <w:rPr>
          <w:rFonts w:hint="eastAsia" w:ascii="宋体" w:hAnsi="宋体" w:eastAsia="宋体" w:cs="宋体"/>
          <w:sz w:val="24"/>
          <w:szCs w:val="24"/>
        </w:rPr>
      </w:pPr>
      <w:r>
        <w:rPr>
          <w:rFonts w:hint="eastAsia" w:ascii="黑体" w:hAnsi="黑体" w:eastAsia="黑体" w:cs="黑体"/>
          <w:sz w:val="24"/>
          <w:szCs w:val="24"/>
        </w:rPr>
        <w:t>标准生产型池塘</w:t>
      </w:r>
      <w:r>
        <w:rPr>
          <w:rFonts w:hint="eastAsia" w:ascii="宋体" w:hAnsi="宋体" w:eastAsia="宋体" w:cs="宋体"/>
          <w:sz w:val="24"/>
          <w:szCs w:val="24"/>
        </w:rPr>
        <w:t>：（1）池塘改造标准：鱼塘应当具备完善排灌、增氧系统，一般要求配置有开放式或封闭循环式供水系统和充气增氧系统；鱼塘规划合理，塘基坡合</w:t>
      </w:r>
      <w:bookmarkStart w:id="0" w:name="_GoBack"/>
      <w:bookmarkEnd w:id="0"/>
      <w:r>
        <w:rPr>
          <w:rFonts w:hint="eastAsia" w:ascii="宋体" w:hAnsi="宋体" w:eastAsia="宋体" w:cs="宋体"/>
          <w:sz w:val="24"/>
          <w:szCs w:val="24"/>
        </w:rPr>
        <w:t>理，稳固，蓄水深度达2米以上；养殖场主干道宽3米以上，副干道宽2米以上。（2）尾水治理流程：处理后水质达到排放标准，可循环使用或达标排放。主要包括养殖池塘——排水渠（管道）——沉淀池——过滤坝（池）——曝气氧化池——生态净化池——养殖池塘的内部循环流程（养殖池塘）或外部河道等处理流程等。</w:t>
      </w:r>
    </w:p>
    <w:p>
      <w:pPr>
        <w:keepNext w:val="0"/>
        <w:keepLines w:val="0"/>
        <w:pageBreakBefore w:val="0"/>
        <w:widowControl w:val="0"/>
        <w:kinsoku/>
        <w:wordWrap/>
        <w:overflowPunct/>
        <w:topLinePunct w:val="0"/>
        <w:autoSpaceDE/>
        <w:autoSpaceDN/>
        <w:bidi w:val="0"/>
        <w:adjustRightInd/>
        <w:snapToGrid/>
        <w:spacing w:line="396" w:lineRule="atLeast"/>
        <w:ind w:firstLine="480" w:firstLineChars="200"/>
        <w:textAlignment w:val="auto"/>
        <w:rPr>
          <w:rFonts w:hint="eastAsia" w:ascii="宋体" w:hAnsi="宋体" w:eastAsia="宋体" w:cs="宋体"/>
          <w:sz w:val="24"/>
          <w:szCs w:val="24"/>
        </w:rPr>
      </w:pPr>
      <w:r>
        <w:rPr>
          <w:rFonts w:hint="eastAsia" w:ascii="黑体" w:hAnsi="黑体" w:eastAsia="黑体" w:cs="黑体"/>
          <w:sz w:val="24"/>
          <w:szCs w:val="24"/>
        </w:rPr>
        <w:t>金枪鱼</w:t>
      </w:r>
      <w:r>
        <w:rPr>
          <w:rFonts w:hint="eastAsia" w:ascii="宋体" w:hAnsi="宋体" w:eastAsia="宋体" w:cs="宋体"/>
          <w:sz w:val="24"/>
          <w:szCs w:val="24"/>
        </w:rPr>
        <w:t>：本规程中金枪鱼专指北方蓝鳍金枪鱼、南方蓝鳍金枪鱼（马苏金枪鱼）、大眼金枪鱼、黄鳍金枪鱼、长鳍金枪鱼、鲣鱼。</w:t>
      </w:r>
    </w:p>
    <w:p>
      <w:pPr>
        <w:keepNext w:val="0"/>
        <w:keepLines w:val="0"/>
        <w:pageBreakBefore w:val="0"/>
        <w:widowControl w:val="0"/>
        <w:kinsoku/>
        <w:wordWrap/>
        <w:overflowPunct/>
        <w:topLinePunct w:val="0"/>
        <w:autoSpaceDE/>
        <w:autoSpaceDN/>
        <w:bidi w:val="0"/>
        <w:adjustRightInd/>
        <w:snapToGrid/>
        <w:spacing w:line="396" w:lineRule="atLeast"/>
        <w:ind w:firstLine="480" w:firstLineChars="200"/>
        <w:textAlignment w:val="auto"/>
        <w:rPr>
          <w:rFonts w:hint="eastAsia" w:ascii="宋体" w:hAnsi="宋体" w:eastAsia="宋体" w:cs="宋体"/>
          <w:sz w:val="24"/>
          <w:szCs w:val="24"/>
        </w:rPr>
      </w:pPr>
      <w:r>
        <w:rPr>
          <w:rFonts w:hint="eastAsia" w:ascii="黑体" w:hAnsi="黑体" w:eastAsia="黑体" w:cs="黑体"/>
          <w:sz w:val="24"/>
          <w:szCs w:val="24"/>
        </w:rPr>
        <w:t>海运超低温</w:t>
      </w:r>
      <w:r>
        <w:rPr>
          <w:rFonts w:hint="eastAsia" w:ascii="宋体" w:hAnsi="宋体" w:eastAsia="宋体" w:cs="宋体"/>
          <w:sz w:val="24"/>
          <w:szCs w:val="24"/>
        </w:rPr>
        <w:t>：舱储温度在-55℃及以下。</w:t>
      </w:r>
    </w:p>
    <w:p>
      <w:pPr>
        <w:keepNext w:val="0"/>
        <w:keepLines w:val="0"/>
        <w:pageBreakBefore w:val="0"/>
        <w:widowControl w:val="0"/>
        <w:kinsoku/>
        <w:wordWrap/>
        <w:overflowPunct/>
        <w:topLinePunct w:val="0"/>
        <w:autoSpaceDE/>
        <w:autoSpaceDN/>
        <w:bidi w:val="0"/>
        <w:adjustRightInd/>
        <w:snapToGrid/>
        <w:spacing w:line="396" w:lineRule="atLeast"/>
        <w:ind w:firstLine="480" w:firstLineChars="200"/>
        <w:textAlignment w:val="auto"/>
        <w:rPr>
          <w:rFonts w:hint="eastAsia" w:ascii="宋体" w:hAnsi="宋体" w:eastAsia="宋体" w:cs="宋体"/>
          <w:sz w:val="24"/>
          <w:szCs w:val="24"/>
        </w:rPr>
      </w:pPr>
      <w:r>
        <w:rPr>
          <w:rFonts w:hint="eastAsia" w:ascii="黑体" w:hAnsi="黑体" w:eastAsia="黑体" w:cs="黑体"/>
          <w:sz w:val="24"/>
          <w:szCs w:val="24"/>
        </w:rPr>
        <w:t>国际金枪鱼交易中心</w:t>
      </w:r>
      <w:r>
        <w:rPr>
          <w:rFonts w:hint="eastAsia" w:ascii="宋体" w:hAnsi="宋体" w:eastAsia="宋体" w:cs="宋体"/>
          <w:sz w:val="24"/>
          <w:szCs w:val="24"/>
        </w:rPr>
        <w:t>：指的是由市渔业主管部门认定的深圳国际金枪鱼交易平台。正式运营时间是指以深圳国际金枪鱼交易平台运营机构发布的由市渔业主管部门认定的正式运营公告时间为准。</w:t>
      </w:r>
    </w:p>
    <w:p>
      <w:pPr>
        <w:pStyle w:val="4"/>
        <w:keepNext w:val="0"/>
        <w:keepLines w:val="0"/>
        <w:pageBreakBefore w:val="0"/>
        <w:widowControl/>
        <w:kinsoku/>
        <w:wordWrap/>
        <w:overflowPunct/>
        <w:topLinePunct w:val="0"/>
        <w:autoSpaceDE/>
        <w:autoSpaceDN/>
        <w:bidi w:val="0"/>
        <w:adjustRightInd w:val="0"/>
        <w:snapToGrid w:val="0"/>
        <w:spacing w:line="396" w:lineRule="atLeast"/>
        <w:ind w:left="0" w:leftChars="0" w:right="0" w:rightChars="0" w:firstLine="480" w:firstLineChars="200"/>
        <w:jc w:val="both"/>
        <w:textAlignment w:val="auto"/>
        <w:outlineLvl w:val="9"/>
        <w:rPr>
          <w:rFonts w:hint="eastAsia" w:ascii="宋体" w:hAnsi="宋体" w:eastAsia="宋体" w:cs="宋体"/>
          <w:b w:val="0"/>
          <w:bCs w:val="0"/>
          <w:caps w:val="0"/>
          <w:kern w:val="21"/>
          <w:sz w:val="24"/>
          <w:szCs w:val="24"/>
        </w:rPr>
      </w:pPr>
      <w:r>
        <w:rPr>
          <w:rFonts w:hint="eastAsia" w:ascii="宋体" w:hAnsi="宋体" w:eastAsia="宋体" w:cs="宋体"/>
          <w:b w:val="0"/>
          <w:bCs w:val="0"/>
          <w:caps w:val="0"/>
          <w:kern w:val="21"/>
          <w:sz w:val="24"/>
          <w:szCs w:val="24"/>
        </w:rPr>
        <w:t>渔业企业、公益性建设、水生生物、深水抗风浪网箱、养殖工船、超低温冷库、三品一标等名词解释按照《扶持措施》附件1执行；建造、改造或购置远洋渔船补助金额上限表按照《扶持措施》附件2执行。</w:t>
      </w:r>
    </w:p>
    <w:p>
      <w:pPr>
        <w:pStyle w:val="4"/>
        <w:keepNext w:val="0"/>
        <w:keepLines w:val="0"/>
        <w:pageBreakBefore w:val="0"/>
        <w:widowControl/>
        <w:kinsoku/>
        <w:wordWrap/>
        <w:overflowPunct/>
        <w:topLinePunct w:val="0"/>
        <w:autoSpaceDE/>
        <w:autoSpaceDN/>
        <w:bidi w:val="0"/>
        <w:adjustRightInd w:val="0"/>
        <w:snapToGrid w:val="0"/>
        <w:spacing w:line="396" w:lineRule="atLeast"/>
        <w:ind w:left="0" w:leftChars="0" w:right="0" w:rightChars="0" w:firstLine="480" w:firstLineChars="200"/>
        <w:jc w:val="both"/>
        <w:textAlignment w:val="auto"/>
        <w:outlineLvl w:val="9"/>
        <w:rPr>
          <w:rFonts w:hint="eastAsia" w:ascii="宋体" w:hAnsi="宋体" w:eastAsia="宋体" w:cs="宋体"/>
          <w:b w:val="0"/>
          <w:bCs w:val="0"/>
          <w:caps w:val="0"/>
          <w:kern w:val="21"/>
          <w:sz w:val="24"/>
          <w:szCs w:val="24"/>
        </w:rPr>
      </w:pPr>
    </w:p>
    <w:p/>
    <w:sectPr>
      <w:pgSz w:w="11906" w:h="16838"/>
      <w:pgMar w:top="2268" w:right="1417" w:bottom="226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MTA0ZGFlNzI0NmI0N2FiNGI1MzFhYTlmMDJhN2QifQ=="/>
  </w:docVars>
  <w:rsids>
    <w:rsidRoot w:val="122B5C2D"/>
    <w:rsid w:val="122B5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_Style 1"/>
    <w:uiPriority w:val="0"/>
    <w:pPr>
      <w:widowControl w:val="0"/>
      <w:tabs>
        <w:tab w:val="left" w:pos="426"/>
      </w:tabs>
      <w:spacing w:line="560" w:lineRule="exact"/>
      <w:ind w:firstLine="420" w:firstLineChars="20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2024-05-15T01:56:00Z</dcterms:created>
  <dc:creator>龙瑶</dc:creator>
  <cp:lastModifiedBy>龙瑶</cp:lastModifiedBy>
  <dcterms:modified xsi:type="dcterms:W3CDTF">2024-05-15T01:59:10Z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CA51BAA6B6194587B7683D79DE52F464_11</vt:lpwstr>
  </property>
</Properties>
</file>