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E8963">
      <w:pPr>
        <w:jc w:val="left"/>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附件2</w:t>
      </w:r>
    </w:p>
    <w:p w14:paraId="4FD60A91">
      <w:pPr>
        <w:jc w:val="center"/>
        <w:rPr>
          <w:rFonts w:hint="eastAsia" w:ascii="方正小标宋简体" w:hAnsi="方正小标宋简体" w:eastAsia="方正小标宋简体" w:cs="方正小标宋简体"/>
          <w:color w:val="000000"/>
          <w:sz w:val="44"/>
          <w:szCs w:val="44"/>
        </w:rPr>
      </w:pPr>
      <w:bookmarkStart w:id="0" w:name="_GoBack"/>
      <w:r>
        <w:rPr>
          <w:rFonts w:hint="eastAsia" w:ascii="方正小标宋简体" w:hAnsi="方正小标宋简体" w:eastAsia="方正小标宋简体" w:cs="方正小标宋简体"/>
          <w:color w:val="000000"/>
          <w:sz w:val="44"/>
          <w:szCs w:val="44"/>
        </w:rPr>
        <w:t>采矿权“净矿”出让主要成本指引目录</w:t>
      </w:r>
      <w:bookmarkEnd w:id="0"/>
    </w:p>
    <w:tbl>
      <w:tblPr>
        <w:tblStyle w:val="4"/>
        <w:tblW w:w="1415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0"/>
        <w:gridCol w:w="3107"/>
        <w:gridCol w:w="7316"/>
        <w:gridCol w:w="3077"/>
      </w:tblGrid>
      <w:tr w14:paraId="139D4F68">
        <w:trPr>
          <w:trHeight w:val="351" w:hRule="atLeast"/>
          <w:tblHeader/>
          <w:jc w:val="center"/>
        </w:trPr>
        <w:tc>
          <w:tcPr>
            <w:tcW w:w="650" w:type="dxa"/>
            <w:noWrap w:val="0"/>
            <w:vAlign w:val="center"/>
          </w:tcPr>
          <w:p w14:paraId="1B1BBEC4">
            <w:pPr>
              <w:snapToGrid w:val="0"/>
              <w:jc w:val="center"/>
              <w:rPr>
                <w:rFonts w:hint="eastAsia" w:ascii="黑体" w:hAnsi="黑体" w:eastAsia="黑体" w:cs="黑体"/>
                <w:b w:val="0"/>
                <w:bCs w:val="0"/>
                <w:color w:val="000000"/>
                <w:szCs w:val="21"/>
              </w:rPr>
            </w:pPr>
            <w:r>
              <w:rPr>
                <w:rFonts w:hint="eastAsia" w:ascii="黑体" w:hAnsi="黑体" w:eastAsia="黑体" w:cs="黑体"/>
                <w:b w:val="0"/>
                <w:bCs w:val="0"/>
                <w:color w:val="000000"/>
                <w:szCs w:val="21"/>
              </w:rPr>
              <w:t>序号</w:t>
            </w:r>
          </w:p>
        </w:tc>
        <w:tc>
          <w:tcPr>
            <w:tcW w:w="3107" w:type="dxa"/>
            <w:noWrap w:val="0"/>
            <w:vAlign w:val="center"/>
          </w:tcPr>
          <w:p w14:paraId="7B6892B8">
            <w:pPr>
              <w:jc w:val="center"/>
              <w:rPr>
                <w:rFonts w:hint="eastAsia" w:ascii="黑体" w:hAnsi="黑体" w:eastAsia="黑体" w:cs="黑体"/>
                <w:b w:val="0"/>
                <w:bCs w:val="0"/>
                <w:color w:val="000000"/>
                <w:szCs w:val="21"/>
              </w:rPr>
            </w:pPr>
            <w:r>
              <w:rPr>
                <w:rFonts w:hint="eastAsia" w:ascii="黑体" w:hAnsi="黑体" w:eastAsia="黑体" w:cs="黑体"/>
                <w:b w:val="0"/>
                <w:bCs w:val="0"/>
                <w:color w:val="000000"/>
                <w:szCs w:val="21"/>
              </w:rPr>
              <w:t>项目名称</w:t>
            </w:r>
          </w:p>
        </w:tc>
        <w:tc>
          <w:tcPr>
            <w:tcW w:w="7316" w:type="dxa"/>
            <w:noWrap w:val="0"/>
            <w:vAlign w:val="center"/>
          </w:tcPr>
          <w:p w14:paraId="4FAC387F">
            <w:pPr>
              <w:jc w:val="center"/>
              <w:rPr>
                <w:rFonts w:hint="eastAsia" w:ascii="黑体" w:hAnsi="黑体" w:eastAsia="黑体" w:cs="黑体"/>
                <w:b w:val="0"/>
                <w:bCs w:val="0"/>
                <w:color w:val="000000"/>
                <w:szCs w:val="21"/>
              </w:rPr>
            </w:pPr>
            <w:r>
              <w:rPr>
                <w:rFonts w:hint="eastAsia" w:ascii="黑体" w:hAnsi="黑体" w:eastAsia="黑体" w:cs="黑体"/>
                <w:b w:val="0"/>
                <w:bCs w:val="0"/>
                <w:color w:val="000000"/>
                <w:szCs w:val="21"/>
              </w:rPr>
              <w:t>主 要 依 据</w:t>
            </w:r>
          </w:p>
        </w:tc>
        <w:tc>
          <w:tcPr>
            <w:tcW w:w="3077" w:type="dxa"/>
            <w:noWrap w:val="0"/>
            <w:vAlign w:val="center"/>
          </w:tcPr>
          <w:p w14:paraId="16283867">
            <w:pPr>
              <w:jc w:val="center"/>
              <w:rPr>
                <w:rFonts w:hint="eastAsia" w:ascii="黑体" w:hAnsi="黑体" w:eastAsia="黑体" w:cs="黑体"/>
                <w:b w:val="0"/>
                <w:bCs w:val="0"/>
                <w:color w:val="000000"/>
                <w:szCs w:val="21"/>
              </w:rPr>
            </w:pPr>
            <w:r>
              <w:rPr>
                <w:rFonts w:hint="eastAsia" w:ascii="黑体" w:hAnsi="黑体" w:eastAsia="黑体" w:cs="黑体"/>
                <w:b w:val="0"/>
                <w:bCs w:val="0"/>
                <w:color w:val="000000"/>
                <w:szCs w:val="21"/>
              </w:rPr>
              <w:t>补偿标准</w:t>
            </w:r>
          </w:p>
        </w:tc>
      </w:tr>
      <w:tr w14:paraId="6151BD2B">
        <w:trPr>
          <w:trHeight w:val="361" w:hRule="atLeast"/>
          <w:jc w:val="center"/>
        </w:trPr>
        <w:tc>
          <w:tcPr>
            <w:tcW w:w="650" w:type="dxa"/>
            <w:noWrap w:val="0"/>
            <w:vAlign w:val="center"/>
          </w:tcPr>
          <w:p w14:paraId="482323D8">
            <w:pPr>
              <w:numPr>
                <w:ilvl w:val="0"/>
                <w:numId w:val="0"/>
              </w:numPr>
              <w:spacing w:line="320" w:lineRule="exact"/>
              <w:ind w:leftChars="0"/>
              <w:jc w:val="center"/>
              <w:rPr>
                <w:rFonts w:hint="eastAsia"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1</w:t>
            </w:r>
          </w:p>
        </w:tc>
        <w:tc>
          <w:tcPr>
            <w:tcW w:w="3107" w:type="dxa"/>
            <w:noWrap w:val="0"/>
            <w:vAlign w:val="center"/>
          </w:tcPr>
          <w:p w14:paraId="717A661A">
            <w:pPr>
              <w:spacing w:line="280" w:lineRule="exact"/>
              <w:jc w:val="center"/>
              <w:rPr>
                <w:rFonts w:hint="default" w:ascii="Times New Roman" w:hAnsi="Times New Roman" w:eastAsia="仿宋_GB2312" w:cs="Times New Roman"/>
                <w:color w:val="000000"/>
                <w:szCs w:val="21"/>
                <w:highlight w:val="yellow"/>
              </w:rPr>
            </w:pPr>
            <w:r>
              <w:rPr>
                <w:rFonts w:hint="default" w:ascii="Times New Roman" w:hAnsi="Times New Roman" w:eastAsia="仿宋_GB2312" w:cs="Times New Roman"/>
                <w:color w:val="000000"/>
                <w:szCs w:val="21"/>
              </w:rPr>
              <w:t>征地补偿，青苗、房屋等地上附着物补偿、搬迁安置</w:t>
            </w:r>
          </w:p>
        </w:tc>
        <w:tc>
          <w:tcPr>
            <w:tcW w:w="7316" w:type="dxa"/>
            <w:noWrap w:val="0"/>
            <w:vAlign w:val="center"/>
          </w:tcPr>
          <w:p w14:paraId="56E90F34">
            <w:pPr>
              <w:spacing w:line="280" w:lineRule="exact"/>
              <w:jc w:val="both"/>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1.《土地管理法》第四条、第四十八条、《土地管理法实施条例》第三十二条</w:t>
            </w:r>
          </w:p>
          <w:p w14:paraId="623C34DA">
            <w:pPr>
              <w:spacing w:line="280" w:lineRule="exact"/>
              <w:jc w:val="both"/>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2.《国务院关于深化改革严格土地管理的决定》第三条</w:t>
            </w:r>
          </w:p>
          <w:p w14:paraId="51BB4952">
            <w:pPr>
              <w:spacing w:line="280" w:lineRule="exact"/>
              <w:jc w:val="both"/>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3.《浙江省土地管理条例》第四十六条至第五十条</w:t>
            </w:r>
          </w:p>
          <w:p w14:paraId="41373A8D">
            <w:pPr>
              <w:spacing w:line="280" w:lineRule="exact"/>
              <w:jc w:val="both"/>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4.《国有土地上房屋征收与补偿条例》《浙江省国有土地上房屋征收与补偿条例（2020年修正）》</w:t>
            </w:r>
          </w:p>
          <w:p w14:paraId="66FF5C72">
            <w:pPr>
              <w:spacing w:line="280" w:lineRule="exact"/>
              <w:jc w:val="both"/>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5.《浙江省自然资源厅关于重新公布全省征地区片综合地价最低保护标准的通知》（浙自然资规〔2023〕12号）</w:t>
            </w:r>
          </w:p>
          <w:p w14:paraId="5A45A9F5">
            <w:pPr>
              <w:spacing w:line="280" w:lineRule="exact"/>
              <w:jc w:val="both"/>
              <w:rPr>
                <w:rFonts w:hint="default" w:ascii="Times New Roman" w:hAnsi="Times New Roman" w:eastAsia="仿宋_GB2312" w:cs="Times New Roman"/>
              </w:rPr>
            </w:pPr>
            <w:r>
              <w:rPr>
                <w:rFonts w:hint="default" w:ascii="Times New Roman" w:hAnsi="Times New Roman" w:eastAsia="仿宋_GB2312" w:cs="Times New Roman"/>
                <w:color w:val="000000"/>
                <w:szCs w:val="21"/>
              </w:rPr>
              <w:t>6.当地政府制定的国有或集体土地地上附着物和青苗补偿政策文件</w:t>
            </w:r>
          </w:p>
        </w:tc>
        <w:tc>
          <w:tcPr>
            <w:tcW w:w="3077" w:type="dxa"/>
            <w:noWrap w:val="0"/>
            <w:vAlign w:val="center"/>
          </w:tcPr>
          <w:p w14:paraId="2FF698B8">
            <w:pPr>
              <w:spacing w:line="280" w:lineRule="exact"/>
              <w:jc w:val="both"/>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市、县政府批准的补偿安置方案</w:t>
            </w:r>
          </w:p>
        </w:tc>
      </w:tr>
      <w:tr w14:paraId="16D309BD">
        <w:trPr>
          <w:trHeight w:val="90" w:hRule="atLeast"/>
          <w:jc w:val="center"/>
        </w:trPr>
        <w:tc>
          <w:tcPr>
            <w:tcW w:w="650" w:type="dxa"/>
            <w:noWrap w:val="0"/>
            <w:vAlign w:val="center"/>
          </w:tcPr>
          <w:p w14:paraId="0332DAF7">
            <w:pPr>
              <w:numPr>
                <w:ilvl w:val="0"/>
                <w:numId w:val="0"/>
              </w:numPr>
              <w:spacing w:line="320" w:lineRule="exact"/>
              <w:ind w:leftChars="0"/>
              <w:jc w:val="center"/>
              <w:rPr>
                <w:rFonts w:hint="eastAsia"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2</w:t>
            </w:r>
          </w:p>
        </w:tc>
        <w:tc>
          <w:tcPr>
            <w:tcW w:w="3107" w:type="dxa"/>
            <w:noWrap w:val="0"/>
            <w:vAlign w:val="center"/>
          </w:tcPr>
          <w:p w14:paraId="7D1D487F">
            <w:pPr>
              <w:spacing w:line="28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土地租用费</w:t>
            </w:r>
          </w:p>
        </w:tc>
        <w:tc>
          <w:tcPr>
            <w:tcW w:w="7316" w:type="dxa"/>
            <w:noWrap w:val="0"/>
            <w:vAlign w:val="center"/>
          </w:tcPr>
          <w:p w14:paraId="3A47E551">
            <w:pPr>
              <w:spacing w:line="280" w:lineRule="exact"/>
              <w:jc w:val="both"/>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1.《民法典》第十四章租赁合同</w:t>
            </w:r>
          </w:p>
          <w:p w14:paraId="1ED69DA9">
            <w:pPr>
              <w:spacing w:line="280" w:lineRule="exact"/>
              <w:jc w:val="both"/>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2.《国土资源部关于印发〈规范国有土地租赁若干意见〉的通知》（国土资发〔1999〕222号）</w:t>
            </w:r>
          </w:p>
          <w:p w14:paraId="6E9A129B">
            <w:pPr>
              <w:spacing w:line="280" w:lineRule="exact"/>
              <w:jc w:val="both"/>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3.《浙江省国有土地租赁暂行办法》</w:t>
            </w:r>
          </w:p>
        </w:tc>
        <w:tc>
          <w:tcPr>
            <w:tcW w:w="3077" w:type="dxa"/>
            <w:noWrap w:val="0"/>
            <w:vAlign w:val="center"/>
          </w:tcPr>
          <w:p w14:paraId="61CD7878">
            <w:pPr>
              <w:spacing w:line="280" w:lineRule="exact"/>
              <w:jc w:val="both"/>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市、县政府依法批准的“净矿”出让补偿方案</w:t>
            </w:r>
          </w:p>
        </w:tc>
      </w:tr>
      <w:tr w14:paraId="0874428A">
        <w:trPr>
          <w:trHeight w:val="640" w:hRule="atLeast"/>
          <w:jc w:val="center"/>
        </w:trPr>
        <w:tc>
          <w:tcPr>
            <w:tcW w:w="650" w:type="dxa"/>
            <w:noWrap w:val="0"/>
            <w:vAlign w:val="center"/>
          </w:tcPr>
          <w:p w14:paraId="652029E0">
            <w:pPr>
              <w:numPr>
                <w:ilvl w:val="0"/>
                <w:numId w:val="0"/>
              </w:numPr>
              <w:spacing w:line="320" w:lineRule="exact"/>
              <w:ind w:leftChars="0"/>
              <w:jc w:val="center"/>
              <w:rPr>
                <w:rFonts w:hint="eastAsia" w:ascii="Times New Roman" w:hAnsi="Times New Roman" w:eastAsia="仿宋_GB2312" w:cs="Times New Roman"/>
                <w:color w:val="000000"/>
                <w:szCs w:val="21"/>
                <w:lang w:val="en-US" w:eastAsia="zh-CN"/>
              </w:rPr>
            </w:pPr>
            <w:r>
              <w:rPr>
                <w:rFonts w:hint="eastAsia" w:ascii="Times New Roman" w:hAnsi="Times New Roman" w:eastAsia="仿宋_GB2312" w:cs="Times New Roman"/>
                <w:color w:val="000000"/>
                <w:szCs w:val="21"/>
                <w:lang w:val="en-US" w:eastAsia="zh-CN"/>
              </w:rPr>
              <w:t>3</w:t>
            </w:r>
          </w:p>
        </w:tc>
        <w:tc>
          <w:tcPr>
            <w:tcW w:w="3107" w:type="dxa"/>
            <w:noWrap w:val="0"/>
            <w:vAlign w:val="center"/>
          </w:tcPr>
          <w:p w14:paraId="41DF68AF">
            <w:pPr>
              <w:numPr>
                <w:ilvl w:val="0"/>
                <w:numId w:val="0"/>
              </w:numPr>
              <w:spacing w:line="28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坟墓迁移费</w:t>
            </w:r>
          </w:p>
        </w:tc>
        <w:tc>
          <w:tcPr>
            <w:tcW w:w="7316" w:type="dxa"/>
            <w:noWrap w:val="0"/>
            <w:vAlign w:val="center"/>
          </w:tcPr>
          <w:p w14:paraId="56323A76">
            <w:pPr>
              <w:numPr>
                <w:ilvl w:val="0"/>
                <w:numId w:val="0"/>
              </w:numPr>
              <w:spacing w:line="280" w:lineRule="exact"/>
              <w:jc w:val="both"/>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1.《民法典》第二百四十三条</w:t>
            </w:r>
          </w:p>
          <w:p w14:paraId="51E40C96">
            <w:pPr>
              <w:numPr>
                <w:ilvl w:val="0"/>
                <w:numId w:val="0"/>
              </w:numPr>
              <w:spacing w:line="280" w:lineRule="exact"/>
              <w:jc w:val="both"/>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2.《土地管理法》第四十八条</w:t>
            </w:r>
          </w:p>
        </w:tc>
        <w:tc>
          <w:tcPr>
            <w:tcW w:w="3077" w:type="dxa"/>
            <w:noWrap w:val="0"/>
            <w:vAlign w:val="center"/>
          </w:tcPr>
          <w:p w14:paraId="0C21C21B">
            <w:pPr>
              <w:spacing w:line="280" w:lineRule="exact"/>
              <w:jc w:val="both"/>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市、县政府依法批准的“净矿”出让补偿方案</w:t>
            </w:r>
          </w:p>
        </w:tc>
      </w:tr>
      <w:tr w14:paraId="3A824A55">
        <w:trPr>
          <w:trHeight w:val="640" w:hRule="atLeast"/>
          <w:jc w:val="center"/>
        </w:trPr>
        <w:tc>
          <w:tcPr>
            <w:tcW w:w="650" w:type="dxa"/>
            <w:noWrap w:val="0"/>
            <w:vAlign w:val="center"/>
          </w:tcPr>
          <w:p w14:paraId="6E9903E3">
            <w:pPr>
              <w:spacing w:line="32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4</w:t>
            </w:r>
          </w:p>
        </w:tc>
        <w:tc>
          <w:tcPr>
            <w:tcW w:w="3107" w:type="dxa"/>
            <w:noWrap w:val="0"/>
            <w:vAlign w:val="center"/>
          </w:tcPr>
          <w:p w14:paraId="234D06D1">
            <w:pPr>
              <w:spacing w:line="28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技术服务费（各项方案、报告编制费）</w:t>
            </w:r>
          </w:p>
        </w:tc>
        <w:tc>
          <w:tcPr>
            <w:tcW w:w="7316" w:type="dxa"/>
            <w:noWrap w:val="0"/>
            <w:vAlign w:val="center"/>
          </w:tcPr>
          <w:p w14:paraId="62F45AC6">
            <w:pPr>
              <w:spacing w:line="280" w:lineRule="exact"/>
              <w:jc w:val="both"/>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《民法典》第二十章技术合同篇</w:t>
            </w:r>
          </w:p>
        </w:tc>
        <w:tc>
          <w:tcPr>
            <w:tcW w:w="3077" w:type="dxa"/>
            <w:noWrap w:val="0"/>
            <w:vAlign w:val="center"/>
          </w:tcPr>
          <w:p w14:paraId="4A5B95DB">
            <w:pPr>
              <w:spacing w:line="280" w:lineRule="exact"/>
              <w:jc w:val="both"/>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以签订的技术合同付费约定为准</w:t>
            </w:r>
          </w:p>
        </w:tc>
      </w:tr>
      <w:tr w14:paraId="1815B98B">
        <w:trPr>
          <w:trHeight w:val="1165" w:hRule="atLeast"/>
          <w:jc w:val="center"/>
        </w:trPr>
        <w:tc>
          <w:tcPr>
            <w:tcW w:w="650" w:type="dxa"/>
            <w:noWrap w:val="0"/>
            <w:vAlign w:val="center"/>
          </w:tcPr>
          <w:p w14:paraId="2376C0AD">
            <w:pPr>
              <w:spacing w:line="32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5</w:t>
            </w:r>
          </w:p>
        </w:tc>
        <w:tc>
          <w:tcPr>
            <w:tcW w:w="3107" w:type="dxa"/>
            <w:noWrap w:val="0"/>
            <w:vAlign w:val="center"/>
          </w:tcPr>
          <w:p w14:paraId="577F7796">
            <w:pPr>
              <w:spacing w:line="280" w:lineRule="exact"/>
              <w:jc w:val="center"/>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矿山开采专用的用水、用电、运输道路（廊道）、隧道、码头等配套设施的修筑和维护使用费。</w:t>
            </w:r>
          </w:p>
        </w:tc>
        <w:tc>
          <w:tcPr>
            <w:tcW w:w="7316" w:type="dxa"/>
            <w:noWrap w:val="0"/>
            <w:vAlign w:val="center"/>
          </w:tcPr>
          <w:p w14:paraId="2CCF594B">
            <w:pPr>
              <w:jc w:val="both"/>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1.《民法典》第十七章承揽合同</w:t>
            </w:r>
          </w:p>
          <w:p w14:paraId="2A089AC2">
            <w:pPr>
              <w:jc w:val="both"/>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2.《民法典》第十八章建设工程合同</w:t>
            </w:r>
          </w:p>
          <w:p w14:paraId="3A9BAB4B">
            <w:pPr>
              <w:jc w:val="both"/>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3.《民法典》第九章买卖合同、第十四章租赁合同</w:t>
            </w:r>
          </w:p>
        </w:tc>
        <w:tc>
          <w:tcPr>
            <w:tcW w:w="3077" w:type="dxa"/>
            <w:noWrap w:val="0"/>
            <w:vAlign w:val="center"/>
          </w:tcPr>
          <w:p w14:paraId="399D3689">
            <w:pPr>
              <w:spacing w:line="280" w:lineRule="exact"/>
              <w:jc w:val="both"/>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1.以签订的建设工程合同、承揽合同、.租赁或买卖合同为准</w:t>
            </w:r>
          </w:p>
          <w:p w14:paraId="6E26BFEE">
            <w:pPr>
              <w:spacing w:line="280" w:lineRule="exact"/>
              <w:jc w:val="both"/>
              <w:rPr>
                <w:rFonts w:hint="default"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2.市、县政府依法批准的“净矿”出让补偿方案</w:t>
            </w:r>
          </w:p>
        </w:tc>
      </w:tr>
    </w:tbl>
    <w:p w14:paraId="089B2B06">
      <w:pPr>
        <w:sectPr>
          <w:pgSz w:w="16838" w:h="11906" w:orient="landscape"/>
          <w:pgMar w:top="1701" w:right="1440" w:bottom="1701" w:left="1440" w:header="851" w:footer="851" w:gutter="0"/>
          <w:pgNumType w:fmt="decimal"/>
          <w:cols w:space="720" w:num="1"/>
          <w:titlePg/>
          <w:docGrid w:type="linesAndChars" w:linePitch="312" w:charSpace="0"/>
        </w:sectPr>
      </w:pPr>
      <w:r>
        <w:rPr>
          <w:rFonts w:hint="eastAsia" w:ascii="楷体_GB2312" w:hAnsi="楷体_GB2312" w:eastAsia="楷体_GB2312" w:cs="楷体_GB2312"/>
          <w:color w:val="000000"/>
          <w:szCs w:val="21"/>
        </w:rPr>
        <w:t>注：不在本目录内，但采矿权“净矿”出让过程中确实产生的合理成本，应一并在出让公告及合同中明确。</w:t>
      </w:r>
    </w:p>
    <w:p w14:paraId="72BA4A8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0000000000000000000"/>
    <w:charset w:val="86"/>
    <w:family w:val="auto"/>
    <w:pitch w:val="default"/>
    <w:sig w:usb0="800002BF" w:usb1="38CF7CF8" w:usb2="00000016" w:usb3="00000000" w:csb0="00040000"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方正小标宋简体">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 w:name="楷体_GB2312">
    <w:altName w:val="汉仪楷体简"/>
    <w:panose1 w:val="02010609030101010101"/>
    <w:charset w:val="00"/>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C97A325"/>
    <w:rsid w:val="DC97A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2024-12-11T10:50:00Z</dcterms:created>
  <dc:creator>一路未闻</dc:creator>
  <cp:lastModifiedBy>一路未闻</cp:lastModifiedBy>
  <dcterms:modified xsi:type="dcterms:W3CDTF">2024-12-11T10:50:58Z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D083CBC285877C42EEFD5867EB9DC2A1_41</vt:lpwstr>
  </property>
</Properties>
</file>