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195315">
      <w:pPr>
        <w:pStyle w:val="6"/>
        <w:overflowPunct w:val="0"/>
        <w:autoSpaceDE w:val="0"/>
        <w:autoSpaceDN w:val="0"/>
        <w:spacing w:line="570" w:lineRule="exact"/>
        <w:jc w:val="both"/>
        <w:rPr>
          <w:rFonts w:ascii="Times New Roman" w:eastAsia="方正黑体_GBK"/>
          <w:snapToGrid w:val="0"/>
          <w:kern w:val="0"/>
          <w:sz w:val="32"/>
          <w:szCs w:val="32"/>
          <w:lang w:val="zh-TW" w:eastAsia="zh-CN"/>
        </w:rPr>
      </w:pPr>
      <w:r>
        <w:rPr>
          <w:rFonts w:ascii="Times New Roman" w:eastAsia="方正黑体_GBK"/>
          <w:snapToGrid w:val="0"/>
          <w:kern w:val="0"/>
          <w:sz w:val="32"/>
          <w:szCs w:val="32"/>
          <w:lang w:val="zh-TW" w:eastAsia="zh-CN"/>
        </w:rPr>
        <w:t>附件1</w:t>
      </w:r>
    </w:p>
    <w:p w14:paraId="50BB702C">
      <w:pPr>
        <w:snapToGrid w:val="0"/>
        <w:spacing w:line="570" w:lineRule="exact"/>
        <w:jc w:val="center"/>
        <w:rPr>
          <w:rFonts w:ascii="方正小标宋_GBK" w:hAnsi="Times New Roman" w:eastAsia="方正小标宋_GBK"/>
          <w:snapToGrid w:val="0"/>
          <w:color w:val="000000"/>
          <w:kern w:val="0"/>
          <w:sz w:val="44"/>
          <w:szCs w:val="44"/>
          <w:lang w:val="zh-TW"/>
        </w:rPr>
      </w:pPr>
    </w:p>
    <w:p w14:paraId="4F762719">
      <w:pPr>
        <w:snapToGrid w:val="0"/>
        <w:spacing w:line="570" w:lineRule="exact"/>
        <w:jc w:val="center"/>
        <w:rPr>
          <w:rFonts w:ascii="方正小标宋_GBK" w:hAnsi="Times New Roman" w:eastAsia="方正小标宋_GBK"/>
          <w:snapToGrid w:val="0"/>
          <w:color w:val="000000"/>
          <w:kern w:val="0"/>
          <w:sz w:val="44"/>
          <w:szCs w:val="44"/>
          <w:lang w:val="zh-TW"/>
        </w:rPr>
      </w:pPr>
      <w:r>
        <w:rPr>
          <w:rFonts w:ascii="方正小标宋_GBK" w:hAnsi="Times New Roman" w:eastAsia="方正小标宋_GBK"/>
          <w:snapToGrid w:val="0"/>
          <w:color w:val="000000"/>
          <w:kern w:val="0"/>
          <w:sz w:val="44"/>
          <w:szCs w:val="44"/>
          <w:lang w:val="zh-TW"/>
        </w:rPr>
        <w:t>目标任务分解表</w:t>
      </w:r>
    </w:p>
    <w:p w14:paraId="18B028F3">
      <w:pPr>
        <w:snapToGrid w:val="0"/>
        <w:spacing w:line="570" w:lineRule="exact"/>
        <w:jc w:val="center"/>
        <w:rPr>
          <w:rFonts w:ascii="方正小标宋_GBK" w:hAnsi="Times New Roman" w:eastAsia="方正小标宋_GBK"/>
          <w:snapToGrid w:val="0"/>
          <w:color w:val="000000"/>
          <w:kern w:val="0"/>
          <w:sz w:val="44"/>
          <w:szCs w:val="44"/>
          <w:lang w:val="zh-TW"/>
        </w:rPr>
      </w:pPr>
    </w:p>
    <w:tbl>
      <w:tblPr>
        <w:tblStyle w:val="4"/>
        <w:tblW w:w="5000" w:type="pct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01"/>
        <w:gridCol w:w="1882"/>
        <w:gridCol w:w="2398"/>
        <w:gridCol w:w="2141"/>
      </w:tblGrid>
      <w:tr w14:paraId="677F31E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56" w:type="dxa"/>
            <w:noWrap w:val="0"/>
            <w:vAlign w:val="center"/>
          </w:tcPr>
          <w:p w14:paraId="2F9EA504">
            <w:pPr>
              <w:pStyle w:val="6"/>
              <w:overflowPunct w:val="0"/>
              <w:autoSpaceDE w:val="0"/>
              <w:autoSpaceDN w:val="0"/>
              <w:spacing w:line="400" w:lineRule="exact"/>
              <w:rPr>
                <w:rFonts w:ascii="Times New Roman" w:eastAsia="方正黑体_GBK"/>
                <w:snapToGrid w:val="0"/>
                <w:kern w:val="0"/>
                <w:sz w:val="32"/>
                <w:szCs w:val="32"/>
                <w:lang w:val="zh-TW" w:eastAsia="zh-CN"/>
              </w:rPr>
            </w:pPr>
            <w:r>
              <w:rPr>
                <w:rFonts w:ascii="Times New Roman" w:eastAsia="方正黑体_GBK"/>
                <w:snapToGrid w:val="0"/>
                <w:kern w:val="0"/>
                <w:sz w:val="32"/>
                <w:szCs w:val="32"/>
                <w:lang w:val="zh-TW" w:eastAsia="zh-CN"/>
              </w:rPr>
              <w:t>年份</w:t>
            </w:r>
          </w:p>
        </w:tc>
        <w:tc>
          <w:tcPr>
            <w:tcW w:w="1983" w:type="dxa"/>
            <w:noWrap w:val="0"/>
            <w:vAlign w:val="center"/>
          </w:tcPr>
          <w:p w14:paraId="7AE139C6">
            <w:pPr>
              <w:pStyle w:val="6"/>
              <w:overflowPunct w:val="0"/>
              <w:autoSpaceDE w:val="0"/>
              <w:autoSpaceDN w:val="0"/>
              <w:spacing w:line="400" w:lineRule="exact"/>
              <w:rPr>
                <w:rFonts w:ascii="Times New Roman" w:eastAsia="方正黑体_GBK"/>
                <w:snapToGrid w:val="0"/>
                <w:kern w:val="0"/>
                <w:sz w:val="32"/>
                <w:szCs w:val="32"/>
                <w:lang w:val="zh-TW" w:eastAsia="zh-CN"/>
              </w:rPr>
            </w:pPr>
            <w:r>
              <w:rPr>
                <w:rFonts w:ascii="Times New Roman" w:eastAsia="方正黑体_GBK"/>
                <w:snapToGrid w:val="0"/>
                <w:kern w:val="0"/>
                <w:sz w:val="32"/>
                <w:szCs w:val="32"/>
                <w:lang w:val="zh-TW" w:eastAsia="zh-CN"/>
              </w:rPr>
              <w:t>2024年</w:t>
            </w:r>
          </w:p>
        </w:tc>
        <w:tc>
          <w:tcPr>
            <w:tcW w:w="2551" w:type="dxa"/>
            <w:noWrap w:val="0"/>
            <w:vAlign w:val="center"/>
          </w:tcPr>
          <w:p w14:paraId="78EF511F">
            <w:pPr>
              <w:pStyle w:val="6"/>
              <w:overflowPunct w:val="0"/>
              <w:autoSpaceDE w:val="0"/>
              <w:autoSpaceDN w:val="0"/>
              <w:spacing w:line="400" w:lineRule="exact"/>
              <w:rPr>
                <w:rFonts w:ascii="Times New Roman" w:eastAsia="方正黑体_GBK"/>
                <w:snapToGrid w:val="0"/>
                <w:kern w:val="0"/>
                <w:sz w:val="32"/>
                <w:szCs w:val="32"/>
                <w:lang w:val="zh-TW" w:eastAsia="zh-CN"/>
              </w:rPr>
            </w:pPr>
            <w:r>
              <w:rPr>
                <w:rFonts w:ascii="Times New Roman" w:eastAsia="方正黑体_GBK"/>
                <w:snapToGrid w:val="0"/>
                <w:kern w:val="0"/>
                <w:sz w:val="32"/>
                <w:szCs w:val="32"/>
                <w:lang w:val="zh-TW" w:eastAsia="zh-CN"/>
              </w:rPr>
              <w:t>2025年</w:t>
            </w:r>
          </w:p>
        </w:tc>
        <w:tc>
          <w:tcPr>
            <w:tcW w:w="2268" w:type="dxa"/>
            <w:noWrap w:val="0"/>
            <w:vAlign w:val="center"/>
          </w:tcPr>
          <w:p w14:paraId="0EFE7EF8">
            <w:pPr>
              <w:pStyle w:val="6"/>
              <w:overflowPunct w:val="0"/>
              <w:autoSpaceDE w:val="0"/>
              <w:autoSpaceDN w:val="0"/>
              <w:spacing w:line="400" w:lineRule="exact"/>
              <w:rPr>
                <w:rFonts w:ascii="Times New Roman" w:eastAsia="方正黑体_GBK"/>
                <w:snapToGrid w:val="0"/>
                <w:kern w:val="0"/>
                <w:sz w:val="32"/>
                <w:szCs w:val="32"/>
                <w:lang w:val="zh-TW" w:eastAsia="zh-CN"/>
              </w:rPr>
            </w:pPr>
            <w:r>
              <w:rPr>
                <w:rFonts w:ascii="Times New Roman" w:eastAsia="方正黑体_GBK"/>
                <w:snapToGrid w:val="0"/>
                <w:kern w:val="0"/>
                <w:sz w:val="32"/>
                <w:szCs w:val="32"/>
                <w:lang w:val="zh-TW" w:eastAsia="zh-CN"/>
              </w:rPr>
              <w:t>2026年</w:t>
            </w:r>
          </w:p>
        </w:tc>
      </w:tr>
      <w:tr w14:paraId="1E14A21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2256" w:type="dxa"/>
            <w:noWrap w:val="0"/>
            <w:vAlign w:val="center"/>
          </w:tcPr>
          <w:p w14:paraId="3A52BC2E">
            <w:pPr>
              <w:widowControl/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>近零碳园区</w:t>
            </w:r>
          </w:p>
        </w:tc>
        <w:tc>
          <w:tcPr>
            <w:tcW w:w="1983" w:type="dxa"/>
            <w:noWrap w:val="0"/>
            <w:vAlign w:val="center"/>
          </w:tcPr>
          <w:p w14:paraId="2AE22C4E">
            <w:pPr>
              <w:widowControl/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>建设3个</w:t>
            </w:r>
          </w:p>
        </w:tc>
        <w:tc>
          <w:tcPr>
            <w:tcW w:w="2551" w:type="dxa"/>
            <w:noWrap w:val="0"/>
            <w:vAlign w:val="center"/>
          </w:tcPr>
          <w:p w14:paraId="6E0A96D1">
            <w:pPr>
              <w:widowControl/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>建设7个</w:t>
            </w:r>
          </w:p>
        </w:tc>
        <w:tc>
          <w:tcPr>
            <w:tcW w:w="2268" w:type="dxa"/>
            <w:noWrap w:val="0"/>
            <w:vAlign w:val="center"/>
          </w:tcPr>
          <w:p w14:paraId="3BD8FB33">
            <w:pPr>
              <w:widowControl/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>累计完成10个</w:t>
            </w:r>
          </w:p>
        </w:tc>
      </w:tr>
      <w:tr w14:paraId="32AAB9F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2256" w:type="dxa"/>
            <w:noWrap w:val="0"/>
            <w:vAlign w:val="center"/>
          </w:tcPr>
          <w:p w14:paraId="4A24B9D3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>近零碳工厂</w:t>
            </w:r>
          </w:p>
        </w:tc>
        <w:tc>
          <w:tcPr>
            <w:tcW w:w="1983" w:type="dxa"/>
            <w:noWrap w:val="0"/>
            <w:vAlign w:val="center"/>
          </w:tcPr>
          <w:p w14:paraId="55368CF1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>建设5个</w:t>
            </w:r>
          </w:p>
        </w:tc>
        <w:tc>
          <w:tcPr>
            <w:tcW w:w="2551" w:type="dxa"/>
            <w:noWrap w:val="0"/>
            <w:vAlign w:val="center"/>
          </w:tcPr>
          <w:p w14:paraId="799414A5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>建设10个</w:t>
            </w:r>
          </w:p>
        </w:tc>
        <w:tc>
          <w:tcPr>
            <w:tcW w:w="2268" w:type="dxa"/>
            <w:noWrap w:val="0"/>
            <w:vAlign w:val="center"/>
          </w:tcPr>
          <w:p w14:paraId="23FB9AFE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>累计完成15个</w:t>
            </w:r>
          </w:p>
        </w:tc>
      </w:tr>
      <w:tr w14:paraId="427CAEF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1" w:hRule="atLeast"/>
          <w:jc w:val="center"/>
        </w:trPr>
        <w:tc>
          <w:tcPr>
            <w:tcW w:w="2256" w:type="dxa"/>
            <w:noWrap w:val="0"/>
            <w:vAlign w:val="center"/>
          </w:tcPr>
          <w:p w14:paraId="5E611EA9">
            <w:pPr>
              <w:widowControl/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>新型智能微电网</w:t>
            </w:r>
          </w:p>
        </w:tc>
        <w:tc>
          <w:tcPr>
            <w:tcW w:w="1983" w:type="dxa"/>
            <w:noWrap w:val="0"/>
            <w:vAlign w:val="center"/>
          </w:tcPr>
          <w:p w14:paraId="6C2084D0">
            <w:pPr>
              <w:widowControl/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>建设10个</w:t>
            </w:r>
          </w:p>
        </w:tc>
        <w:tc>
          <w:tcPr>
            <w:tcW w:w="2551" w:type="dxa"/>
            <w:noWrap w:val="0"/>
            <w:vAlign w:val="center"/>
          </w:tcPr>
          <w:p w14:paraId="5BB3B2E6">
            <w:pPr>
              <w:widowControl/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>建设10个</w:t>
            </w:r>
          </w:p>
        </w:tc>
        <w:tc>
          <w:tcPr>
            <w:tcW w:w="2268" w:type="dxa"/>
            <w:noWrap w:val="0"/>
            <w:vAlign w:val="center"/>
          </w:tcPr>
          <w:p w14:paraId="30DFAF2D">
            <w:pPr>
              <w:widowControl/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>建设10个</w:t>
            </w:r>
          </w:p>
          <w:p w14:paraId="79F149FD">
            <w:pPr>
              <w:widowControl/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>累计完成30个</w:t>
            </w:r>
          </w:p>
        </w:tc>
      </w:tr>
      <w:tr w14:paraId="42A7AAA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4" w:hRule="atLeast"/>
          <w:jc w:val="center"/>
        </w:trPr>
        <w:tc>
          <w:tcPr>
            <w:tcW w:w="2256" w:type="dxa"/>
            <w:noWrap w:val="0"/>
            <w:vAlign w:val="center"/>
          </w:tcPr>
          <w:p w14:paraId="0DB398B7">
            <w:pPr>
              <w:widowControl/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>虚拟电厂</w:t>
            </w:r>
          </w:p>
        </w:tc>
        <w:tc>
          <w:tcPr>
            <w:tcW w:w="1983" w:type="dxa"/>
            <w:noWrap w:val="0"/>
            <w:vAlign w:val="center"/>
          </w:tcPr>
          <w:p w14:paraId="72FA9080">
            <w:pPr>
              <w:widowControl/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>建成市级虚拟</w:t>
            </w:r>
          </w:p>
          <w:p w14:paraId="1B9AB7D4">
            <w:pPr>
              <w:widowControl/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>电厂管理中心</w:t>
            </w:r>
          </w:p>
        </w:tc>
        <w:tc>
          <w:tcPr>
            <w:tcW w:w="2551" w:type="dxa"/>
            <w:noWrap w:val="0"/>
            <w:vAlign w:val="center"/>
          </w:tcPr>
          <w:p w14:paraId="4F836274">
            <w:pPr>
              <w:widowControl/>
              <w:autoSpaceDE w:val="0"/>
              <w:autoSpaceDN w:val="0"/>
              <w:adjustRightInd w:val="0"/>
              <w:spacing w:line="400" w:lineRule="exact"/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>培育虚拟电厂运营商4户，接入可调节资源4万千瓦。</w:t>
            </w:r>
          </w:p>
        </w:tc>
        <w:tc>
          <w:tcPr>
            <w:tcW w:w="2268" w:type="dxa"/>
            <w:noWrap w:val="0"/>
            <w:vAlign w:val="center"/>
          </w:tcPr>
          <w:p w14:paraId="31993857">
            <w:pPr>
              <w:widowControl/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>基本形成虚拟电厂市场化运作模式，接入可调节资源8万千瓦。</w:t>
            </w:r>
          </w:p>
        </w:tc>
      </w:tr>
    </w:tbl>
    <w:p w14:paraId="3C7A2CD6">
      <w:pPr>
        <w:widowControl/>
        <w:autoSpaceDE w:val="0"/>
        <w:autoSpaceDN w:val="0"/>
        <w:adjustRightInd w:val="0"/>
        <w:spacing w:line="500" w:lineRule="exact"/>
      </w:pPr>
      <w:r>
        <w:rPr>
          <w:rFonts w:ascii="Times New Roman" w:hAnsi="Times New Roman" w:eastAsia="方正仿宋_GBK"/>
          <w:color w:val="000000"/>
          <w:sz w:val="28"/>
          <w:szCs w:val="28"/>
        </w:rPr>
        <w:t>备注：2024年、2025年启动未完成项目可结转至下一年度，但2026年底必须完成所有试点项目建设。</w:t>
      </w: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D405EEE1-3599-4A24-BD1D-EE99FC01A121}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方正黑体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  <w:embedRegular r:id="rId2" w:fontKey="{6A1A3B39-FC5D-40FB-B5B8-795187012A31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A5DA86F7-D39B-4F64-AAC6-0AA8794E11BE}"/>
  </w:font>
  <w:font w:name="方正仿宋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  <w:embedRegular r:id="rId4" w:fontKey="{6F65BCB2-9950-4439-BCD3-DFA1808DD575}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46E0F67">
    <w:pPr>
      <w:pStyle w:val="2"/>
      <w:adjustRightInd w:val="0"/>
      <w:ind w:right="210" w:rightChars="100"/>
      <w:jc w:val="right"/>
      <w:rPr>
        <w:rFonts w:hint="eastAsia" w:ascii="Times New Roman" w:hAnsi="Times New Roman"/>
        <w:sz w:val="28"/>
        <w:szCs w:val="28"/>
      </w:rPr>
    </w:pPr>
    <w:r>
      <w:rPr>
        <w:rFonts w:hint="eastAsia" w:ascii="Times New Roman" w:hAnsi="Times New Roman"/>
        <w:sz w:val="28"/>
        <w:szCs w:val="28"/>
      </w:rPr>
      <w:t xml:space="preserve">— </w:t>
    </w:r>
    <w:r>
      <w:rPr>
        <w:rFonts w:ascii="Times New Roman" w:hAnsi="Times New Roman"/>
        <w:sz w:val="28"/>
        <w:szCs w:val="28"/>
      </w:rPr>
      <w:fldChar w:fldCharType="begin"/>
    </w:r>
    <w:r>
      <w:rPr>
        <w:rFonts w:ascii="Times New Roman" w:hAnsi="Times New Roman"/>
        <w:sz w:val="28"/>
        <w:szCs w:val="28"/>
      </w:rPr>
      <w:instrText xml:space="preserve"> PAGE   \* MERGEFORMAT </w:instrText>
    </w:r>
    <w:r>
      <w:rPr>
        <w:rFonts w:ascii="Times New Roman" w:hAnsi="Times New Roman"/>
        <w:sz w:val="28"/>
        <w:szCs w:val="28"/>
      </w:rPr>
      <w:fldChar w:fldCharType="separate"/>
    </w:r>
    <w:r>
      <w:rPr>
        <w:rFonts w:ascii="Times New Roman" w:hAnsi="Times New Roman"/>
        <w:sz w:val="28"/>
        <w:szCs w:val="28"/>
        <w:lang w:val="zh-CN"/>
      </w:rPr>
      <w:t>11</w:t>
    </w:r>
    <w:r>
      <w:rPr>
        <w:rFonts w:ascii="Times New Roman" w:hAnsi="Times New Roman"/>
        <w:sz w:val="28"/>
        <w:szCs w:val="28"/>
      </w:rPr>
      <w:fldChar w:fldCharType="end"/>
    </w:r>
    <w:r>
      <w:rPr>
        <w:rFonts w:hint="eastAsia" w:ascii="Times New Roman" w:hAnsi="Times New Roman"/>
        <w:sz w:val="28"/>
        <w:szCs w:val="28"/>
      </w:rPr>
      <w:t xml:space="preserve"> —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36A0F62"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A5NWQ2OTU1OGVjMGY1ODg1NzM3NDc2ZDYxMjhkZTIifQ=="/>
  </w:docVars>
  <w:rsids>
    <w:rsidRoot w:val="66923A7F"/>
    <w:rsid w:val="66923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材料标题"/>
    <w:basedOn w:val="1"/>
    <w:qFormat/>
    <w:uiPriority w:val="0"/>
    <w:pPr>
      <w:adjustRightInd w:val="0"/>
      <w:snapToGrid w:val="0"/>
      <w:spacing w:line="700" w:lineRule="exact"/>
      <w:jc w:val="center"/>
    </w:pPr>
    <w:rPr>
      <w:rFonts w:ascii="方正小标宋简体" w:hAnsi="Times New Roman" w:eastAsia="方正小标宋简体"/>
      <w:color w:val="000000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2024-07-15T02:15:00Z</dcterms:created>
  <dc:creator>丹丹</dc:creator>
  <cp:lastModifiedBy>丹丹</cp:lastModifiedBy>
  <dcterms:modified xsi:type="dcterms:W3CDTF">2024-07-15T02:15:45Z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C2F757E481864BC787E13521097129B2_11</vt:lpwstr>
  </property>
</Properties>
</file>