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黑体" w:hAnsi="黑体" w:eastAsia="黑体" w:cs="仿宋_GB2312"/>
          <w:bCs/>
          <w:sz w:val="32"/>
          <w:szCs w:val="32"/>
        </w:rPr>
      </w:pPr>
      <w:r>
        <w:rPr>
          <w:rStyle w:val="7"/>
          <w:rFonts w:hint="eastAsia" w:ascii="黑体" w:hAnsi="黑体" w:eastAsia="黑体" w:cs="仿宋_GB2312"/>
          <w:bCs/>
          <w:sz w:val="32"/>
          <w:szCs w:val="32"/>
        </w:rPr>
        <w:t>附件：</w:t>
      </w:r>
    </w:p>
    <w:p>
      <w:pPr>
        <w:jc w:val="center"/>
        <w:rPr>
          <w:rStyle w:val="7"/>
          <w:rFonts w:ascii="华文中宋" w:hAnsi="华文中宋" w:eastAsia="华文中宋"/>
          <w:b/>
          <w:sz w:val="36"/>
          <w:szCs w:val="36"/>
        </w:rPr>
      </w:pPr>
      <w:r>
        <w:rPr>
          <w:rStyle w:val="7"/>
          <w:rFonts w:hint="eastAsia" w:ascii="华文中宋" w:hAnsi="华文中宋" w:eastAsia="华文中宋"/>
          <w:b/>
          <w:sz w:val="36"/>
          <w:szCs w:val="36"/>
        </w:rPr>
        <w:t>既有多层住宅加装电梯不同楼层业主出资指导区间</w:t>
      </w:r>
    </w:p>
    <w:tbl>
      <w:tblPr>
        <w:tblStyle w:val="4"/>
        <w:tblW w:w="136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05"/>
        <w:gridCol w:w="1110"/>
        <w:gridCol w:w="1350"/>
        <w:gridCol w:w="1620"/>
        <w:gridCol w:w="1425"/>
        <w:gridCol w:w="1635"/>
        <w:gridCol w:w="1710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加装电梯入户方式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多层住宅楼型</w:t>
            </w:r>
          </w:p>
        </w:tc>
        <w:tc>
          <w:tcPr>
            <w:tcW w:w="1072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出资指导区间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atLeast"/>
        </w:trPr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楼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楼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楼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楼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楼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平层入户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层楼型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4%-6%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8%-10%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13%-15%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18%-20%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23%-25%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28%-30%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层楼型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6%-8%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12%-14%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19%-21%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26%-28%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32%-34%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层楼型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9%-11%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19%-21%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29%-31%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39%-41%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层楼型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16%-18%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32%-34%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49%-51%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错层入户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层楼型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2%-4%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7%-9%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13%-15%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18%-20%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24%-26%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30%-32%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层楼型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3%-5%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11%-13%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19%-21%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27%-29%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35%-37%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层楼型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5%-7%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18%-20%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30%-32%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43%-45%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7"/>
                <w:rFonts w:hint="eastAsia" w:eastAsia="仿宋_GB2312"/>
                <w:color w:val="000000"/>
                <w:kern w:val="0"/>
                <w:sz w:val="28"/>
                <w:szCs w:val="28"/>
              </w:rPr>
              <w:t>层楼型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10%-12%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32%-34%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  <w:t>55%-57%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7"/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420"/>
        <w:rPr>
          <w:rStyle w:val="7"/>
          <w:rFonts w:hint="eastAsia" w:ascii="仿宋_GB2312" w:hAnsi="仿宋_GB2312" w:eastAsia="仿宋_GB2312"/>
          <w:sz w:val="28"/>
          <w:szCs w:val="28"/>
        </w:rPr>
        <w:sectPr>
          <w:pgSz w:w="16840" w:h="11907" w:orient="landscape"/>
          <w:pgMar w:top="1066" w:right="2007" w:bottom="1236" w:left="1440" w:header="851" w:footer="992" w:gutter="0"/>
          <w:cols w:space="720" w:num="1"/>
          <w:docGrid w:type="lines" w:linePitch="312" w:charSpace="0"/>
        </w:sectPr>
      </w:pPr>
      <w:r>
        <w:rPr>
          <w:rStyle w:val="7"/>
          <w:rFonts w:hint="eastAsia" w:ascii="仿宋_GB2312" w:hAnsi="仿宋_GB2312" w:eastAsia="仿宋_GB2312"/>
          <w:sz w:val="28"/>
          <w:szCs w:val="28"/>
        </w:rPr>
        <w:t>说明：本出资指导区间供协商参考，具体以业主协商后协议约定为准。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2021-02-19T09:17:59Z</dcterms:created>
  <dc:creator>L</dc:creator>
  <cp:lastModifiedBy>L</cp:lastModifiedBy>
  <dcterms:modified xsi:type="dcterms:W3CDTF">2021-02-19T09:20:12Z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