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outlineLvl w:val="1"/>
        <w:rPr>
          <w:rFonts w:hint="eastAsia" w:ascii="Nimbus Roman No9 L" w:hAnsi="Nimbus Roman No9 L" w:eastAsia="黑体" w:cs="Nimbus Roman No9 L"/>
          <w:color w:val="auto"/>
          <w:sz w:val="32"/>
          <w:szCs w:val="32"/>
          <w:lang w:val="en-US" w:eastAsia="zh-CN"/>
        </w:rPr>
      </w:pPr>
      <w:r>
        <w:rPr>
          <w:rFonts w:hint="eastAsia" w:ascii="Nimbus Roman No9 L" w:hAnsi="Nimbus Roman No9 L" w:eastAsia="黑体" w:cs="Nimbus Roman No9 L"/>
          <w:color w:val="auto"/>
          <w:sz w:val="32"/>
          <w:szCs w:val="32"/>
        </w:rPr>
        <w:t>附件</w:t>
      </w:r>
      <w:r>
        <w:rPr>
          <w:rFonts w:hint="eastAsia" w:ascii="Nimbus Roman No9 L" w:hAnsi="Nimbus Roman No9 L" w:eastAsia="黑体" w:cs="Nimbus Roman No9 L"/>
          <w:color w:val="auto"/>
          <w:sz w:val="32"/>
          <w:szCs w:val="32"/>
          <w:lang w:val="en-US" w:eastAsia="zh-CN"/>
        </w:rPr>
        <w:t>1</w:t>
      </w:r>
    </w:p>
    <w:p>
      <w:pPr>
        <w:adjustRightInd w:val="0"/>
        <w:snapToGrid w:val="0"/>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甘肃省绿色矿山建设评价指标（修订）</w:t>
      </w:r>
    </w:p>
    <w:p>
      <w:pPr>
        <w:adjustRightInd w:val="0"/>
        <w:snapToGrid w:val="0"/>
        <w:jc w:val="center"/>
        <w:outlineLvl w:val="0"/>
        <w:rPr>
          <w:rFonts w:ascii="方正小标宋简体" w:hAnsi="方正小标宋简体" w:eastAsia="方正小标宋简体" w:cs="方正小标宋简体"/>
          <w:color w:val="auto"/>
          <w:sz w:val="32"/>
          <w:szCs w:val="32"/>
        </w:rPr>
      </w:pPr>
    </w:p>
    <w:p>
      <w:pPr>
        <w:adjustRightInd w:val="0"/>
        <w:snapToGrid w:val="0"/>
        <w:jc w:val="center"/>
        <w:outlineLvl w:val="0"/>
        <w:rPr>
          <w:rFonts w:ascii="方正公文小标宋" w:hAnsi="方正公文小标宋" w:eastAsia="方正公文小标宋" w:cs="方正公文小标宋"/>
          <w:color w:val="auto"/>
          <w:kern w:val="0"/>
          <w:sz w:val="30"/>
          <w:szCs w:val="30"/>
        </w:rPr>
      </w:pPr>
      <w:r>
        <w:rPr>
          <w:rFonts w:hint="eastAsia" w:ascii="方正公文小标宋" w:hAnsi="方正公文小标宋" w:eastAsia="方正公文小标宋" w:cs="方正公文小标宋"/>
          <w:bCs/>
          <w:color w:val="auto"/>
          <w:kern w:val="0"/>
          <w:sz w:val="30"/>
          <w:szCs w:val="30"/>
          <w:lang w:bidi="ar"/>
        </w:rPr>
        <w:t>表1 省级绿色矿山建设评价指标（煤矿）</w:t>
      </w:r>
    </w:p>
    <w:tbl>
      <w:tblPr>
        <w:tblStyle w:val="17"/>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2"/>
        <w:gridCol w:w="7599"/>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20"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先决条件</w:t>
            </w:r>
          </w:p>
        </w:tc>
        <w:tc>
          <w:tcPr>
            <w:tcW w:w="2721"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要求</w:t>
            </w:r>
          </w:p>
        </w:tc>
        <w:tc>
          <w:tcPr>
            <w:tcW w:w="1658"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20"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手续齐全，证照合法有效</w:t>
            </w:r>
          </w:p>
        </w:tc>
        <w:tc>
          <w:tcPr>
            <w:tcW w:w="2721"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《采矿许可证》《安全生产许可证》《营业执照》证照合法有效，依法办理环评、排污许可手续和使用林草地审核同意书，并依法完成竣工环保验收。涉及疏干排水的，应具备合法有效的《取水许可证》。</w:t>
            </w:r>
          </w:p>
        </w:tc>
        <w:tc>
          <w:tcPr>
            <w:tcW w:w="1658" w:type="pct"/>
            <w:vMerge w:val="restart"/>
            <w:tcMar>
              <w:top w:w="12" w:type="dxa"/>
              <w:left w:w="12" w:type="dxa"/>
              <w:right w:w="12" w:type="dxa"/>
            </w:tcMar>
            <w:vAlign w:val="center"/>
          </w:tcPr>
          <w:p>
            <w:pPr>
              <w:widowControl/>
              <w:spacing w:line="240" w:lineRule="exact"/>
              <w:jc w:val="left"/>
              <w:textAlignment w:val="top"/>
              <w:rPr>
                <w:rFonts w:ascii="仿宋" w:hAnsi="仿宋" w:eastAsia="仿宋" w:cs="仿宋"/>
                <w:color w:val="auto"/>
                <w:kern w:val="0"/>
                <w:szCs w:val="21"/>
                <w:lang w:bidi="ar"/>
              </w:rPr>
            </w:pP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合格      □</w:t>
            </w: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不合格    □</w:t>
            </w:r>
          </w:p>
          <w:p>
            <w:pPr>
              <w:widowControl/>
              <w:spacing w:line="240" w:lineRule="exact"/>
              <w:jc w:val="left"/>
              <w:textAlignment w:val="top"/>
              <w:rPr>
                <w:rFonts w:ascii="仿宋" w:hAnsi="仿宋" w:eastAsia="仿宋" w:cs="仿宋"/>
                <w:color w:val="auto"/>
                <w:kern w:val="0"/>
                <w:szCs w:val="21"/>
              </w:rPr>
            </w:pPr>
          </w:p>
          <w:p>
            <w:pPr>
              <w:widowControl/>
              <w:spacing w:line="240" w:lineRule="exact"/>
              <w:jc w:val="left"/>
              <w:textAlignment w:val="top"/>
              <w:rPr>
                <w:rFonts w:ascii="仿宋" w:hAnsi="仿宋" w:eastAsia="仿宋" w:cs="仿宋"/>
                <w:color w:val="auto"/>
                <w:kern w:val="0"/>
                <w:szCs w:val="21"/>
              </w:rPr>
            </w:pPr>
            <w:r>
              <w:rPr>
                <w:rFonts w:hint="eastAsia" w:ascii="仿宋" w:hAnsi="仿宋" w:eastAsia="仿宋" w:cs="仿宋"/>
                <w:color w:val="auto"/>
                <w:kern w:val="0"/>
                <w:szCs w:val="21"/>
              </w:rPr>
              <w:t>满足所有先决条件方可进行打分评价，其中1条不满足的，即为不合格。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0"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三年内未受行政处罚或已整改到位</w:t>
            </w:r>
          </w:p>
        </w:tc>
        <w:tc>
          <w:tcPr>
            <w:tcW w:w="2721"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近三年内，未受到自然资源、生态环境和林草等部门行政处罚，或受到处罚在履行期限内已执行到位（出具相关证明材料），且未发生过较大及以上安全生产事故、环境事件的。</w:t>
            </w:r>
          </w:p>
        </w:tc>
        <w:tc>
          <w:tcPr>
            <w:tcW w:w="16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20"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矿业权人异常名录</w:t>
            </w:r>
          </w:p>
        </w:tc>
        <w:tc>
          <w:tcPr>
            <w:tcW w:w="2721"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矿山参加遴选期间，矿业权人未被列入矿业权人勘查开采信息公示异常名录。</w:t>
            </w:r>
          </w:p>
        </w:tc>
        <w:tc>
          <w:tcPr>
            <w:tcW w:w="16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20"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矿山要求</w:t>
            </w:r>
          </w:p>
        </w:tc>
        <w:tc>
          <w:tcPr>
            <w:tcW w:w="2721"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矿山近三年正常运营，且剩余储量可采年限（按储量年度报告）不少于三年。</w:t>
            </w:r>
          </w:p>
        </w:tc>
        <w:tc>
          <w:tcPr>
            <w:tcW w:w="16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0"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w:t>
            </w:r>
          </w:p>
        </w:tc>
        <w:tc>
          <w:tcPr>
            <w:tcW w:w="2721"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矿区范围未涉及生态保护红线（国家有规定的除外），符合国土空间规划及规划环评要求。</w:t>
            </w:r>
          </w:p>
        </w:tc>
        <w:tc>
          <w:tcPr>
            <w:tcW w:w="16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bl>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color w:val="auto"/>
          <w:sz w:val="20"/>
          <w:szCs w:val="21"/>
        </w:rPr>
      </w:pPr>
    </w:p>
    <w:tbl>
      <w:tblPr>
        <w:tblStyle w:val="17"/>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9"/>
        <w:gridCol w:w="999"/>
        <w:gridCol w:w="1105"/>
        <w:gridCol w:w="706"/>
        <w:gridCol w:w="5716"/>
        <w:gridCol w:w="990"/>
        <w:gridCol w:w="2145"/>
        <w:gridCol w:w="856"/>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69"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一级指标</w:t>
            </w:r>
          </w:p>
        </w:tc>
        <w:tc>
          <w:tcPr>
            <w:tcW w:w="358"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二级指标</w:t>
            </w:r>
          </w:p>
        </w:tc>
        <w:tc>
          <w:tcPr>
            <w:tcW w:w="395"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三级指标</w:t>
            </w:r>
          </w:p>
        </w:tc>
        <w:tc>
          <w:tcPr>
            <w:tcW w:w="253"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标准分</w:t>
            </w:r>
          </w:p>
        </w:tc>
        <w:tc>
          <w:tcPr>
            <w:tcW w:w="2049"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评分说明</w:t>
            </w:r>
          </w:p>
        </w:tc>
        <w:tc>
          <w:tcPr>
            <w:tcW w:w="355"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考核方法</w:t>
            </w:r>
          </w:p>
        </w:tc>
        <w:tc>
          <w:tcPr>
            <w:tcW w:w="769"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依据或标准</w:t>
            </w:r>
          </w:p>
        </w:tc>
        <w:tc>
          <w:tcPr>
            <w:tcW w:w="30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检查</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记录</w:t>
            </w:r>
          </w:p>
        </w:tc>
        <w:tc>
          <w:tcPr>
            <w:tcW w:w="14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一、矿区环境(8项，12分)</w:t>
            </w: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（一）矿容矿貌（10分）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1功能分区</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矿区按生产区、管理区、生活区进行功能分区，符合分区要求。符合得2分，管理区、生活区分区不明显扣0.5分，生产区、管理区分区不明显扣1.5分。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矿区总平面布置图或示意图，《工业企业总平面设计规范》（GB 50187）</w:t>
            </w: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2配套设施</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及无废弃建构筑物。符合得2分，一处不符合扣0.5分</w:t>
            </w:r>
            <w:r>
              <w:rPr>
                <w:rFonts w:hint="eastAsia" w:ascii="仿宋" w:hAnsi="仿宋" w:eastAsia="仿宋" w:cs="仿宋"/>
                <w:color w:val="auto"/>
                <w:kern w:val="0"/>
                <w:szCs w:val="21"/>
                <w:lang w:bidi="ar"/>
              </w:rPr>
              <w:t>，扣完为止。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矿区总平面布置图</w:t>
            </w: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3标识标牌</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生产区按要求设置操作提示牌、说明牌、线路示意图牌、安全警示牌、绿色矿山宣传等各类标牌，标牌的尺寸、形状、颜色设置应符合规定。符合得1分，一处不符合扣0.2分</w:t>
            </w:r>
            <w:r>
              <w:rPr>
                <w:rFonts w:hint="eastAsia" w:ascii="仿宋" w:hAnsi="仿宋" w:eastAsia="仿宋" w:cs="仿宋"/>
                <w:color w:val="auto"/>
                <w:kern w:val="0"/>
                <w:szCs w:val="21"/>
                <w:lang w:bidi="ar"/>
              </w:rPr>
              <w:t>，扣完为止。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《矿山安全标志》</w:t>
            </w: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4主干道路</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bookmarkStart w:id="0" w:name="OLE_LINK25"/>
            <w:r>
              <w:rPr>
                <w:rFonts w:hint="eastAsia" w:ascii="仿宋" w:hAnsi="仿宋" w:eastAsia="仿宋" w:cs="仿宋"/>
                <w:color w:val="auto"/>
                <w:kern w:val="0"/>
                <w:szCs w:val="21"/>
              </w:rPr>
              <w:t>矿区主干道路面硬化或固化，路面平整、密实和粗糙度适当，固化道路实施洒水等降尘措施，养护良好。符合得1分，一处不符合扣0.5分</w:t>
            </w:r>
            <w:r>
              <w:rPr>
                <w:rFonts w:hint="eastAsia" w:ascii="仿宋" w:hAnsi="仿宋" w:eastAsia="仿宋" w:cs="仿宋"/>
                <w:color w:val="auto"/>
                <w:kern w:val="0"/>
                <w:szCs w:val="21"/>
                <w:lang w:bidi="ar"/>
              </w:rPr>
              <w:t>，扣完为止。</w:t>
            </w:r>
            <w:bookmarkEnd w:id="0"/>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《厂矿道路设计规范》</w:t>
            </w: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5定置管理</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设备、物资材料规范管理，做到分类分区、摆放有序、堆码整齐。符合得1分，一处不符合扣0.5分</w:t>
            </w:r>
            <w:r>
              <w:rPr>
                <w:rFonts w:hint="eastAsia" w:ascii="仿宋" w:hAnsi="仿宋" w:eastAsia="仿宋" w:cs="仿宋"/>
                <w:color w:val="auto"/>
                <w:kern w:val="0"/>
                <w:szCs w:val="21"/>
                <w:lang w:bidi="ar"/>
              </w:rPr>
              <w:t>，扣完为止。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6清洁卫生</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矿区保持清洁卫生，生产区及管理区无垃圾、无废石乱扔乱放，生产现场管线无跑、冒、滴、漏现象。符合得1分，一处不符合扣0.5分</w:t>
            </w:r>
            <w:r>
              <w:rPr>
                <w:rFonts w:hint="eastAsia" w:ascii="仿宋" w:hAnsi="仿宋" w:eastAsia="仿宋" w:cs="仿宋"/>
                <w:color w:val="auto"/>
                <w:kern w:val="0"/>
                <w:szCs w:val="21"/>
                <w:lang w:bidi="ar"/>
              </w:rPr>
              <w:t>，扣完为止。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bookmarkStart w:id="1" w:name="OLE_LINK7"/>
            <w:r>
              <w:rPr>
                <w:rFonts w:hint="eastAsia" w:ascii="仿宋" w:hAnsi="仿宋" w:eastAsia="仿宋" w:cs="仿宋"/>
                <w:color w:val="auto"/>
                <w:kern w:val="0"/>
                <w:szCs w:val="21"/>
                <w:lang w:bidi="ar"/>
              </w:rPr>
              <w:t>查现场</w:t>
            </w:r>
            <w:bookmarkEnd w:id="1"/>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bookmarkStart w:id="2" w:name="_Hlk184208284"/>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7场地边坡</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矿区内生活办公区、工业场地、道路等各类边坡坡面无明显侵蚀、水土流失、扬尘等情形，边坡稳定无滑塌。符合得2分，一处不符合扣0.5分</w:t>
            </w:r>
            <w:r>
              <w:rPr>
                <w:rFonts w:hint="eastAsia" w:ascii="仿宋" w:hAnsi="仿宋" w:eastAsia="仿宋" w:cs="仿宋"/>
                <w:color w:val="auto"/>
                <w:kern w:val="0"/>
                <w:szCs w:val="21"/>
                <w:lang w:bidi="ar"/>
              </w:rPr>
              <w:t>，扣完为止。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bookmarkStart w:id="3" w:name="_Hlk184209003"/>
          </w:p>
        </w:tc>
        <w:tc>
          <w:tcPr>
            <w:tcW w:w="35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（二）矿区绿化美化（2分）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8矿区绿化美化</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可绿化区域实现全覆盖，且无大面积表土裸露。绿化覆盖率达到可绿化面积的100%。绿化植物以本土物种为主，搭配合理，与周边环境协调一致，符合当地气候条件。符合得2分，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可绿化区域是指除采场、建筑覆盖区、硬化地面等不宜进行绿化区域以外的区域</w:t>
            </w:r>
          </w:p>
        </w:tc>
        <w:tc>
          <w:tcPr>
            <w:tcW w:w="30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44"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二、资源开采</w:t>
            </w:r>
            <w:bookmarkStart w:id="4" w:name="OLE_LINK12"/>
            <w:r>
              <w:rPr>
                <w:rFonts w:hint="eastAsia" w:ascii="仿宋" w:hAnsi="仿宋" w:eastAsia="仿宋" w:cs="仿宋"/>
                <w:color w:val="auto"/>
                <w:kern w:val="0"/>
                <w:szCs w:val="21"/>
              </w:rPr>
              <w:t>（4项，16分）</w:t>
            </w:r>
            <w:bookmarkEnd w:id="4"/>
          </w:p>
        </w:tc>
        <w:tc>
          <w:tcPr>
            <w:tcW w:w="358"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（一）开采活动（12分）</w:t>
            </w: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9开采方式及工艺</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露天开采：</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①</w:t>
            </w:r>
            <w:r>
              <w:rPr>
                <w:rFonts w:hint="eastAsia" w:ascii="仿宋" w:hAnsi="仿宋" w:eastAsia="仿宋" w:cs="仿宋"/>
                <w:color w:val="auto"/>
                <w:kern w:val="0"/>
                <w:szCs w:val="21"/>
              </w:rPr>
              <w:t>露天开采采用自上而下分台阶开采，符合开采设计要求，</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4分。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②未使用国家限制和淘汰类技术、材料、设备，得2分。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③</w:t>
            </w:r>
            <w:r>
              <w:rPr>
                <w:rFonts w:hint="eastAsia" w:ascii="仿宋" w:hAnsi="仿宋" w:eastAsia="仿宋" w:cs="仿宋"/>
                <w:color w:val="auto"/>
                <w:kern w:val="0"/>
                <w:szCs w:val="21"/>
              </w:rPr>
              <w:t>坚持采剥并举、剥离先行的原则，优化开采布局，选择合理工艺，科学制定采排计划，尽量减少对地表的破坏，</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井工开采：</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①</w:t>
            </w:r>
            <w:r>
              <w:rPr>
                <w:rFonts w:hint="eastAsia" w:ascii="仿宋" w:hAnsi="仿宋" w:eastAsia="仿宋" w:cs="仿宋"/>
                <w:color w:val="auto"/>
                <w:kern w:val="0"/>
                <w:szCs w:val="21"/>
              </w:rPr>
              <w:t>井工开采方法和顺序合理，符合开采设计要求，开采技术符合生态环境保护要求，</w:t>
            </w:r>
            <w:r>
              <w:rPr>
                <w:rFonts w:hint="eastAsia" w:ascii="仿宋" w:hAnsi="仿宋" w:eastAsia="仿宋" w:cs="仿宋"/>
                <w:color w:val="auto"/>
                <w:kern w:val="0"/>
                <w:szCs w:val="21"/>
                <w:lang w:bidi="ar"/>
              </w:rPr>
              <w:t>得4分；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②未使用国家限制和淘汰类技术、材料、设备，得2分；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③</w:t>
            </w:r>
            <w:bookmarkStart w:id="5" w:name="OLE_LINK16"/>
            <w:r>
              <w:rPr>
                <w:rFonts w:hint="eastAsia" w:ascii="仿宋" w:hAnsi="仿宋" w:eastAsia="仿宋" w:cs="仿宋"/>
                <w:color w:val="auto"/>
                <w:kern w:val="0"/>
                <w:szCs w:val="21"/>
                <w:lang w:bidi="ar"/>
              </w:rPr>
              <w:t>按设计要求</w:t>
            </w:r>
            <w:bookmarkEnd w:id="5"/>
            <w:r>
              <w:rPr>
                <w:rFonts w:hint="eastAsia" w:ascii="仿宋" w:hAnsi="仿宋" w:eastAsia="仿宋" w:cs="仿宋"/>
                <w:color w:val="auto"/>
                <w:kern w:val="0"/>
                <w:szCs w:val="21"/>
                <w:lang w:bidi="ar"/>
              </w:rPr>
              <w:t>优先采用</w:t>
            </w:r>
            <w:bookmarkStart w:id="6" w:name="OLE_LINK19"/>
            <w:r>
              <w:rPr>
                <w:rFonts w:hint="eastAsia" w:ascii="仿宋" w:hAnsi="仿宋" w:eastAsia="仿宋" w:cs="仿宋"/>
                <w:color w:val="auto"/>
                <w:kern w:val="0"/>
                <w:szCs w:val="21"/>
                <w:lang w:bidi="ar"/>
              </w:rPr>
              <w:t>充填开采、保水开采、井下破碎、封闭运输等先进技术</w:t>
            </w:r>
            <w:bookmarkEnd w:id="6"/>
            <w:r>
              <w:rPr>
                <w:rFonts w:hint="eastAsia" w:ascii="仿宋" w:hAnsi="仿宋" w:eastAsia="仿宋" w:cs="仿宋"/>
                <w:color w:val="auto"/>
                <w:kern w:val="0"/>
                <w:szCs w:val="21"/>
                <w:lang w:bidi="ar"/>
              </w:rPr>
              <w:t>，有效减少开采引起的大面积地面沉降；利用采空区规模化环保化处置废石、煤矸石等，得2分；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（兼备井工和露天开采的，以现阶段主要开采方式选择其一进行评分，分数不累加，</w:t>
            </w:r>
            <w:r>
              <w:rPr>
                <w:rFonts w:hint="eastAsia" w:ascii="仿宋" w:hAnsi="仿宋" w:eastAsia="仿宋" w:cs="仿宋"/>
                <w:color w:val="auto"/>
                <w:kern w:val="0"/>
                <w:szCs w:val="21"/>
                <w:lang w:bidi="ar"/>
              </w:rPr>
              <w:t>累计得分不超过该项总分值。</w:t>
            </w:r>
            <w:r>
              <w:rPr>
                <w:rFonts w:hint="eastAsia" w:ascii="仿宋" w:hAnsi="仿宋" w:eastAsia="仿宋" w:cs="仿宋"/>
                <w:color w:val="auto"/>
                <w:kern w:val="0"/>
                <w:szCs w:val="21"/>
              </w:rPr>
              <w:t>）</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开采设计、工艺技术装备资料、开发利用方案</w:t>
            </w:r>
          </w:p>
        </w:tc>
        <w:tc>
          <w:tcPr>
            <w:tcW w:w="30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4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10爆破</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涉及爆破作业的矿山，采用先进、安全、高效、经济、环保的爆破工艺，通过优化爆破参数、爆破方式等手段，控制矿石块度，降低爆破粉尘、冲击波、震动等危害。</w:t>
            </w:r>
            <w:r>
              <w:rPr>
                <w:rFonts w:hint="eastAsia" w:ascii="仿宋" w:hAnsi="仿宋" w:eastAsia="仿宋" w:cs="仿宋"/>
                <w:color w:val="auto"/>
                <w:kern w:val="0"/>
                <w:szCs w:val="21"/>
              </w:rPr>
              <w:t>符合得2分，一处不符合扣0.5分</w:t>
            </w:r>
            <w:r>
              <w:rPr>
                <w:rFonts w:hint="eastAsia" w:ascii="仿宋" w:hAnsi="仿宋" w:eastAsia="仿宋" w:cs="仿宋"/>
                <w:color w:val="auto"/>
                <w:kern w:val="0"/>
                <w:szCs w:val="21"/>
                <w:lang w:bidi="ar"/>
              </w:rPr>
              <w:t>，扣完为止。</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查现场、查资料</w:t>
            </w:r>
          </w:p>
        </w:tc>
        <w:tc>
          <w:tcPr>
            <w:tcW w:w="76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0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4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11开采回采率</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开采回采率达到或高于开发利用方案设计指标，且不低于自然资源部公告发布的最低指标要求。符合得2分。</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76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0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4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（二）开采工作面（4分）</w:t>
            </w: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12质量要求</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露天开采：</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①作业平台干净，保持平整、通畅，无杂物、无积水，工作台阶与非工作台阶坡面无危岩，得2分；</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②非工作台阶滚落物及时清理，并在安全隐患位置设置警戒线或安全警示牌，得2分。</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井工开采：</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①井工开采矿山工作面安全出口畅通，满足通风、运输、行人、设备安装、检修的需要，支护完好，得2分；</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②工作面无较大面积积水、无浮碴、无杂物，材料堆放整齐，得2分。</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（兼备井工和露天开采的，以现阶段主要开采方式选择其一进行评分，分数不累加）</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0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4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lang w:bidi="ar"/>
              </w:rPr>
              <w:t>三、综合利用（</w:t>
            </w:r>
            <w:r>
              <w:rPr>
                <w:rFonts w:hint="eastAsia" w:ascii="仿宋" w:hAnsi="仿宋" w:eastAsia="仿宋" w:cs="仿宋"/>
                <w:color w:val="auto"/>
                <w:kern w:val="0"/>
                <w:szCs w:val="21"/>
              </w:rPr>
              <w:t>9项，19分）</w:t>
            </w:r>
            <w:r>
              <w:rPr>
                <w:rFonts w:hint="eastAsia" w:ascii="仿宋" w:hAnsi="仿宋" w:eastAsia="仿宋" w:cs="仿宋"/>
                <w:color w:val="auto"/>
                <w:kern w:val="0"/>
                <w:szCs w:val="21"/>
                <w:lang w:bidi="ar"/>
              </w:rPr>
              <w:t>）</w:t>
            </w: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（一）选矿回收（4分）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13选矿加工工艺</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采用自动化程度高、能耗低、污染物产生量少的生产设备和工艺。对煤炭资源的稀缺、特殊性进行评价。稀缺、特殊煤类应全部洗选；稀缺、特殊煤炭资源应按优先用途进行保护性利用，并应限制其作为燃料直接利用。符合得2分，</w:t>
            </w:r>
            <w:r>
              <w:rPr>
                <w:rFonts w:hint="eastAsia" w:ascii="仿宋" w:hAnsi="仿宋" w:eastAsia="仿宋" w:cs="仿宋"/>
                <w:color w:val="auto"/>
                <w:kern w:val="0"/>
                <w:szCs w:val="21"/>
                <w:lang w:bidi="ar"/>
              </w:rPr>
              <w:t>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 xml:space="preserve">《煤炭洗选工程设计规范》（GB 50359-2016）,符合环评批复相关要求 </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14原煤入选率</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新建大中型煤矿配套建设选煤厂或中心选煤厂，原煤入选率不低于75%，得2分。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（二）共伴生资源综合利用（10分）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15共伴生资源综合勘查与评价</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对共伴生矿产资源进行综合勘查、综合评价、综合开发，得2分。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《矿产资源综合勘查评价规范》（GB/T 25283），符合环评批复相关要求</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16煤系</w:t>
            </w:r>
            <w:r>
              <w:rPr>
                <w:rFonts w:hint="eastAsia" w:ascii="仿宋" w:hAnsi="仿宋" w:eastAsia="仿宋" w:cs="仿宋"/>
                <w:color w:val="auto"/>
                <w:kern w:val="0"/>
                <w:szCs w:val="21"/>
              </w:rPr>
              <w:t>共伴生矿产利用</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对煤系油页岩、高岭土（岩）、铝矾土、膨润土、铀等共伴生矿产资源选用先进适用、经济合理的工艺技术进行开发利用，减少资源浪费；</w:t>
            </w:r>
            <w:r>
              <w:rPr>
                <w:rFonts w:hint="eastAsia" w:ascii="仿宋" w:hAnsi="仿宋" w:eastAsia="仿宋" w:cs="仿宋"/>
                <w:color w:val="auto"/>
                <w:kern w:val="0"/>
                <w:szCs w:val="21"/>
                <w:lang w:bidi="ar"/>
              </w:rPr>
              <w:t>煤层气（煤矿瓦斯）开采实现“应抽尽抽”、“抽采平衡”的资源综合利用方式。</w:t>
            </w:r>
            <w:r>
              <w:rPr>
                <w:rFonts w:hint="eastAsia" w:ascii="仿宋" w:hAnsi="仿宋" w:eastAsia="仿宋" w:cs="仿宋"/>
                <w:color w:val="auto"/>
                <w:kern w:val="0"/>
                <w:szCs w:val="21"/>
              </w:rPr>
              <w:t>符合得4分，</w:t>
            </w:r>
            <w:r>
              <w:rPr>
                <w:rFonts w:hint="eastAsia" w:ascii="仿宋" w:hAnsi="仿宋" w:eastAsia="仿宋" w:cs="仿宋"/>
                <w:color w:val="auto"/>
                <w:kern w:val="0"/>
                <w:szCs w:val="21"/>
                <w:lang w:bidi="ar"/>
              </w:rPr>
              <w:t>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17共伴生</w:t>
            </w:r>
            <w:r>
              <w:rPr>
                <w:rFonts w:hint="eastAsia" w:ascii="仿宋" w:hAnsi="仿宋" w:eastAsia="仿宋" w:cs="仿宋"/>
                <w:color w:val="auto"/>
                <w:kern w:val="0"/>
                <w:szCs w:val="21"/>
              </w:rPr>
              <w:t>矿产资源综合利用率</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煤层气（煤矿瓦斯）利用率符合相关标准要求，</w:t>
            </w:r>
            <w:r>
              <w:rPr>
                <w:rFonts w:hint="eastAsia" w:ascii="仿宋" w:hAnsi="仿宋" w:eastAsia="仿宋" w:cs="仿宋"/>
                <w:color w:val="auto"/>
                <w:kern w:val="0"/>
                <w:szCs w:val="21"/>
              </w:rPr>
              <w:t>得2</w:t>
            </w:r>
            <w:r>
              <w:rPr>
                <w:rFonts w:hint="eastAsia" w:ascii="仿宋" w:hAnsi="仿宋" w:eastAsia="仿宋" w:cs="仿宋"/>
                <w:color w:val="auto"/>
                <w:kern w:val="0"/>
                <w:szCs w:val="21"/>
                <w:lang w:bidi="ar"/>
              </w:rPr>
              <w:t>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自然资源部“三率”指标要求、地方标准要求，符合环评批复相关要求</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18对暂不能开采利用的矿产</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对暂不能开采利用的共伴生矿产采取保护措施，</w:t>
            </w:r>
            <w:r>
              <w:rPr>
                <w:rFonts w:hint="eastAsia" w:ascii="仿宋" w:hAnsi="仿宋" w:eastAsia="仿宋" w:cs="仿宋"/>
                <w:color w:val="auto"/>
                <w:kern w:val="0"/>
                <w:szCs w:val="21"/>
              </w:rPr>
              <w:t>得2分。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《矿产资源开发利用方案》，矿山设计，</w:t>
            </w:r>
            <w:r>
              <w:rPr>
                <w:rFonts w:hint="eastAsia" w:ascii="仿宋" w:hAnsi="仿宋" w:eastAsia="仿宋" w:cs="仿宋"/>
                <w:color w:val="auto"/>
                <w:kern w:val="0"/>
                <w:szCs w:val="21"/>
              </w:rPr>
              <w:t>符合环评批复相关要求</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（三）固废综合利用（2分）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19固废处置与利用</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井工煤矿产生的矸石等固体废物进行资源化处理，利用采空区规模化处置废石、煤矸石，或通过铺路、生产建材等方式充分利用固体废弃物，满足要求得0.5分；对低热值煤矸石、煤泥、中煤等综合利用，煤矸石综合利用率不低于75%，满足要求得0.5分；</w:t>
            </w:r>
            <w:bookmarkStart w:id="7" w:name="OLE_LINK28"/>
            <w:r>
              <w:rPr>
                <w:rFonts w:hint="eastAsia" w:ascii="仿宋" w:hAnsi="仿宋" w:eastAsia="仿宋" w:cs="仿宋"/>
                <w:color w:val="auto"/>
                <w:kern w:val="0"/>
                <w:szCs w:val="21"/>
                <w:lang w:bidi="ar"/>
              </w:rPr>
              <w:t>鼓励从煤矸石、废石等固体废弃物中提取有价元素或有用矿物，得0.5分。</w:t>
            </w:r>
            <w:bookmarkEnd w:id="7"/>
            <w:r>
              <w:rPr>
                <w:rFonts w:hint="eastAsia" w:ascii="仿宋" w:hAnsi="仿宋" w:eastAsia="仿宋" w:cs="仿宋"/>
                <w:color w:val="auto"/>
                <w:kern w:val="0"/>
                <w:szCs w:val="21"/>
                <w:lang w:bidi="ar"/>
              </w:rPr>
              <w:t>累计得分不超过该项总分值。</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生产报表、销售报表、财务报表等，</w:t>
            </w:r>
            <w:r>
              <w:rPr>
                <w:rFonts w:hint="eastAsia" w:ascii="仿宋" w:hAnsi="仿宋" w:eastAsia="仿宋" w:cs="仿宋"/>
                <w:color w:val="auto"/>
                <w:kern w:val="0"/>
                <w:szCs w:val="21"/>
              </w:rPr>
              <w:t>符合环评批复相关要求</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20土质剥离物的综合利用</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露天煤矿优先采用内排土法，矿山剥离表土按照设计要求，堆存有序，采取措施防止水土流失；表层熟土用于土地复垦、土壤改良、生态修复。符合得1分，一处不符合扣0.2分，扣完为止。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《矿产资源开发与恢复治理方案》</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（四）废水综合利用（3分）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21生产、生活废水综合利用</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配备矿井水、疏干水等开采废水处理设施；采用洁净化、资源化技术和工艺合理处置，处置率达到100%；煤矿矿井水利用率达到相关标准，选煤废水重复利用率100%。生活污水处置达标后，用于场地浇灌绿化、洒水降尘或其他综合利用。</w:t>
            </w:r>
            <w:bookmarkStart w:id="8" w:name="OLE_LINK8"/>
            <w:r>
              <w:rPr>
                <w:rFonts w:hint="eastAsia" w:ascii="仿宋" w:hAnsi="仿宋" w:eastAsia="仿宋" w:cs="仿宋"/>
                <w:color w:val="auto"/>
                <w:kern w:val="0"/>
                <w:szCs w:val="21"/>
                <w:lang w:bidi="ar"/>
              </w:rPr>
              <w:t>符合得3分，一处不符合扣0.5分，扣完为止。</w:t>
            </w:r>
            <w:bookmarkEnd w:id="8"/>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r>
              <w:rPr>
                <w:rFonts w:hint="eastAsia" w:ascii="仿宋" w:hAnsi="仿宋" w:eastAsia="仿宋" w:cs="仿宋"/>
                <w:color w:val="auto"/>
                <w:szCs w:val="21"/>
              </w:rPr>
              <w:t>符合环评批复相关要求</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四、绿色低碳（9项，18分）</w:t>
            </w:r>
          </w:p>
        </w:tc>
        <w:tc>
          <w:tcPr>
            <w:tcW w:w="35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（一）节约集约用地（2分）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22</w:t>
            </w:r>
            <w:r>
              <w:rPr>
                <w:rFonts w:hint="eastAsia" w:ascii="仿宋" w:hAnsi="仿宋" w:eastAsia="仿宋" w:cs="仿宋"/>
                <w:color w:val="auto"/>
                <w:kern w:val="0"/>
                <w:szCs w:val="21"/>
                <w:lang w:bidi="ar"/>
              </w:rPr>
              <w:t>节约集约用地情况</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矿山用地在满足建设、运输生产等要求前提下，综合考虑土地资源、资金、环境等经济技术条件，按照节约集约原则，进行优化配置和科学利用，充分利用荒地、劣地，少占耕地。符合得2分。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《节约集约利用土地规定（2019年修正）》《工业项目用地控制指标》《自然资源部办公厅关于规范开展建设项目节地评价工作的通知》（自然资办发〔2021〕14号）</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（二）节能降耗（4分）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23能源管理体系</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建立矿山生产全过程能耗核算体系或实现生产全过程能耗核算；编制年度能源管理计划。符合得2分，一处不符合扣0.5分，扣完为止。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能耗核算体系文件或台账，能源分析报表</w:t>
            </w:r>
          </w:p>
        </w:tc>
        <w:tc>
          <w:tcPr>
            <w:tcW w:w="307" w:type="pct"/>
            <w:vAlign w:val="center"/>
          </w:tcPr>
          <w:p>
            <w:pPr>
              <w:adjustRightInd w:val="0"/>
              <w:snapToGrid w:val="0"/>
              <w:spacing w:line="240" w:lineRule="exact"/>
              <w:jc w:val="center"/>
              <w:rPr>
                <w:rFonts w:ascii="仿宋" w:hAnsi="仿宋" w:eastAsia="仿宋" w:cs="仿宋"/>
                <w:color w:val="auto"/>
                <w:kern w:val="0"/>
                <w:szCs w:val="21"/>
              </w:rPr>
            </w:pPr>
          </w:p>
        </w:tc>
        <w:tc>
          <w:tcPr>
            <w:tcW w:w="144"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24单位产品能耗</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煤矿单位产品能耗符合国家标准。符合得2分。</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能耗台账、各行业单位产品能源消耗限额</w:t>
            </w:r>
          </w:p>
        </w:tc>
        <w:tc>
          <w:tcPr>
            <w:tcW w:w="307"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（三）源头预防（4分）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25地下水环境状况</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bookmarkStart w:id="9" w:name="OLE_LINK29"/>
            <w:r>
              <w:rPr>
                <w:rFonts w:hint="eastAsia" w:ascii="仿宋" w:hAnsi="仿宋" w:eastAsia="仿宋" w:cs="仿宋"/>
                <w:color w:val="auto"/>
                <w:kern w:val="0"/>
                <w:szCs w:val="21"/>
                <w:lang w:bidi="ar"/>
              </w:rPr>
              <w:t>矿区及周边地下水具备使用功能的，应达到相关标准限值要求；按照相关标准开展地下水污染风险管控，防止地下水污染。符合得2分，一处不符合扣0.5分，扣完为止。</w:t>
            </w:r>
            <w:bookmarkEnd w:id="9"/>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《地下水质量标准》（GB/T 14848）、《污染地块地下水修复和风险管控技术导则》（HJ 25.6）</w:t>
            </w:r>
          </w:p>
        </w:tc>
        <w:tc>
          <w:tcPr>
            <w:tcW w:w="30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26土壤污染源头预防</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山开采区、矸石场等应建设地下水水质监测井进行监测；建设涉及有毒有害物质的设施设备，应设计、建设和安装有关防腐蚀、防泄漏设施和泄漏监测装置，防止有毒有害物质污染土壤和地下水；构筑物及场地防渗要求符合相关标准的规定。符合得2分，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《工矿用地土壤环境管理办法（试行）》《一般工业固体废物贮存和填埋污染控制标准》（GB 18599）、危险废物贮存、填埋污染控制标准（GB18597、GB18598）</w:t>
            </w:r>
          </w:p>
        </w:tc>
        <w:tc>
          <w:tcPr>
            <w:tcW w:w="30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（四）废物排放（8分）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27固废排放</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无法实现综合利用的固体废弃物，划分危险废物、一般废物和生活垃圾不同类别，实现分级分类；堆场、矸石场污染防治设施符合相关法规标准要求；按照国家法律和标准，自行或委托第三方对一般固体废弃物进行处置，委托第三方有资质的单位对危险废物进行处置。符合得2分，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《中华人民共和国固体废物污染环境防治法》《一般工业固体废物贮存和填埋污染控制标准》（GB 18599），危险废物焚烧、贮存、填埋污染控制标准(GB 18484、18597、18598)</w:t>
            </w:r>
          </w:p>
        </w:tc>
        <w:tc>
          <w:tcPr>
            <w:tcW w:w="307" w:type="pct"/>
            <w:vAlign w:val="center"/>
          </w:tcPr>
          <w:p>
            <w:pPr>
              <w:adjustRightInd w:val="0"/>
              <w:snapToGrid w:val="0"/>
              <w:spacing w:line="240" w:lineRule="exact"/>
              <w:jc w:val="lef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28废水排放</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bookmarkStart w:id="10" w:name="OLE_LINK21"/>
            <w:r>
              <w:rPr>
                <w:rFonts w:hint="eastAsia" w:ascii="仿宋" w:hAnsi="仿宋" w:eastAsia="仿宋" w:cs="仿宋"/>
                <w:color w:val="auto"/>
                <w:kern w:val="0"/>
                <w:szCs w:val="21"/>
              </w:rPr>
              <w:t>清污管路分别铺设、雨水与污水管路分开设置，实现雨污分流、清污分流；</w:t>
            </w:r>
            <w:r>
              <w:rPr>
                <w:rFonts w:hint="eastAsia" w:ascii="仿宋" w:hAnsi="仿宋" w:eastAsia="仿宋" w:cs="仿宋"/>
                <w:color w:val="auto"/>
                <w:kern w:val="0"/>
                <w:szCs w:val="21"/>
                <w:lang w:bidi="ar"/>
              </w:rPr>
              <w:t>生产废水排放及排污口设置符合相关标准和要求。企业配备生活污水处理系统或接入城镇污水处理管网，</w:t>
            </w:r>
            <w:r>
              <w:rPr>
                <w:rFonts w:hint="eastAsia" w:ascii="仿宋" w:hAnsi="仿宋" w:eastAsia="仿宋" w:cs="仿宋"/>
                <w:color w:val="auto"/>
                <w:kern w:val="0"/>
                <w:szCs w:val="21"/>
              </w:rPr>
              <w:t>生活污水经处理后水质达标排放；工业废水经处理后水质达标排放；矸石场、排土场等建有雨水截（排）水沟，地表径流水、淋溶水等经沉淀后达标排放或处理回用。符合得2分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bookmarkEnd w:id="10"/>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r>
              <w:rPr>
                <w:rFonts w:hint="eastAsia" w:ascii="仿宋" w:hAnsi="仿宋" w:eastAsia="仿宋" w:cs="仿宋"/>
                <w:color w:val="auto"/>
                <w:kern w:val="0"/>
                <w:szCs w:val="21"/>
                <w:lang w:bidi="ar"/>
              </w:rPr>
              <w:t>国家水污染物排放标准（GB8978、GB 20426、GB 25465、GB 25466、GB25467、GB25468、GB 26451、GB28661、GB 30770 等）以及甘肃省实施的地方水污染物排放标准</w:t>
            </w:r>
          </w:p>
        </w:tc>
        <w:tc>
          <w:tcPr>
            <w:tcW w:w="30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29废气排放</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bookmarkStart w:id="11" w:name="OLE_LINK1"/>
            <w:r>
              <w:rPr>
                <w:rFonts w:hint="eastAsia" w:ascii="仿宋" w:hAnsi="仿宋" w:eastAsia="仿宋" w:cs="仿宋"/>
                <w:color w:val="auto"/>
                <w:kern w:val="0"/>
                <w:szCs w:val="21"/>
                <w:lang w:bidi="ar"/>
              </w:rPr>
              <w:t>在开采、洗选、运输、贮存等环节，采取除尘捕尘、抑尘降尘、净化废气、个体防护等措施，实现达标排放，开采过程中的大气污染物排放应符合国家或地方相应排放标准。凿岩作业采用降尘措施，爆破作业喷雾洒水降尘，生产区配置洒水车定时洒水降尘，配备地面运输车辆洗车台，对出厂车辆进行清洗，外运产品途中苫盖，矿石或煤矸石周转场地、场所具备防扬尘设施，储煤场封闭。矿区建筑物上无明显积尘，矿区周边植被无明显粉尘覆盖。对矿区粉尘进行定期监测。</w:t>
            </w:r>
            <w:bookmarkEnd w:id="11"/>
            <w:r>
              <w:rPr>
                <w:rFonts w:hint="eastAsia" w:ascii="仿宋" w:hAnsi="仿宋" w:eastAsia="仿宋" w:cs="仿宋"/>
                <w:color w:val="auto"/>
                <w:kern w:val="0"/>
                <w:szCs w:val="21"/>
                <w:lang w:bidi="ar"/>
              </w:rPr>
              <w:t>符合得2分，一处不符合扣0.2分，扣完为止。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国家大气污染物排放标准（GB 4915、GB 9078、GB 16297、GB 20426、GB 25465、GB 25466、GB 25467、GB 25468、GB 26451、GB 28661、GB 30770、GB 41618等）、企业防尘相关措施、作业场所粉尘清单</w:t>
            </w:r>
          </w:p>
        </w:tc>
        <w:tc>
          <w:tcPr>
            <w:tcW w:w="30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30噪声排放</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对矿区凿岩、破碎和空压等高噪声设备进行降噪处理；配备消声、减振、隔振、个体防护等措施，厂界噪声排放达标。对厂界噪声进行定期监测。符合得 2 分，一处不符合扣0.5分，扣完为止。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《工业企业厂界环境噪声排放标准》（GB 12348-2008）</w:t>
            </w:r>
          </w:p>
        </w:tc>
        <w:tc>
          <w:tcPr>
            <w:tcW w:w="30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五、生态修复与环境治理（5项，20分）</w:t>
            </w:r>
          </w:p>
        </w:tc>
        <w:tc>
          <w:tcPr>
            <w:tcW w:w="358"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（一）矿山地质环境治理恢复与土地复垦（8分）</w:t>
            </w: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31矿山地质环境保护与土地复垦方案编制与执行</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得 5</w:t>
            </w:r>
            <w:r>
              <w:rPr>
                <w:rFonts w:hint="eastAsia" w:ascii="仿宋" w:hAnsi="仿宋" w:eastAsia="仿宋" w:cs="仿宋"/>
                <w:color w:val="auto"/>
                <w:kern w:val="0"/>
                <w:szCs w:val="21"/>
                <w:lang w:bidi="ar"/>
              </w:rPr>
              <w:t>分，一处不符合扣0.5分，扣完为止。</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《矿山地质环境保护与土地复垦方案》及年度计划、《土地复垦质量控制标准》(TD/T 1036)、《煤矿土地复垦与生态修复技术规范》（GB/T 43934-2024）等标准规范。</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32矿山地质环境治理恢复基金计提使用</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按相关规定及标准足额计提矿山地质环境治理恢复基金并规范使用；基金统筹用于开展矿山地质环境治理恢复和土地复垦；按照《矿山地质环境保护与土地复垦方案》设计进行了年度资金使用。符合得3分</w:t>
            </w:r>
            <w:r>
              <w:rPr>
                <w:rFonts w:hint="eastAsia" w:ascii="仿宋" w:hAnsi="仿宋" w:eastAsia="仿宋" w:cs="仿宋"/>
                <w:color w:val="auto"/>
                <w:kern w:val="0"/>
                <w:szCs w:val="21"/>
                <w:lang w:bidi="ar"/>
              </w:rPr>
              <w:t>，一处不符合扣0.5分，扣完为止。</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《矿山地质环境保护与土地复垦方案》及年度计划、基金监管政策文件及标准规范，其他证明材料等。</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（二）治理要求（4分）</w:t>
            </w: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33治理效果</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不新设永久排矸场；排土场、露天采场、矿区专用道路、矿山工业场地、塌陷区等区域生态修复符合《矿山地质环境保护与土地复垦方案》要求。落实“边开采、边修复”要求，矿山生态修复能够分区、分期进行的，要分区、分期开展。治理后的各类场地对周边环境不产生污染，与周边自然环境相协调，区域生态功能得到保护和恢复。土地复垦质量符合要求。符合得4分</w:t>
            </w:r>
            <w:r>
              <w:rPr>
                <w:rFonts w:hint="eastAsia" w:ascii="仿宋" w:hAnsi="仿宋" w:eastAsia="仿宋" w:cs="仿宋"/>
                <w:color w:val="auto"/>
                <w:kern w:val="0"/>
                <w:szCs w:val="21"/>
                <w:lang w:bidi="ar"/>
              </w:rPr>
              <w:t>，一处不符合扣0.5分，扣完为止。</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《矿山生态环境保护与恢复治理技术规范》（HJ 651）、《土地复垦质量控制标准》(TD/T 1036)、《煤矿土地复垦与生态修复技术规范》（GB/T43934-2024）、《矿山生态修复技术规范》(TD/T 1070)、《生态保护修复成效评估技术指南（试行）》（HJ 1272—2022）、《退化草地修复技术规范》（GB/T 37057），其他文件证明材料</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（三）矿山环境动态监测（4分）</w:t>
            </w: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34动态监测要求</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动态监测体系，对选煤废水、矿井水、矸石山、排土场地下水等定期进行环境监测，根据监测结果采取有效保护措施。对地质环境破坏与恢复治理、土地损毁与复垦利用、生态系统破坏（退化）与恢复进行监测。符合4分</w:t>
            </w:r>
            <w:r>
              <w:rPr>
                <w:rFonts w:hint="eastAsia" w:ascii="仿宋" w:hAnsi="仿宋" w:eastAsia="仿宋" w:cs="仿宋"/>
                <w:color w:val="auto"/>
                <w:kern w:val="0"/>
                <w:szCs w:val="21"/>
                <w:lang w:bidi="ar"/>
              </w:rPr>
              <w:t>，一处不符合扣0.5分，扣完为止。</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《煤矿土地复垦与生态修复技术规范》（GB/T 43934-2024）、《矿山土地复垦与生态修复监测评价技术规范》（GB/T 43935-2024）、《草原资源与生态监测技术规程》（NY/T 1233）等相关标准规范或其他证明材料</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（四）环境管理体系（4分）</w:t>
            </w:r>
          </w:p>
        </w:tc>
        <w:tc>
          <w:tcPr>
            <w:tcW w:w="39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35环境管理体系要求</w:t>
            </w:r>
          </w:p>
        </w:tc>
        <w:tc>
          <w:tcPr>
            <w:tcW w:w="25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4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环境管理机制，有完善的环境管理制度，得1分；配备了必要的环境管理机构和生态环境保护等专业技术人员，得1分；有环境管理日常监管记录得1分；采取了环境风险防范措施，得1分；获得环境管理体系认证，得4分。</w:t>
            </w:r>
            <w:r>
              <w:rPr>
                <w:rFonts w:hint="eastAsia" w:ascii="仿宋" w:hAnsi="仿宋" w:eastAsia="仿宋" w:cs="仿宋"/>
                <w:color w:val="auto"/>
                <w:kern w:val="0"/>
                <w:szCs w:val="21"/>
                <w:lang w:bidi="ar"/>
              </w:rPr>
              <w:t>累计得分不超过该项总分值。</w:t>
            </w:r>
          </w:p>
        </w:tc>
        <w:tc>
          <w:tcPr>
            <w:tcW w:w="35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ISO环境管理体系认证</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六、科技创新与规范管理（8项，15分）</w:t>
            </w: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（一）科技创新（5分）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36研发及技改投入</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49"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必要的科技创新制度体系，得1分；具有技术研发队伍和专业技术人员，得0.5分；近三年年均研发及技改投入不低于矿山主营业务收入的1.5%，得1分；开展支撑企业主业发展的技术研究，得0.5分。累计得分不超过该项总分值。</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生产报表（调度报表）或其他证明材料</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37创新成果</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获得1项发明专利得0.5分，最多得2分；获得1项实用性专利得0.5分，最高得2分；获得省部级及以上奖励得1.5分，厅局级奖励得1分；使用《节地技术和节地模式推荐目录》或最新版《矿产资源节约和综合利用先进适用技术目录》1项，得1分；获得高新技术企业证书，得2分。累计得分不超过该项总分值。</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主管部门公告文件，项目立项文件及项目台账</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（二）数字化矿山（5分）</w:t>
            </w: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38</w:t>
            </w:r>
            <w:r>
              <w:rPr>
                <w:rFonts w:hint="eastAsia" w:ascii="仿宋" w:hAnsi="仿宋" w:eastAsia="仿宋" w:cs="仿宋"/>
                <w:color w:val="auto"/>
                <w:kern w:val="0"/>
                <w:szCs w:val="21"/>
                <w:lang w:bidi="ar"/>
              </w:rPr>
              <w:t>集中管控平台</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构建矿山自动化集中管控平台，将自动控制系统、远程监控系统、储量管理系统、各种监测系统等集中统一管理，得1.5分；探索开展矿山资源储量数字化模型建设，逐步实现资源储量精准化管理，保障生产高效有序，得1.5分。具有矿山资源储量数字化模型，得2分。累计得分不超过该项总分值。</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矿山自动化集中管控系统平台建设方案</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39智能化应用</w:t>
            </w:r>
          </w:p>
        </w:tc>
        <w:tc>
          <w:tcPr>
            <w:tcW w:w="25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实现矿山采选机械化、自动化，鼓励建设智能化矿山，得1分；企业年度计划中有智能矿山建设计划或按照《智能矿山建设规范》（DZ/T 0376-2021）等标准开展智能矿山建设的，得0.5分；已完成智能矿山建设的，得1分。累计得分不超过该项总分值。</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企业年度计划书，《智能矿山建设规范》</w:t>
            </w:r>
          </w:p>
        </w:tc>
        <w:tc>
          <w:tcPr>
            <w:tcW w:w="307" w:type="pct"/>
            <w:vAlign w:val="center"/>
          </w:tcPr>
          <w:p>
            <w:pPr>
              <w:adjustRightInd w:val="0"/>
              <w:snapToGrid w:val="0"/>
              <w:spacing w:line="240" w:lineRule="exac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restar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（三）规范管理（5分）</w:t>
            </w:r>
          </w:p>
        </w:tc>
        <w:tc>
          <w:tcPr>
            <w:tcW w:w="39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40企业文化</w:t>
            </w:r>
          </w:p>
        </w:tc>
        <w:tc>
          <w:tcPr>
            <w:tcW w:w="25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查资料、查现场、调查走访</w:t>
            </w:r>
          </w:p>
        </w:tc>
        <w:tc>
          <w:tcPr>
            <w:tcW w:w="76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企业管理文件、自评材料、宣传片、活动证明、认证、证书、调查问卷原始记录等材料</w:t>
            </w:r>
          </w:p>
        </w:tc>
        <w:tc>
          <w:tcPr>
            <w:tcW w:w="307" w:type="pct"/>
            <w:vAlign w:val="center"/>
          </w:tcPr>
          <w:p>
            <w:pPr>
              <w:spacing w:line="240" w:lineRule="exact"/>
              <w:jc w:val="lef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spacing w:line="240" w:lineRule="exact"/>
              <w:jc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41企业诚信</w:t>
            </w:r>
          </w:p>
        </w:tc>
        <w:tc>
          <w:tcPr>
            <w:tcW w:w="25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依法纳税，按要求提交储量年报、矿产资源统计基础表，按规定缴存矿业权出让收益。</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76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税务及相关部门证明</w:t>
            </w:r>
          </w:p>
        </w:tc>
        <w:tc>
          <w:tcPr>
            <w:tcW w:w="307" w:type="pct"/>
            <w:vAlign w:val="center"/>
          </w:tcPr>
          <w:p>
            <w:pPr>
              <w:spacing w:line="240" w:lineRule="exact"/>
              <w:jc w:val="lef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42矿地和谐</w:t>
            </w:r>
          </w:p>
        </w:tc>
        <w:tc>
          <w:tcPr>
            <w:tcW w:w="25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职业健康管理制度。建立良好矿地关系，制定和公开申诉回应制度。具有联系机构与人员，及时妥善处理与受采矿活动影响的社区等利益相关者间的纠纷矛盾，维护当地生产、生活相关生态环境。在劳务用工、基础设施、公益募捐、教育医疗支持等一个及以上方面开展帮扶，助力乡村振兴。符合得1分，一处不符合扣0.2分，扣完为止。</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查资料、调查走访</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相关文件、票据等证明材料</w:t>
            </w:r>
          </w:p>
        </w:tc>
        <w:tc>
          <w:tcPr>
            <w:tcW w:w="307" w:type="pct"/>
            <w:vAlign w:val="center"/>
          </w:tcPr>
          <w:p>
            <w:pPr>
              <w:spacing w:line="240" w:lineRule="exact"/>
              <w:jc w:val="lef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9"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8"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9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43企业管理</w:t>
            </w:r>
          </w:p>
        </w:tc>
        <w:tc>
          <w:tcPr>
            <w:tcW w:w="25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煤矿安全生产标准化管理通过二级及以上达标验收，得0.5分；各类图纸、报表、台帐、档案资料等应齐全、完整、真实，资源储量开采报表真实可靠，采选装备、设备及材料资料清单内容完备，得0.5分；制定突发环境事件的应急预案并开展应急演练，得0.5分；建立绿色矿山管理体系，配备专（兼）职人员，落实绿色矿山建设任务；职工职业技能培训体系和绿色矿山定期培训制度健全，培训计划明确、培训记录完善，绿色矿山建设宣传视频、相关资料完整，得1分。累计得分不超过该项总分值。</w:t>
            </w: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lang w:bidi="ar"/>
              </w:rPr>
              <w:t>企业管理文件</w:t>
            </w:r>
          </w:p>
        </w:tc>
        <w:tc>
          <w:tcPr>
            <w:tcW w:w="307" w:type="pct"/>
            <w:vAlign w:val="center"/>
          </w:tcPr>
          <w:p>
            <w:pPr>
              <w:spacing w:line="240" w:lineRule="exact"/>
              <w:jc w:val="lef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23" w:type="pct"/>
            <w:gridSpan w:val="3"/>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总  分</w:t>
            </w:r>
          </w:p>
        </w:tc>
        <w:tc>
          <w:tcPr>
            <w:tcW w:w="25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100</w:t>
            </w:r>
          </w:p>
        </w:tc>
        <w:tc>
          <w:tcPr>
            <w:tcW w:w="204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p>
        </w:tc>
        <w:tc>
          <w:tcPr>
            <w:tcW w:w="35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76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p>
        </w:tc>
        <w:tc>
          <w:tcPr>
            <w:tcW w:w="307" w:type="pct"/>
            <w:vAlign w:val="center"/>
          </w:tcPr>
          <w:p>
            <w:pPr>
              <w:spacing w:line="240" w:lineRule="exact"/>
              <w:jc w:val="left"/>
              <w:rPr>
                <w:rFonts w:ascii="仿宋" w:hAnsi="仿宋" w:eastAsia="仿宋" w:cs="仿宋"/>
                <w:color w:val="auto"/>
                <w:kern w:val="0"/>
                <w:szCs w:val="21"/>
              </w:rPr>
            </w:pPr>
          </w:p>
        </w:tc>
        <w:tc>
          <w:tcPr>
            <w:tcW w:w="144" w:type="pct"/>
            <w:vAlign w:val="center"/>
          </w:tcPr>
          <w:p>
            <w:pPr>
              <w:adjustRightInd w:val="0"/>
              <w:snapToGrid w:val="0"/>
              <w:spacing w:line="240" w:lineRule="exact"/>
              <w:jc w:val="center"/>
              <w:rPr>
                <w:rFonts w:ascii="仿宋" w:hAnsi="仿宋" w:eastAsia="仿宋" w:cs="仿宋"/>
                <w:color w:val="auto"/>
                <w:kern w:val="0"/>
                <w:szCs w:val="21"/>
              </w:rPr>
            </w:pPr>
          </w:p>
        </w:tc>
      </w:tr>
    </w:tbl>
    <w:p>
      <w:pPr>
        <w:spacing w:line="240" w:lineRule="exact"/>
        <w:rPr>
          <w:rFonts w:ascii="Times New Roman" w:hAnsi="Times New Roman"/>
          <w:color w:val="auto"/>
          <w:sz w:val="20"/>
          <w:szCs w:val="21"/>
        </w:rPr>
      </w:pPr>
    </w:p>
    <w:p>
      <w:pPr>
        <w:spacing w:line="240" w:lineRule="exact"/>
        <w:rPr>
          <w:rFonts w:ascii="Times New Roman" w:hAnsi="Times New Roman"/>
          <w:color w:val="auto"/>
          <w:sz w:val="20"/>
          <w:szCs w:val="21"/>
        </w:rPr>
      </w:pPr>
    </w:p>
    <w:p>
      <w:pPr>
        <w:spacing w:line="240" w:lineRule="exact"/>
        <w:rPr>
          <w:rFonts w:ascii="Times New Roman" w:hAnsi="Times New Roman"/>
          <w:color w:val="auto"/>
          <w:sz w:val="20"/>
          <w:szCs w:val="21"/>
        </w:rPr>
      </w:pPr>
    </w:p>
    <w:p>
      <w:pPr>
        <w:spacing w:line="240" w:lineRule="exact"/>
        <w:outlineLvl w:val="0"/>
        <w:rPr>
          <w:rFonts w:ascii="方正小标宋_GBK" w:hAnsi="方正小标宋_GBK" w:eastAsia="方正小标宋_GBK" w:cs="方正小标宋_GBK"/>
          <w:color w:val="auto"/>
          <w:kern w:val="0"/>
          <w:sz w:val="40"/>
          <w:szCs w:val="40"/>
        </w:rPr>
        <w:sectPr>
          <w:headerReference r:id="rId3" w:type="default"/>
          <w:footerReference r:id="rId4" w:type="default"/>
          <w:pgSz w:w="16838" w:h="11906" w:orient="landscape"/>
          <w:pgMar w:top="1417" w:right="1417" w:bottom="1417" w:left="1417" w:header="851" w:footer="992" w:gutter="0"/>
          <w:cols w:space="720" w:num="1"/>
          <w:docGrid w:type="lines" w:linePitch="312" w:charSpace="0"/>
        </w:sectPr>
      </w:pPr>
    </w:p>
    <w:p>
      <w:pPr>
        <w:adjustRightInd w:val="0"/>
        <w:snapToGrid w:val="0"/>
        <w:jc w:val="center"/>
        <w:outlineLvl w:val="0"/>
        <w:rPr>
          <w:rFonts w:ascii="方正公文小标宋" w:hAnsi="方正公文小标宋" w:eastAsia="方正公文小标宋" w:cs="方正公文小标宋"/>
          <w:color w:val="auto"/>
          <w:kern w:val="0"/>
          <w:sz w:val="30"/>
          <w:szCs w:val="30"/>
        </w:rPr>
      </w:pPr>
      <w:r>
        <w:rPr>
          <w:rFonts w:hint="eastAsia" w:ascii="方正公文小标宋" w:hAnsi="方正公文小标宋" w:eastAsia="方正公文小标宋" w:cs="方正公文小标宋"/>
          <w:bCs/>
          <w:color w:val="auto"/>
          <w:kern w:val="0"/>
          <w:sz w:val="30"/>
          <w:szCs w:val="30"/>
          <w:lang w:bidi="ar"/>
        </w:rPr>
        <w:t>表2 省级绿色矿山建设评价指标（金属矿）</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先决条件</w:t>
            </w:r>
          </w:p>
        </w:tc>
        <w:tc>
          <w:tcPr>
            <w:tcW w:w="271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要求</w:t>
            </w:r>
          </w:p>
        </w:tc>
        <w:tc>
          <w:tcPr>
            <w:tcW w:w="165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手续齐全，证照合法有效</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《采矿许可证》《安全生产许可证》《营业执照》证照合法有效，依法办理环评、排污许可手续和使用林草地审核同意书，并依法完成竣工环保验收。涉及疏干排水的，应具备合法有效的《取水许可证》。</w:t>
            </w:r>
          </w:p>
        </w:tc>
        <w:tc>
          <w:tcPr>
            <w:tcW w:w="1652" w:type="pct"/>
            <w:vMerge w:val="restart"/>
            <w:tcMar>
              <w:top w:w="12" w:type="dxa"/>
              <w:left w:w="12" w:type="dxa"/>
              <w:right w:w="12" w:type="dxa"/>
            </w:tcMar>
            <w:vAlign w:val="center"/>
          </w:tcPr>
          <w:p>
            <w:pPr>
              <w:widowControl/>
              <w:spacing w:line="240" w:lineRule="exact"/>
              <w:jc w:val="left"/>
              <w:textAlignment w:val="top"/>
              <w:rPr>
                <w:rFonts w:ascii="仿宋" w:hAnsi="仿宋" w:eastAsia="仿宋" w:cs="仿宋"/>
                <w:color w:val="auto"/>
                <w:kern w:val="0"/>
                <w:szCs w:val="21"/>
                <w:lang w:bidi="ar"/>
              </w:rPr>
            </w:pP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合格      □</w:t>
            </w: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不合格    □</w:t>
            </w:r>
          </w:p>
          <w:p>
            <w:pPr>
              <w:widowControl/>
              <w:spacing w:line="240" w:lineRule="exact"/>
              <w:jc w:val="left"/>
              <w:textAlignment w:val="top"/>
              <w:rPr>
                <w:rFonts w:ascii="仿宋" w:hAnsi="仿宋" w:eastAsia="仿宋" w:cs="仿宋"/>
                <w:color w:val="auto"/>
                <w:kern w:val="0"/>
                <w:szCs w:val="21"/>
              </w:rPr>
            </w:pPr>
          </w:p>
          <w:p>
            <w:pPr>
              <w:widowControl/>
              <w:spacing w:line="240" w:lineRule="exact"/>
              <w:jc w:val="left"/>
              <w:textAlignment w:val="top"/>
              <w:rPr>
                <w:rFonts w:ascii="仿宋" w:hAnsi="仿宋" w:eastAsia="仿宋" w:cs="仿宋"/>
                <w:color w:val="auto"/>
                <w:kern w:val="0"/>
                <w:szCs w:val="21"/>
              </w:rPr>
            </w:pPr>
            <w:r>
              <w:rPr>
                <w:rFonts w:hint="eastAsia" w:ascii="仿宋" w:hAnsi="仿宋" w:eastAsia="仿宋" w:cs="仿宋"/>
                <w:color w:val="auto"/>
                <w:kern w:val="0"/>
                <w:szCs w:val="21"/>
              </w:rPr>
              <w:t>满足所有先决条件方可进行打分评价，其中1条不满足的，即为不合格。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三年内未受行政处罚或已整改到位</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近三年内，未受到自然资源、生态环境和林草等部门行政处罚，或受到处罚在履行期限内已执行到位（出具相关证明材料），且未发生过较大及以上安全生产事故、环境事件的。</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矿业权人异常名录</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矿山要求</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矿山近三年正常运营，且剩余储量可采年限（按储量年度报告）不少于三年。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矿区范围未涉及生态保护红线（国家有规定的除外），符合国土空间规划及规划环评要求。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bl>
    <w:p>
      <w:pPr>
        <w:spacing w:line="240" w:lineRule="exact"/>
        <w:rPr>
          <w:rFonts w:ascii="Times New Roman" w:hAnsi="Times New Roman"/>
          <w:color w:val="auto"/>
          <w:sz w:val="20"/>
          <w:szCs w:val="21"/>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0"/>
        <w:gridCol w:w="995"/>
        <w:gridCol w:w="1115"/>
        <w:gridCol w:w="556"/>
        <w:gridCol w:w="5828"/>
        <w:gridCol w:w="852"/>
        <w:gridCol w:w="2260"/>
        <w:gridCol w:w="869"/>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65"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一级指标</w:t>
            </w:r>
          </w:p>
        </w:tc>
        <w:tc>
          <w:tcPr>
            <w:tcW w:w="356"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二级指标</w:t>
            </w:r>
          </w:p>
        </w:tc>
        <w:tc>
          <w:tcPr>
            <w:tcW w:w="398"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三级指标</w:t>
            </w:r>
          </w:p>
        </w:tc>
        <w:tc>
          <w:tcPr>
            <w:tcW w:w="199"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标准分</w:t>
            </w:r>
          </w:p>
        </w:tc>
        <w:tc>
          <w:tcPr>
            <w:tcW w:w="2086"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评分说明</w:t>
            </w:r>
          </w:p>
        </w:tc>
        <w:tc>
          <w:tcPr>
            <w:tcW w:w="305"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考核</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方法</w:t>
            </w:r>
          </w:p>
        </w:tc>
        <w:tc>
          <w:tcPr>
            <w:tcW w:w="809"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依据或标准</w:t>
            </w:r>
          </w:p>
        </w:tc>
        <w:tc>
          <w:tcPr>
            <w:tcW w:w="311"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检查记录</w:t>
            </w:r>
          </w:p>
        </w:tc>
        <w:tc>
          <w:tcPr>
            <w:tcW w:w="169" w:type="pct"/>
            <w:tcMar>
              <w:top w:w="1" w:type="dxa"/>
              <w:left w:w="1"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365"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一、矿区环境(8项，12分)</w:t>
            </w: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（一）矿容矿貌（10分）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1功能分区</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矿区按生产区、管理区、生活区进行功能分区，符合分区要求。符合得2分，管理区、生活区分区不明显扣0.5分，生产区、管理区分区不明显扣1.5分。</w:t>
            </w:r>
          </w:p>
        </w:tc>
        <w:tc>
          <w:tcPr>
            <w:tcW w:w="305"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矿区总平面布置图或示意图，《工业企业总平面设计规范》（GB 50187）</w:t>
            </w: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2配套设施</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及无废弃建构筑物。符合得2分，一处不符合扣0.5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矿区总平面布置图</w:t>
            </w: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3标识标牌</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生产区按要求设置操作提示牌、说明牌、线路示意图牌、安全警示牌、绿色矿山宣传等各类标牌，标牌的尺寸、形状、颜色设置应符合规定。符合得1分，一处不符合扣0.2分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《矿山安全标志》</w:t>
            </w: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4主干道路</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矿区主干道路面硬化或固化，路面平整、密实和粗糙度适当，固化道路实施洒水等降尘措施，养护良好。符合得1分，一处不符合扣0.5分，扣完为止。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《厂矿道路设计规范》</w:t>
            </w: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5定置管理</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设备、物资材料规范管理，做到分类分区、摆放有序、堆码整齐。符合得1分，一处不符合扣0.5分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6清洁卫生</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矿区保持清洁卫生，生产区及管理区无垃圾、无废石乱扔乱放，生产现场管线无跑、冒、滴、漏现象。符合得1分，一处不符合扣0.5分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7场地边坡</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矿区内生活办公区、工业场地、道路等各类边坡坡面无明显侵蚀、水土流失、扬尘等情形，边坡稳定无滑塌。符合得2分，一处不符合扣0.5分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（二）矿区绿化美化（2分）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8矿区绿化美化</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可绿化区域实现全覆盖，且无大面积表土裸露。绿化覆盖率达到可绿化面积的100%。绿化植物以本土物种为主，搭配合理，与周边环境协调一致，符合当地气候条件。符合得2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可绿化区域是指除采场、建筑覆盖区、硬化地面等不宜进行绿化区域以外的区域</w:t>
            </w:r>
          </w:p>
        </w:tc>
        <w:tc>
          <w:tcPr>
            <w:tcW w:w="311"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365"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二、资源开采</w:t>
            </w:r>
            <w:bookmarkStart w:id="12" w:name="OLE_LINK9"/>
            <w:r>
              <w:rPr>
                <w:rFonts w:hint="eastAsia" w:ascii="仿宋" w:hAnsi="仿宋" w:eastAsia="仿宋" w:cs="仿宋"/>
                <w:color w:val="auto"/>
                <w:kern w:val="0"/>
                <w:szCs w:val="21"/>
              </w:rPr>
              <w:t>（4项，16分）</w:t>
            </w:r>
            <w:bookmarkEnd w:id="12"/>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（一）开采活动（12分）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9开采方式及工艺</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露天开采：</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①</w:t>
            </w:r>
            <w:r>
              <w:rPr>
                <w:rFonts w:hint="eastAsia" w:ascii="仿宋" w:hAnsi="仿宋" w:eastAsia="仿宋" w:cs="仿宋"/>
                <w:color w:val="auto"/>
                <w:kern w:val="0"/>
                <w:szCs w:val="21"/>
              </w:rPr>
              <w:t>露天开采采用自上而下分台阶开采，符合开采设计要求，</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4分。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②未使用国家限制和淘汰类技术、材料、设备，得2分。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③</w:t>
            </w:r>
            <w:r>
              <w:rPr>
                <w:rFonts w:hint="eastAsia" w:ascii="仿宋" w:hAnsi="仿宋" w:eastAsia="仿宋" w:cs="仿宋"/>
                <w:color w:val="auto"/>
                <w:kern w:val="0"/>
                <w:szCs w:val="21"/>
              </w:rPr>
              <w:t>坚持采剥并举、剥离先行的原则，优化开采布局，选择合理工艺，科学制定采排计划，尽量减少对地表的破坏，</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地下开采：</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①</w:t>
            </w:r>
            <w:r>
              <w:rPr>
                <w:rFonts w:hint="eastAsia" w:ascii="仿宋" w:hAnsi="仿宋" w:eastAsia="仿宋" w:cs="仿宋"/>
                <w:color w:val="auto"/>
                <w:kern w:val="0"/>
                <w:szCs w:val="21"/>
              </w:rPr>
              <w:t>地下开采方法和顺序合理，符合开采设计要求，开采技术符合生态环境保护要求，</w:t>
            </w:r>
            <w:r>
              <w:rPr>
                <w:rFonts w:hint="eastAsia" w:ascii="仿宋" w:hAnsi="仿宋" w:eastAsia="仿宋" w:cs="仿宋"/>
                <w:color w:val="auto"/>
                <w:kern w:val="0"/>
                <w:szCs w:val="21"/>
                <w:lang w:bidi="ar"/>
              </w:rPr>
              <w:t>得4分；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②未使用国家限制和淘汰类技术、材料、设备，得2分；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③按设计要求优先采用充填开采、保水开采、井下破碎、封闭运输等先进技术，有效减少开采引起的大面积地面沉降；利用采空区规模化环保化处置废石、尾矿等，得2分；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（兼备地下和露天开采的，以现阶段主要开采方式选择其一进行评分，分数不累加，</w:t>
            </w:r>
            <w:r>
              <w:rPr>
                <w:rFonts w:hint="eastAsia" w:ascii="仿宋" w:hAnsi="仿宋" w:eastAsia="仿宋" w:cs="仿宋"/>
                <w:color w:val="auto"/>
                <w:kern w:val="0"/>
                <w:szCs w:val="21"/>
                <w:lang w:bidi="ar"/>
              </w:rPr>
              <w:t>累计得分不超过该项总分值。</w:t>
            </w:r>
            <w:r>
              <w:rPr>
                <w:rFonts w:hint="eastAsia" w:ascii="仿宋" w:hAnsi="仿宋" w:eastAsia="仿宋" w:cs="仿宋"/>
                <w:color w:val="auto"/>
                <w:kern w:val="0"/>
                <w:szCs w:val="21"/>
              </w:rPr>
              <w:t>）</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11"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10爆破</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涉及爆破作业的矿山，采用先进、安全、高效、经济、环保的爆破工艺，通过优化爆破参数、爆破方式等手段，控制矿石块度，降低爆破粉尘、冲击波、震动等危害。</w:t>
            </w:r>
            <w:r>
              <w:rPr>
                <w:rFonts w:hint="eastAsia" w:ascii="仿宋" w:hAnsi="仿宋" w:eastAsia="仿宋" w:cs="仿宋"/>
                <w:color w:val="auto"/>
                <w:kern w:val="0"/>
                <w:szCs w:val="21"/>
              </w:rPr>
              <w:t>符合得2分，一处不符合扣0.5分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查现场、查资料</w:t>
            </w:r>
          </w:p>
        </w:tc>
        <w:tc>
          <w:tcPr>
            <w:tcW w:w="80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11"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11开采回采率</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开采回采率达到或高于开发利用方案设计指标，且不低于自然资源部公告发布的最低指标要求。符合得2分。</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0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11"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（二）开采工作面（4分）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12质量要求</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露</w:t>
            </w:r>
            <w:r>
              <w:rPr>
                <w:rFonts w:hint="eastAsia" w:ascii="仿宋" w:hAnsi="仿宋" w:eastAsia="仿宋" w:cs="仿宋"/>
                <w:color w:val="auto"/>
                <w:kern w:val="0"/>
                <w:szCs w:val="21"/>
                <w:lang w:bidi="ar"/>
              </w:rPr>
              <w:t>天开采：</w:t>
            </w:r>
          </w:p>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①作业平台干净，保持平整、通畅，无杂物、无积水，工作台阶与非工作台阶坡面无危岩，得2分；</w:t>
            </w:r>
          </w:p>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②非工作台阶滚落物及时清理，并在安全隐患位置设置警戒线或安全警示牌，得2分。</w:t>
            </w:r>
          </w:p>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★地下开采：</w:t>
            </w:r>
          </w:p>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①地下开采矿山工作面安全出口畅通，满足通风、运输、行人、设备安装、检修的需要，支护完好，得2分；</w:t>
            </w:r>
          </w:p>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②工作面无较大面积积水、无浮碴、无杂物，材料堆放整齐，得2分。</w:t>
            </w:r>
          </w:p>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（兼备地下和露天开采的，以现阶段主要开采方式选择其一进行评分，分数不累加）</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11"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365"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lang w:bidi="ar"/>
              </w:rPr>
              <w:t>三、综合利用（</w:t>
            </w:r>
            <w:r>
              <w:rPr>
                <w:rFonts w:hint="eastAsia" w:ascii="仿宋" w:hAnsi="仿宋" w:eastAsia="仿宋" w:cs="仿宋"/>
                <w:color w:val="auto"/>
                <w:kern w:val="0"/>
                <w:szCs w:val="21"/>
              </w:rPr>
              <w:t>9项，19分）</w:t>
            </w: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（一）选矿回收（4分）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13选矿加工工艺</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采用自动化程度高、能耗低、污染物产生量少的生产设备和工艺；选用高效、低毒对环境影响小的药剂（黄金行业氰化药剂室应单独隔离且完全封闭）。符合得2分，</w:t>
            </w:r>
            <w:r>
              <w:rPr>
                <w:rFonts w:hint="eastAsia" w:ascii="仿宋" w:hAnsi="仿宋" w:eastAsia="仿宋" w:cs="仿宋"/>
                <w:color w:val="auto"/>
                <w:kern w:val="0"/>
                <w:szCs w:val="21"/>
                <w:lang w:bidi="ar"/>
              </w:rPr>
              <w:t>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bookmarkStart w:id="13" w:name="OLE_LINK17"/>
            <w:r>
              <w:rPr>
                <w:rFonts w:hint="eastAsia" w:ascii="仿宋" w:hAnsi="仿宋" w:eastAsia="仿宋" w:cs="仿宋"/>
                <w:color w:val="auto"/>
                <w:kern w:val="0"/>
                <w:szCs w:val="21"/>
              </w:rPr>
              <w:t>《冶金矿山选矿厂工艺设计规范》（GB50612-2010）</w:t>
            </w:r>
            <w:bookmarkEnd w:id="13"/>
            <w:r>
              <w:rPr>
                <w:rFonts w:hint="eastAsia" w:ascii="仿宋" w:hAnsi="仿宋" w:eastAsia="仿宋" w:cs="仿宋"/>
                <w:color w:val="auto"/>
                <w:kern w:val="0"/>
                <w:szCs w:val="21"/>
              </w:rPr>
              <w:t>。</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14选矿回收率</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选矿回收率达到或高于开发利用方案设计指标，且不低于自然资源部公告发布的最低指标要求。符合得2分。</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自然资源部“三率”指标要求、地方标准要求，开发利用方案</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（二）共伴生资源综合利用（10分）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15共伴生资源综合勘查与评价</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对共伴生矿产资源进行综合勘查、综合评价、综合开发，得2分。</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vMerge w:val="restart"/>
            <w:tcMar>
              <w:top w:w="12" w:type="dxa"/>
              <w:left w:w="12" w:type="dxa"/>
              <w:right w:w="12" w:type="dxa"/>
            </w:tcMar>
            <w:vAlign w:val="center"/>
          </w:tcPr>
          <w:p>
            <w:pPr>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《矿产资源综合勘查评价规范》（GB/T 25283）、《矿产资源开发利用方案》，《矿产资源开发与恢复治理方案》、自然资源部“三率”指标要求、地方标准要求，符合环评批复相关要求</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16</w:t>
            </w:r>
            <w:r>
              <w:rPr>
                <w:rFonts w:hint="eastAsia" w:ascii="仿宋" w:hAnsi="仿宋" w:eastAsia="仿宋" w:cs="仿宋"/>
                <w:color w:val="auto"/>
                <w:kern w:val="0"/>
                <w:szCs w:val="21"/>
              </w:rPr>
              <w:t>共伴生矿产综合利用</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按照设计要求选用先进适用、经济合理的工艺技术对具有工业价值的共伴生矿产进行加工处理和综合开发利用，得2分。新建、改扩建矿山，共伴生矿产资源利用工程与主矿产的采选工程同时设计、同时施工、同时投用；不能同时施工或投产的，预留采选工程条件，得1分。</w:t>
            </w:r>
            <w:r>
              <w:rPr>
                <w:rFonts w:hint="eastAsia" w:ascii="仿宋" w:hAnsi="仿宋" w:eastAsia="仿宋" w:cs="仿宋"/>
                <w:color w:val="auto"/>
                <w:kern w:val="0"/>
                <w:szCs w:val="21"/>
              </w:rPr>
              <w:t>对复杂难处理或低品位矿石，采用新工艺降低能耗，或者采用选冶联合工艺提高技术经济指标，取得效果并提供证明材料，得1分。</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809" w:type="pct"/>
            <w:vMerge w:val="continue"/>
            <w:tcMar>
              <w:top w:w="12" w:type="dxa"/>
              <w:left w:w="12" w:type="dxa"/>
              <w:right w:w="12" w:type="dxa"/>
            </w:tcMar>
            <w:vAlign w:val="center"/>
          </w:tcPr>
          <w:p>
            <w:pPr>
              <w:adjustRightInd w:val="0"/>
              <w:snapToGrid w:val="0"/>
              <w:spacing w:line="240" w:lineRule="exact"/>
              <w:jc w:val="left"/>
              <w:textAlignment w:val="center"/>
              <w:rPr>
                <w:rFonts w:ascii="仿宋" w:hAnsi="仿宋" w:eastAsia="仿宋" w:cs="仿宋"/>
                <w:color w:val="auto"/>
                <w:kern w:val="0"/>
                <w:szCs w:val="21"/>
              </w:rPr>
            </w:pP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17共伴生</w:t>
            </w:r>
            <w:r>
              <w:rPr>
                <w:rFonts w:hint="eastAsia" w:ascii="仿宋" w:hAnsi="仿宋" w:eastAsia="仿宋" w:cs="仿宋"/>
                <w:color w:val="auto"/>
                <w:kern w:val="0"/>
                <w:szCs w:val="21"/>
              </w:rPr>
              <w:t>矿产资源综合利用率</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共伴生矿产资源综合利用率符合相关标准要求，</w:t>
            </w:r>
            <w:r>
              <w:rPr>
                <w:rFonts w:hint="eastAsia" w:ascii="仿宋" w:hAnsi="仿宋" w:eastAsia="仿宋" w:cs="仿宋"/>
                <w:color w:val="auto"/>
                <w:kern w:val="0"/>
                <w:szCs w:val="21"/>
              </w:rPr>
              <w:t>得2</w:t>
            </w:r>
            <w:r>
              <w:rPr>
                <w:rFonts w:hint="eastAsia" w:ascii="仿宋" w:hAnsi="仿宋" w:eastAsia="仿宋" w:cs="仿宋"/>
                <w:color w:val="auto"/>
                <w:kern w:val="0"/>
                <w:szCs w:val="21"/>
                <w:lang w:bidi="ar"/>
              </w:rPr>
              <w:t>分</w:t>
            </w:r>
            <w:r>
              <w:rPr>
                <w:rFonts w:hint="eastAsia" w:ascii="仿宋" w:hAnsi="仿宋" w:eastAsia="仿宋" w:cs="仿宋"/>
                <w:color w:val="auto"/>
                <w:kern w:val="0"/>
                <w:szCs w:val="21"/>
              </w:rPr>
              <w:t>。</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p>
        </w:tc>
        <w:tc>
          <w:tcPr>
            <w:tcW w:w="809" w:type="pct"/>
            <w:vMerge w:val="continue"/>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18对暂不能开采利用的矿产</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对暂不能开采利用的共伴生矿产采取保护措施，</w:t>
            </w:r>
            <w:r>
              <w:rPr>
                <w:rFonts w:hint="eastAsia" w:ascii="仿宋" w:hAnsi="仿宋" w:eastAsia="仿宋" w:cs="仿宋"/>
                <w:color w:val="auto"/>
                <w:kern w:val="0"/>
                <w:szCs w:val="21"/>
              </w:rPr>
              <w:t>得2分。</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《矿产资源开发利用方案》，矿山设计</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（三）固废综合利用（2分）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19固废处置与利用</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按设计要求对废石、尾矿等固体废物进行资源化利用，采用铺路、生产建材、井下充填、治理塌陷区等方式充分利用，减少固体废物积存量和占地面积，满足要求得0.5分；对暂时不利用或不能利用的废石、尾矿分类处置，处置率100%。黄金矿山氰渣的处置和利用符合规定，氰渣储存、运输要采取防雨、防渗（漏）措施，满足要求得0.5分；鼓励从废石、尾矿等固体废弃物中提取有价元素或有用矿物，得0.5分。累计得分不超过该项总分值。</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生产报表、销售报表、财务报表等，</w:t>
            </w:r>
            <w:r>
              <w:rPr>
                <w:rFonts w:hint="eastAsia" w:ascii="仿宋" w:hAnsi="仿宋" w:eastAsia="仿宋" w:cs="仿宋"/>
                <w:color w:val="auto"/>
                <w:kern w:val="0"/>
                <w:szCs w:val="21"/>
              </w:rPr>
              <w:t>符合环评批复相关要求</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20土质剥离物的综合利用</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优先采用内排土法，矿山剥离表土按照设计要求，堆存有序，采取措施防止水土流失；表层熟土用于土地复垦、土壤改良、生态修复。符合得1分。一处不符合扣0.2分，扣完为止。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《矿产资源开发与恢复治理方案》</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（四）废水综合利用（3分）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21生产、生活废水综合利用</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bookmarkStart w:id="14" w:name="OLE_LINK30"/>
            <w:r>
              <w:rPr>
                <w:rFonts w:hint="eastAsia" w:ascii="仿宋" w:hAnsi="仿宋" w:eastAsia="仿宋" w:cs="仿宋"/>
                <w:color w:val="auto"/>
                <w:kern w:val="0"/>
                <w:szCs w:val="21"/>
                <w:lang w:bidi="ar"/>
              </w:rPr>
              <w:t>配备矿井水、疏干水等开采废水处理设施；采用洁净化、资源化技术和工艺合理处置，处置率达到100%，矿井水优先用于矿山生产用水；建立选矿废水循环处理系统，实现循环利用，选矿废水循环利用率不低于85%；生活污水处置达标后，用于场地浇灌绿化、洒水降尘或其他综合利用。符合得3分，一处不符合扣0.5分，扣完为止。</w:t>
            </w:r>
            <w:bookmarkEnd w:id="14"/>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r>
              <w:rPr>
                <w:rFonts w:hint="eastAsia" w:ascii="仿宋" w:hAnsi="仿宋" w:eastAsia="仿宋" w:cs="仿宋"/>
                <w:color w:val="auto"/>
                <w:kern w:val="0"/>
                <w:szCs w:val="21"/>
                <w:lang w:bidi="ar"/>
              </w:rPr>
              <w:t>《矿产资源开发利用方案》、矿山设计、生产报表等资料，污水站等环保设施验收资料，污水综合排放标准（GB8978），符合环评批复相关要求</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bookmarkStart w:id="15" w:name="_Hlk183081268"/>
            <w:r>
              <w:rPr>
                <w:rFonts w:hint="eastAsia" w:ascii="仿宋" w:hAnsi="仿宋" w:eastAsia="仿宋" w:cs="仿宋"/>
                <w:color w:val="auto"/>
                <w:kern w:val="0"/>
                <w:szCs w:val="21"/>
              </w:rPr>
              <w:t>四、绿色低碳（9项，18分）</w:t>
            </w: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（一）节约集约用地（2分）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22</w:t>
            </w:r>
            <w:r>
              <w:rPr>
                <w:rFonts w:hint="eastAsia" w:ascii="仿宋" w:hAnsi="仿宋" w:eastAsia="仿宋" w:cs="仿宋"/>
                <w:color w:val="auto"/>
                <w:kern w:val="0"/>
                <w:szCs w:val="21"/>
                <w:lang w:bidi="ar"/>
              </w:rPr>
              <w:t>节约集约用地情况</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矿山用地在满足建设、运输生产等要求前提下，综合考虑土地资源、资金、环境等经济技术条件，按照节约集约原则，进行优化配置和科学利用，充分利用荒地、劣地，少占耕地。符合得2分。</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《节约集约利用土地规定（2019年修正）》《工业项目用地控制指标》《自然资源部办公厅关于规范开展建设项目节地评价工作的通知》（自然资办发〔2021〕14号）</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5"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（二）节能降耗（4分）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23能源管理体系</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建立矿山生产全过程能耗核算体系或实现生产全过程能耗核算；编制年度能源管理计划。符合得2分，一处不符合扣0.5分，扣完为止。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能耗核算体系文件或台账，能源分析报表</w:t>
            </w:r>
          </w:p>
        </w:tc>
        <w:tc>
          <w:tcPr>
            <w:tcW w:w="311"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365"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24单位产品能耗</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铁矿、金矿、有色金属矿单位产品能耗符合国家标准的，执行国家标准。其他矿种暂无国家标准、行业标准的，以企业近3年能耗等指标均值为依据进行考核，要体现节能降耗进步要求。符合得2分。</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能耗台账、各行业单位产品能源消耗限额、节能评估报告</w:t>
            </w:r>
          </w:p>
        </w:tc>
        <w:tc>
          <w:tcPr>
            <w:tcW w:w="311"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（三）源头预防（4分）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25地下水环境状况</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矿区及周边地下水具备使用功能的，应达到相关标准限值要求；按照相关标准开展地下水污染风险管控，防止地下水污染。符合得2分，一处不符合扣0.5分，扣完为止。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《地下水质量标准》（GB/T 14848）、《污染地块地下水修复和风险管控技术导则》（HJ 25.6）</w:t>
            </w:r>
          </w:p>
        </w:tc>
        <w:tc>
          <w:tcPr>
            <w:tcW w:w="311"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26土壤污染源头预防</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山开采区、尾矿库等运营、管理单位应当采取防渗漏等措施，并建设地下水水质监测井进行监测；建设涉及有毒有害物质的设施设备，应设计、建设和安装有关防腐蚀、防泄漏设施和泄漏监测装置，防止有毒有害物质污染土壤和地下水；构筑物及场地防渗要求符合相关标准的规定。符合得2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《工矿用地土壤环境管理办法（试行）》、《一般工业固体废物贮存和填埋污染控制标准》（GB 18599）、《尾矿库设计规范》（GB 50863）、《有色金属工业环境保护工程设计规范》（GB 50988）、危险废物贮存、填埋污染控制标准（GB18597、GB18598）</w:t>
            </w:r>
          </w:p>
        </w:tc>
        <w:tc>
          <w:tcPr>
            <w:tcW w:w="311"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（四）废物排放（8分）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27固废排放</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无法实现综合利用的固体废弃物，划分危险废物、一般废物和生活垃圾不同类别，实现分级分类；堆场、尾矿库污染防治设施符合相关法规标准要求；按照国家法律和标准，自行或委托第三方对一般固体废弃物进行处置，委托第三方有资质的单位对危险废物进行处置。符合得2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《中华人民共和国固体废物污染环境防治法》《一般工业固体废物贮存和填埋污染控制标准》（GB 18599），危险废物焚烧、贮存、填埋污染控制标准(GB 18484、18597、18598)</w:t>
            </w:r>
          </w:p>
        </w:tc>
        <w:tc>
          <w:tcPr>
            <w:tcW w:w="311" w:type="pct"/>
            <w:vAlign w:val="center"/>
          </w:tcPr>
          <w:p>
            <w:pPr>
              <w:adjustRightInd w:val="0"/>
              <w:snapToGrid w:val="0"/>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28废水排放</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清污管路分别铺设、雨水与污水管路分开设置，实现雨污分流、清污分流；</w:t>
            </w:r>
            <w:r>
              <w:rPr>
                <w:rFonts w:hint="eastAsia" w:ascii="仿宋" w:hAnsi="仿宋" w:eastAsia="仿宋" w:cs="仿宋"/>
                <w:color w:val="auto"/>
                <w:kern w:val="0"/>
                <w:szCs w:val="21"/>
                <w:lang w:bidi="ar"/>
              </w:rPr>
              <w:t>生产废水排放及排污口设置符合相关标准和要求。企业配备生活污水处理系统或接入城镇污水处理管网，</w:t>
            </w:r>
            <w:r>
              <w:rPr>
                <w:rFonts w:hint="eastAsia" w:ascii="仿宋" w:hAnsi="仿宋" w:eastAsia="仿宋" w:cs="仿宋"/>
                <w:color w:val="auto"/>
                <w:kern w:val="0"/>
                <w:szCs w:val="21"/>
              </w:rPr>
              <w:t>生活污水经处理后水质达标排放；工业废水经处理后水质达标排放；尾矿库、排土场等建有雨水截（排）水沟，地表径流水、淋溶水等经沉淀后达标排放或处理回用。符合得2分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r>
              <w:rPr>
                <w:rFonts w:hint="eastAsia" w:ascii="仿宋" w:hAnsi="仿宋" w:eastAsia="仿宋" w:cs="仿宋"/>
                <w:color w:val="auto"/>
                <w:kern w:val="0"/>
                <w:szCs w:val="21"/>
                <w:lang w:bidi="ar"/>
              </w:rPr>
              <w:t>国家水污染物排放标准（GB8978、GB 20426、GB 25465、GB 25466、GB25467、GB25468、GB 26451、GB28661、GB 30770 等）以及甘肃省实施的地方水污染物排放标准</w:t>
            </w:r>
          </w:p>
        </w:tc>
        <w:tc>
          <w:tcPr>
            <w:tcW w:w="311"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29废气排放</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在开采、加工、运输、贮存等环节，采取除尘捕尘、抑尘降尘、净化废气、个体防护等措施，实现达标排放，开采过程中的大气污染物排放应符合国家或地方相应排放标准。凿岩作业采用降尘措施，爆破作业喷雾洒水降尘，生产区配置洒水车定时洒水降尘，配备地面运输车辆洗车台，对出厂车辆进行清洗，外运产品途中苫盖，废石或矿石周转场地、贮存场所具备防扬尘设施。矿区建筑物上无明显积尘，矿区周边植被无明显粉尘覆盖。对矿区粉尘进行定期监测。符合得2分，一处不符合扣0.2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国家大气污染物排放标准（GB 4915、GB 9078、GB 16297、GB 20426、GB 25465、GB 25466、GB 25467、GB 25468、GB 26451、GB 28661、GB 30770、GB 41618等）、企业防尘相关措施、作业场所粉尘清单</w:t>
            </w:r>
          </w:p>
        </w:tc>
        <w:tc>
          <w:tcPr>
            <w:tcW w:w="311"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30噪声排放</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对矿区凿岩、破碎和空压等高噪声设备进行降噪处理；配备消声、减振、隔振、个体防护等措施，厂界噪声排放达标。对厂界噪声进行定期监测。符合得2分，一处不符合扣0.5分，扣完为止。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《工业企业厂界环境噪声排放标准》（GB 12348-2008）</w:t>
            </w:r>
          </w:p>
        </w:tc>
        <w:tc>
          <w:tcPr>
            <w:tcW w:w="311"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jc w:val="center"/>
        </w:trPr>
        <w:tc>
          <w:tcPr>
            <w:tcW w:w="365"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五、生态修复与环境治理（5项，20分）</w:t>
            </w:r>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（一）矿山地质环境治理恢复与土地复垦（8分）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31矿山地质环境保护与土地复垦方案编制与执行</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得5</w:t>
            </w:r>
            <w:r>
              <w:rPr>
                <w:rFonts w:hint="eastAsia" w:ascii="仿宋" w:hAnsi="仿宋" w:eastAsia="仿宋" w:cs="仿宋"/>
                <w:color w:val="auto"/>
                <w:kern w:val="0"/>
                <w:szCs w:val="21"/>
                <w:lang w:bidi="ar"/>
              </w:rPr>
              <w:t>分，一处不符合扣0.5分，扣完为止。</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《矿山地质环境保护与土地复垦方案》及年度计划、《土地复垦质量控制标准》(TD/T 1036)、《金属矿土地复垦与生态修复技术规范》（GB/T 43933-2024）等标准规范。</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32矿山地质环境治理恢复基金计提使用</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按相关规定及标准足额计提矿山地质环境治理恢复基金并规范使用；基金统筹用于开展矿山地质环境治理恢复和土地复垦；按照《矿山地质环境保护与土地复垦方案》设计进行了年度资金使用。符合得3分</w:t>
            </w:r>
            <w:r>
              <w:rPr>
                <w:rFonts w:hint="eastAsia" w:ascii="仿宋" w:hAnsi="仿宋" w:eastAsia="仿宋" w:cs="仿宋"/>
                <w:color w:val="auto"/>
                <w:kern w:val="0"/>
                <w:szCs w:val="21"/>
                <w:lang w:bidi="ar"/>
              </w:rPr>
              <w:t>，一处不符合扣0.5分，扣完为止。</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《矿山地质环境保护与土地复垦方案》及年度计划、基金监管政策文件及标准规范，其他证明材料等。</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（二）治理要求（4分）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33治理效果</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排土场、尾矿库、</w:t>
            </w:r>
            <w:bookmarkStart w:id="16" w:name="OLE_LINK5"/>
            <w:r>
              <w:rPr>
                <w:rFonts w:hint="eastAsia" w:ascii="仿宋" w:hAnsi="仿宋" w:eastAsia="仿宋" w:cs="仿宋"/>
                <w:color w:val="auto"/>
                <w:kern w:val="0"/>
                <w:szCs w:val="21"/>
              </w:rPr>
              <w:t>露天采场、矿区专用道路、矿山工业场地、塌陷区、废石场等区域生态修复符合《矿山地质环境保护与土地复垦方案》要求。落实“边开采、边修复”要求，矿山生态修复能够分区、分期进行的，要分区、分期开展。治理后的各类场地对周边环境不产生污染，与周边自然环境相协调，区域生态功能得到保护和恢复。</w:t>
            </w:r>
            <w:bookmarkEnd w:id="16"/>
            <w:r>
              <w:rPr>
                <w:rFonts w:hint="eastAsia" w:ascii="仿宋" w:hAnsi="仿宋" w:eastAsia="仿宋" w:cs="仿宋"/>
                <w:color w:val="auto"/>
                <w:kern w:val="0"/>
                <w:szCs w:val="21"/>
              </w:rPr>
              <w:t>符合得4分</w:t>
            </w:r>
            <w:r>
              <w:rPr>
                <w:rFonts w:hint="eastAsia" w:ascii="仿宋" w:hAnsi="仿宋" w:eastAsia="仿宋" w:cs="仿宋"/>
                <w:color w:val="auto"/>
                <w:kern w:val="0"/>
                <w:szCs w:val="21"/>
                <w:lang w:bidi="ar"/>
              </w:rPr>
              <w:t>，一处不符合扣0.5分，扣完为止。</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《矿山生态环境保护与恢复治理技术规范》（HJ 651）、《土地复垦质量控制标准》(TD/T 1036)、《金属矿土地复垦与生态修复技术规范》（GB/T 43933-2024）、《生态保护修复成效评估技术指南（试行）》（HJ 1272—2022）、《退化草地修复技术规范》（GB/T 37057），其他文件证明材料</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（三）矿山环境动态监测（4分）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34动态监测要求</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动态监测体系，对选矿废水、矿井水、尾矿库、排土场、地下水等定期进行环境监测，根据监测结果采取有效保护措施。对地质环境破坏与恢复治理、土地损毁与复垦利用、生态系统破坏（退化）与恢复进行监测。符合得4分</w:t>
            </w:r>
            <w:r>
              <w:rPr>
                <w:rFonts w:hint="eastAsia" w:ascii="仿宋" w:hAnsi="仿宋" w:eastAsia="仿宋" w:cs="仿宋"/>
                <w:color w:val="auto"/>
                <w:kern w:val="0"/>
                <w:szCs w:val="21"/>
                <w:lang w:bidi="ar"/>
              </w:rPr>
              <w:t>，一处不符合扣0.5分，扣完为止。</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动态监测记录、《金属矿土地复垦与生态修复技术规范》（GB/T 43933-2024）、《矿山土地复垦与生态修复监测评价技术规范》（GB/T 43935-2024）、《草原资源与生态监测技术规程》（NY/T 1233）等相关标准规范或其他证明材料</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（四）环境管理体系（4分）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35环境管理体系要求</w:t>
            </w:r>
          </w:p>
        </w:tc>
        <w:tc>
          <w:tcPr>
            <w:tcW w:w="19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6"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环境管理机制，有完善的环境管理制度，得1分；配备了必要的环境管理机构和生态环境保护等专业技术人员，得1分；有环境管理日常监管记录得1分；采取了环境风险防范措施，得1分；获得环境管理体系认证，得4分。</w:t>
            </w:r>
            <w:r>
              <w:rPr>
                <w:rFonts w:hint="eastAsia" w:ascii="仿宋" w:hAnsi="仿宋" w:eastAsia="仿宋" w:cs="仿宋"/>
                <w:color w:val="auto"/>
                <w:kern w:val="0"/>
                <w:szCs w:val="21"/>
                <w:lang w:bidi="ar"/>
              </w:rPr>
              <w:t>累计得分不超过该项总分值。</w:t>
            </w:r>
          </w:p>
        </w:tc>
        <w:tc>
          <w:tcPr>
            <w:tcW w:w="30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ISO环境管理体系认证</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5"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六、科技创新与规范管理（8项，15分）</w:t>
            </w: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（一）科技创新（5分）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36研发及技改投入</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86"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必要的科技创新制度体系，得1分；具有技术研发队伍和专业技术人员，得0.5分；近三年年均研发及技改投入不低于矿山主营业务收入的1.5%，得1分；开展支撑企业主业发展的技术研究，得0.5分。累计得分不超过该项总分值。</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生产报表（调度报表）或其他证明材料</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37创新成果</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获得1项发明专利得0.5分，最多得2分；获得1项实用性专利得0.5分，最高得2分；获得省部级及以上奖励得1.5分，厅局级奖励得1分；使用《节地技术和节地模式推荐目录》或最新版《矿产资源节约和综合利用先进适用技术目录》1项，得1分；获得高新技术企业证书，得2分。累计得分不超过该项总分值。</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主管部门公告文件，项目立项文件及项目台账</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（二）数字化矿山（5分）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38</w:t>
            </w:r>
            <w:r>
              <w:rPr>
                <w:rFonts w:hint="eastAsia" w:ascii="仿宋" w:hAnsi="仿宋" w:eastAsia="仿宋" w:cs="仿宋"/>
                <w:color w:val="auto"/>
                <w:kern w:val="0"/>
                <w:szCs w:val="21"/>
                <w:lang w:bidi="ar"/>
              </w:rPr>
              <w:t>集中管控平台</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86"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构建矿山自动化集中管控平台，将自动控制系统、远程监控系统、储量管理系统、各种监测系统等集中统一管理，得1.5分；探索开展矿山资源储量数字化模型建设，逐步实现资源储量精准化管理，保障生产高效有序，得1.5分。具有矿山资源储量数字化模型，得2分。累计得分不超过该项总分值。</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矿山自动化集中管控系统平台建设方案</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39智能化应用</w:t>
            </w:r>
          </w:p>
        </w:tc>
        <w:tc>
          <w:tcPr>
            <w:tcW w:w="19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实现矿山采选机械化、自动化，鼓励建设智能化矿山，得1分；企业年度计划中有智能矿山建设计划或按照《智能矿山建设规范》（DZ/T 0376-2021）等标准开展智能矿山建设的，得0.5分；已完成智能矿山建设的，得1分。累计得分不超过该项总分值。</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企业年度计划书，《智能矿山建设规范》</w:t>
            </w:r>
          </w:p>
        </w:tc>
        <w:tc>
          <w:tcPr>
            <w:tcW w:w="311"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（三）规范管理（5分）</w:t>
            </w: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40企业文化</w:t>
            </w:r>
          </w:p>
        </w:tc>
        <w:tc>
          <w:tcPr>
            <w:tcW w:w="199"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查资料、查现场、调查走访</w:t>
            </w:r>
          </w:p>
        </w:tc>
        <w:tc>
          <w:tcPr>
            <w:tcW w:w="80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企业管理文件、自评材料、宣传片、活动证明、认证、证书、调查问卷原始记录等材料</w:t>
            </w:r>
          </w:p>
        </w:tc>
        <w:tc>
          <w:tcPr>
            <w:tcW w:w="311"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spacing w:line="240" w:lineRule="exact"/>
              <w:jc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41企业诚信</w:t>
            </w:r>
          </w:p>
        </w:tc>
        <w:tc>
          <w:tcPr>
            <w:tcW w:w="199"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依法纳税，按要求提交储量年报、矿产资源统计基础表，按规定缴存矿业权出让收益。</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0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税务及相关部门证明</w:t>
            </w:r>
          </w:p>
        </w:tc>
        <w:tc>
          <w:tcPr>
            <w:tcW w:w="311"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42矿地和谐</w:t>
            </w:r>
          </w:p>
        </w:tc>
        <w:tc>
          <w:tcPr>
            <w:tcW w:w="199"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86"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职业健康管理制度。建立良好矿地关系，制定和公开申诉回应制度。具有联系机构与人员，及时妥善处理与受采矿活动影响的社区等利益相关者间的纠纷矛盾，维护当地生产、生活相关生态环境。在劳务用工、基础设施、公益募捐、教育医疗支持等一个及以上方面开展帮扶，助力乡村振兴。符合得1分，一处不符合扣0.2分，扣完为止。</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查资料、调查走访</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相关文件、票据等证明材料</w:t>
            </w:r>
          </w:p>
        </w:tc>
        <w:tc>
          <w:tcPr>
            <w:tcW w:w="311"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43企业管理</w:t>
            </w:r>
          </w:p>
        </w:tc>
        <w:tc>
          <w:tcPr>
            <w:tcW w:w="199"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6"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安全生产标准化管理通过三级及以上达标验收，得0.5分；各类图纸、报表、台帐、档案资料等应齐全、完整、真实，资源储量开采报表真实可靠，采选装备、设备及材料资料清单内容完备，得0.5分；制定突发环境事件的应急预案并开展应急演练，得0.5分；建立绿色矿山管理体系，配备专（兼）职人员，落实绿色矿山建设任务；职工职业技能培训体系和绿色矿山定期培训制度健全，培训计划明确、培训记录完善，绿色矿山建设宣传视频、相关资料完整，得1分。累计得分不超过该项总分值。</w:t>
            </w:r>
          </w:p>
        </w:tc>
        <w:tc>
          <w:tcPr>
            <w:tcW w:w="30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809"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lang w:bidi="ar"/>
              </w:rPr>
              <w:t>企业管理文件</w:t>
            </w:r>
          </w:p>
        </w:tc>
        <w:tc>
          <w:tcPr>
            <w:tcW w:w="311"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1120" w:type="pct"/>
            <w:gridSpan w:val="3"/>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总  分</w:t>
            </w:r>
          </w:p>
        </w:tc>
        <w:tc>
          <w:tcPr>
            <w:tcW w:w="199"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100</w:t>
            </w:r>
          </w:p>
        </w:tc>
        <w:tc>
          <w:tcPr>
            <w:tcW w:w="2086"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0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80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p>
        </w:tc>
        <w:tc>
          <w:tcPr>
            <w:tcW w:w="311" w:type="pct"/>
            <w:vAlign w:val="center"/>
          </w:tcPr>
          <w:p>
            <w:pPr>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bl>
    <w:p>
      <w:pPr>
        <w:spacing w:line="240" w:lineRule="exact"/>
        <w:rPr>
          <w:rFonts w:ascii="Times New Roman" w:hAnsi="Times New Roman"/>
          <w:color w:val="auto"/>
          <w:sz w:val="20"/>
          <w:szCs w:val="21"/>
        </w:rPr>
      </w:pPr>
    </w:p>
    <w:p>
      <w:pPr>
        <w:spacing w:line="240" w:lineRule="exact"/>
        <w:outlineLvl w:val="0"/>
        <w:rPr>
          <w:rFonts w:ascii="方正小标宋_GBK" w:hAnsi="方正小标宋_GBK" w:eastAsia="方正小标宋_GBK" w:cs="方正小标宋_GBK"/>
          <w:color w:val="auto"/>
          <w:kern w:val="0"/>
          <w:sz w:val="40"/>
          <w:szCs w:val="40"/>
        </w:rPr>
        <w:sectPr>
          <w:footerReference r:id="rId5" w:type="default"/>
          <w:pgSz w:w="16838" w:h="11906" w:orient="landscape"/>
          <w:pgMar w:top="1800" w:right="1440" w:bottom="1800" w:left="1440" w:header="851" w:footer="992" w:gutter="0"/>
          <w:cols w:space="720" w:num="1"/>
          <w:docGrid w:type="lines" w:linePitch="312" w:charSpace="0"/>
        </w:sectPr>
      </w:pPr>
    </w:p>
    <w:p>
      <w:pPr>
        <w:adjustRightInd w:val="0"/>
        <w:snapToGrid w:val="0"/>
        <w:jc w:val="center"/>
        <w:outlineLvl w:val="0"/>
        <w:rPr>
          <w:rFonts w:ascii="方正公文小标宋" w:hAnsi="方正公文小标宋" w:eastAsia="方正公文小标宋" w:cs="方正公文小标宋"/>
          <w:color w:val="auto"/>
          <w:kern w:val="0"/>
          <w:sz w:val="30"/>
          <w:szCs w:val="30"/>
        </w:rPr>
      </w:pPr>
      <w:bookmarkStart w:id="17" w:name="OLE_LINK15"/>
      <w:r>
        <w:rPr>
          <w:rFonts w:hint="eastAsia" w:ascii="方正公文小标宋" w:hAnsi="方正公文小标宋" w:eastAsia="方正公文小标宋" w:cs="方正公文小标宋"/>
          <w:bCs/>
          <w:color w:val="auto"/>
          <w:kern w:val="0"/>
          <w:sz w:val="30"/>
          <w:szCs w:val="30"/>
          <w:lang w:bidi="ar"/>
        </w:rPr>
        <w:t>表3 省级绿色矿山建设评价指标（非金属矿）</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 w:val="20"/>
                <w:szCs w:val="20"/>
                <w:lang w:bidi="ar"/>
              </w:rPr>
            </w:pPr>
            <w:r>
              <w:rPr>
                <w:rFonts w:hint="eastAsia" w:ascii="仿宋" w:hAnsi="仿宋" w:eastAsia="仿宋" w:cs="仿宋"/>
                <w:b/>
                <w:bCs/>
                <w:color w:val="auto"/>
                <w:kern w:val="0"/>
                <w:sz w:val="20"/>
                <w:szCs w:val="20"/>
                <w:lang w:bidi="ar"/>
              </w:rPr>
              <w:t>先决条件</w:t>
            </w:r>
          </w:p>
        </w:tc>
        <w:tc>
          <w:tcPr>
            <w:tcW w:w="271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 w:val="20"/>
                <w:szCs w:val="20"/>
                <w:lang w:bidi="ar"/>
              </w:rPr>
            </w:pPr>
            <w:r>
              <w:rPr>
                <w:rFonts w:hint="eastAsia" w:ascii="仿宋" w:hAnsi="仿宋" w:eastAsia="仿宋" w:cs="仿宋"/>
                <w:b/>
                <w:bCs/>
                <w:color w:val="auto"/>
                <w:kern w:val="0"/>
                <w:sz w:val="20"/>
                <w:szCs w:val="20"/>
                <w:lang w:bidi="ar"/>
              </w:rPr>
              <w:t>要求</w:t>
            </w:r>
          </w:p>
        </w:tc>
        <w:tc>
          <w:tcPr>
            <w:tcW w:w="165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 w:val="20"/>
                <w:szCs w:val="20"/>
                <w:lang w:bidi="ar"/>
              </w:rPr>
            </w:pPr>
            <w:r>
              <w:rPr>
                <w:rFonts w:hint="eastAsia" w:ascii="仿宋" w:hAnsi="仿宋" w:eastAsia="仿宋" w:cs="仿宋"/>
                <w:b/>
                <w:bCs/>
                <w:color w:val="auto"/>
                <w:kern w:val="0"/>
                <w:sz w:val="20"/>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手续齐全，证照合法有效</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《采矿许可证》《安全生产许可证》《营业执照》证照合法有效，依法办理环评</w:t>
            </w:r>
            <w:r>
              <w:rPr>
                <w:rFonts w:hint="eastAsia" w:ascii="仿宋" w:hAnsi="仿宋" w:eastAsia="仿宋" w:cs="仿宋"/>
                <w:color w:val="auto"/>
                <w:kern w:val="0"/>
                <w:szCs w:val="21"/>
              </w:rPr>
              <w:t>、排污许可手续和使用林草地审核同意书，</w:t>
            </w:r>
            <w:r>
              <w:rPr>
                <w:rFonts w:hint="eastAsia" w:ascii="仿宋" w:hAnsi="仿宋" w:eastAsia="仿宋" w:cs="仿宋"/>
                <w:color w:val="auto"/>
                <w:kern w:val="0"/>
                <w:sz w:val="20"/>
                <w:szCs w:val="20"/>
              </w:rPr>
              <w:t>并依法完成竣工环保验收。</w:t>
            </w:r>
            <w:r>
              <w:rPr>
                <w:rFonts w:hint="eastAsia" w:ascii="仿宋" w:hAnsi="仿宋" w:eastAsia="仿宋" w:cs="仿宋"/>
                <w:color w:val="auto"/>
                <w:kern w:val="0"/>
                <w:szCs w:val="21"/>
              </w:rPr>
              <w:t>涉及疏干排水的，应具备合法有效的《取水许可证》。</w:t>
            </w:r>
          </w:p>
        </w:tc>
        <w:tc>
          <w:tcPr>
            <w:tcW w:w="1652" w:type="pct"/>
            <w:vMerge w:val="restart"/>
            <w:tcMar>
              <w:top w:w="12" w:type="dxa"/>
              <w:left w:w="12" w:type="dxa"/>
              <w:right w:w="12" w:type="dxa"/>
            </w:tcMar>
            <w:vAlign w:val="center"/>
          </w:tcPr>
          <w:p>
            <w:pPr>
              <w:widowControl/>
              <w:spacing w:line="240" w:lineRule="exact"/>
              <w:jc w:val="left"/>
              <w:textAlignment w:val="top"/>
              <w:rPr>
                <w:rFonts w:ascii="仿宋" w:hAnsi="仿宋" w:eastAsia="仿宋" w:cs="仿宋"/>
                <w:color w:val="auto"/>
                <w:kern w:val="0"/>
                <w:sz w:val="20"/>
                <w:szCs w:val="20"/>
                <w:lang w:bidi="ar"/>
              </w:rPr>
            </w:pPr>
          </w:p>
          <w:p>
            <w:pPr>
              <w:widowControl/>
              <w:spacing w:line="240" w:lineRule="exact"/>
              <w:jc w:val="left"/>
              <w:textAlignment w:val="top"/>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 xml:space="preserve">             合格      □</w:t>
            </w:r>
          </w:p>
          <w:p>
            <w:pPr>
              <w:widowControl/>
              <w:spacing w:line="240" w:lineRule="exact"/>
              <w:jc w:val="left"/>
              <w:textAlignment w:val="top"/>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 xml:space="preserve">             不合格    □</w:t>
            </w:r>
          </w:p>
          <w:p>
            <w:pPr>
              <w:widowControl/>
              <w:spacing w:line="240" w:lineRule="exact"/>
              <w:jc w:val="left"/>
              <w:textAlignment w:val="top"/>
              <w:rPr>
                <w:rFonts w:ascii="仿宋" w:hAnsi="仿宋" w:eastAsia="仿宋" w:cs="仿宋"/>
                <w:color w:val="auto"/>
                <w:kern w:val="0"/>
                <w:sz w:val="20"/>
                <w:szCs w:val="20"/>
              </w:rPr>
            </w:pPr>
          </w:p>
          <w:p>
            <w:pPr>
              <w:widowControl/>
              <w:spacing w:line="240" w:lineRule="exact"/>
              <w:jc w:val="left"/>
              <w:textAlignment w:val="top"/>
              <w:rPr>
                <w:rFonts w:ascii="仿宋" w:hAnsi="仿宋" w:eastAsia="仿宋" w:cs="仿宋"/>
                <w:color w:val="auto"/>
                <w:kern w:val="0"/>
                <w:sz w:val="20"/>
                <w:szCs w:val="20"/>
              </w:rPr>
            </w:pPr>
            <w:r>
              <w:rPr>
                <w:rFonts w:hint="eastAsia" w:ascii="仿宋" w:hAnsi="仿宋" w:eastAsia="仿宋" w:cs="仿宋"/>
                <w:color w:val="auto"/>
                <w:kern w:val="0"/>
                <w:sz w:val="20"/>
                <w:szCs w:val="20"/>
              </w:rPr>
              <w:t>满足所有先决条件方可进行打分评价，其中1条不满足的，即为不合格。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三年内未受行政处罚或已整改到位</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近三年内，未受到自然资源</w:t>
            </w:r>
            <w:r>
              <w:rPr>
                <w:rFonts w:hint="eastAsia" w:ascii="仿宋" w:hAnsi="仿宋" w:eastAsia="仿宋" w:cs="仿宋"/>
                <w:color w:val="auto"/>
                <w:kern w:val="0"/>
                <w:szCs w:val="21"/>
              </w:rPr>
              <w:t>、生态环境和林草</w:t>
            </w:r>
            <w:r>
              <w:rPr>
                <w:rFonts w:hint="eastAsia" w:ascii="仿宋" w:hAnsi="仿宋" w:eastAsia="仿宋" w:cs="仿宋"/>
                <w:color w:val="auto"/>
                <w:kern w:val="0"/>
                <w:sz w:val="20"/>
                <w:szCs w:val="20"/>
              </w:rPr>
              <w:t>等部门行政处罚，或受到处罚在履行期限内已执行到位（出具相关证明材料），且未发生过较大及以上安全生产事故、环境事件的。</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矿业权人异常名录</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矿山要求</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矿山近三年正常运营，且剩余储量可采年限（按储量年度报告）不少于三年。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矿区范围</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 w:val="20"/>
                <w:szCs w:val="20"/>
              </w:rPr>
            </w:pPr>
            <w:r>
              <w:rPr>
                <w:rFonts w:hint="eastAsia" w:ascii="仿宋" w:hAnsi="仿宋" w:eastAsia="仿宋" w:cs="仿宋"/>
                <w:color w:val="auto"/>
                <w:kern w:val="0"/>
                <w:sz w:val="20"/>
                <w:szCs w:val="20"/>
              </w:rPr>
              <w:t>矿区范围未涉及生态保护红线（国家有规定的除外），符合国土空间规划及规划环评要求。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 w:val="20"/>
                <w:szCs w:val="20"/>
                <w:lang w:bidi="ar"/>
              </w:rPr>
            </w:pPr>
          </w:p>
        </w:tc>
      </w:tr>
      <w:bookmarkEnd w:id="17"/>
    </w:tbl>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7"/>
        <w:gridCol w:w="822"/>
        <w:gridCol w:w="1137"/>
        <w:gridCol w:w="567"/>
        <w:gridCol w:w="5833"/>
        <w:gridCol w:w="850"/>
        <w:gridCol w:w="2406"/>
        <w:gridCol w:w="86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tblHeader/>
          <w:jc w:val="center"/>
        </w:trPr>
        <w:tc>
          <w:tcPr>
            <w:tcW w:w="36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一级指标</w:t>
            </w:r>
          </w:p>
        </w:tc>
        <w:tc>
          <w:tcPr>
            <w:tcW w:w="29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二级指标</w:t>
            </w:r>
          </w:p>
        </w:tc>
        <w:tc>
          <w:tcPr>
            <w:tcW w:w="406"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三级指标</w:t>
            </w:r>
          </w:p>
        </w:tc>
        <w:tc>
          <w:tcPr>
            <w:tcW w:w="203"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标准分</w:t>
            </w:r>
          </w:p>
        </w:tc>
        <w:tc>
          <w:tcPr>
            <w:tcW w:w="208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评分说明</w:t>
            </w:r>
          </w:p>
        </w:tc>
        <w:tc>
          <w:tcPr>
            <w:tcW w:w="30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考核</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方法</w:t>
            </w:r>
          </w:p>
        </w:tc>
        <w:tc>
          <w:tcPr>
            <w:tcW w:w="861"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依据或标准</w:t>
            </w:r>
          </w:p>
        </w:tc>
        <w:tc>
          <w:tcPr>
            <w:tcW w:w="310"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检查</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记录</w:t>
            </w:r>
          </w:p>
        </w:tc>
        <w:tc>
          <w:tcPr>
            <w:tcW w:w="170"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6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一、矿区环境(8项，12分)</w:t>
            </w: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（一）矿容矿貌（10分）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1功能分区</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矿区按生产区、管理区、生活区进行功能分区，符合分区要求。符合得2分，管理区、生活区分区不明显扣0.5分，生产区、管理区分区不明显扣1.5分。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矿区总平面布置图或示意图，《工业企业总平面设计规范》（GB 50187）</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2配套设施</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及无废弃建构筑物。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矿区总平面布置图</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3标识标牌</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生产区按要求设置操作提示牌、说明牌、线路示意图牌、安全警示牌、绿色矿山宣传等各类标牌，标牌的尺寸、形状、颜色设置应符合规定。符合得1分，一处不符合扣0.5分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《矿山安全标志》</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4主干道路</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矿区主干道路面硬化或固化，路面平整、密实和粗糙度适当，固化道路实施洒水等降尘措施，养护良好。符合得1分，一处不符合扣0.5分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《厂矿道路设计规范》</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5定置管理</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设备、物资材料规范管理，做到分类分区、摆放有序、堆码整齐。符合得1分，一处不符合扣0.5分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6清洁卫生</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矿区保持清洁卫生，生产区及管理区无垃圾、无废石乱扔乱放，生产现场管线无跑、冒、滴、漏现象。符合得1分，一处不符合扣0.5分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7场地边坡</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矿区内生活办公区、工业场地、道路等各类边坡坡面无明显侵蚀、水土流失、扬尘等情形，边坡稳定无滑塌。符合得2分，一处不符合扣0.5分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（二）矿区绿化美化（2分）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8矿区绿化美化</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可绿化区域实现全覆盖，且无大面积表土裸露。绿化覆盖率达到可绿化面积的100%。绿化植物以本土物种为主，搭配合理，与周边环境协调一致，符合当地气候条件。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可绿化区域是指除采场、建筑覆盖区、硬化地面等不宜进行绿化区域以外的区域</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36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二、资源开采（4项，16分）</w:t>
            </w:r>
          </w:p>
        </w:tc>
        <w:tc>
          <w:tcPr>
            <w:tcW w:w="29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（一）开采活动（12分）</w:t>
            </w: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9开采方式及工艺</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露天开采：</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①</w:t>
            </w:r>
            <w:r>
              <w:rPr>
                <w:rFonts w:hint="eastAsia" w:ascii="仿宋" w:hAnsi="仿宋" w:eastAsia="仿宋" w:cs="仿宋"/>
                <w:color w:val="auto"/>
                <w:kern w:val="0"/>
                <w:szCs w:val="21"/>
              </w:rPr>
              <w:t>露天开采采用自上而下分台阶开采，符合开采设计要求，</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4分。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②未使用国家限制和淘汰类技术、材料、设备，得2分。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③</w:t>
            </w:r>
            <w:r>
              <w:rPr>
                <w:rFonts w:hint="eastAsia" w:ascii="仿宋" w:hAnsi="仿宋" w:eastAsia="仿宋" w:cs="仿宋"/>
                <w:color w:val="auto"/>
                <w:kern w:val="0"/>
                <w:szCs w:val="21"/>
              </w:rPr>
              <w:t>坚持采剥并举、剥离先行的原则，优化开采布局，选择合理工艺，科学制定采排计划，尽量减少对地表的破坏，</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地下开采：</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①</w:t>
            </w:r>
            <w:r>
              <w:rPr>
                <w:rFonts w:hint="eastAsia" w:ascii="仿宋" w:hAnsi="仿宋" w:eastAsia="仿宋" w:cs="仿宋"/>
                <w:color w:val="auto"/>
                <w:kern w:val="0"/>
                <w:szCs w:val="21"/>
              </w:rPr>
              <w:t>地下开采方法和顺序合理，符合开采设计要求，开采技术符合生态环境保护要求，</w:t>
            </w:r>
            <w:r>
              <w:rPr>
                <w:rFonts w:hint="eastAsia" w:ascii="仿宋" w:hAnsi="仿宋" w:eastAsia="仿宋" w:cs="仿宋"/>
                <w:color w:val="auto"/>
                <w:kern w:val="0"/>
                <w:szCs w:val="21"/>
                <w:lang w:bidi="ar"/>
              </w:rPr>
              <w:t>得4分；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②未使用国家限制和淘汰类技术、材料、设备，得2分；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③按设计要求优先采用充填开采、保水开采、井下破碎、封闭运输等先进技术，有效减少开采引起的大面积地面沉降；利用采空区规模化环保化处置废石、尾矿等，得2分；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（兼备地下和露天开采的，以现阶段主要开采方式选择其一进行评分，分数不累加，</w:t>
            </w:r>
            <w:r>
              <w:rPr>
                <w:rFonts w:hint="eastAsia" w:ascii="仿宋" w:hAnsi="仿宋" w:eastAsia="仿宋" w:cs="仿宋"/>
                <w:color w:val="auto"/>
                <w:kern w:val="0"/>
                <w:szCs w:val="21"/>
                <w:lang w:bidi="ar"/>
              </w:rPr>
              <w:t>累计得分不超过该项总分值。</w:t>
            </w:r>
            <w:r>
              <w:rPr>
                <w:rFonts w:hint="eastAsia" w:ascii="仿宋" w:hAnsi="仿宋" w:eastAsia="仿宋" w:cs="仿宋"/>
                <w:color w:val="auto"/>
                <w:kern w:val="0"/>
                <w:szCs w:val="21"/>
              </w:rPr>
              <w:t>）</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10爆破</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涉及爆破作业的矿山，采用先进、安全、高效、经济、环保的爆破工艺，通过优化爆破参数、爆破方式等手段，控制矿石块度，降低爆破粉尘、冲击波、震动等危害。</w:t>
            </w:r>
            <w:r>
              <w:rPr>
                <w:rFonts w:hint="eastAsia" w:ascii="仿宋" w:hAnsi="仿宋" w:eastAsia="仿宋" w:cs="仿宋"/>
                <w:color w:val="auto"/>
                <w:kern w:val="0"/>
                <w:szCs w:val="21"/>
              </w:rPr>
              <w:t>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查现场、查资料</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11开采回采率</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开采回采率达到或高于开发利用方案设计指标，且不低于自然资源部公告发布的最低指标要求。符合得2分。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（二）开采工作面（4分）</w:t>
            </w: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12质量要求</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露</w:t>
            </w:r>
            <w:r>
              <w:rPr>
                <w:rFonts w:hint="eastAsia" w:ascii="仿宋" w:hAnsi="仿宋" w:eastAsia="仿宋" w:cs="仿宋"/>
                <w:color w:val="auto"/>
                <w:kern w:val="0"/>
                <w:szCs w:val="21"/>
                <w:lang w:bidi="ar"/>
              </w:rPr>
              <w:t>天开采：</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①作业平台干净，保持平整、通畅，无杂物、无积水，工作台阶与非工作台阶坡面无危岩，得2分；</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②非工作台阶滚落物及时清理，并在安全隐患位置设置警戒线或安全警示牌，得2分。</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★地下开采：</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①地下开采矿山工作面安全出口畅通，满足通风、运输、行人、设备安装、检修的需要，支护完好，得2分；</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②工作面无较大面积积水、无浮碴、无杂物，材料堆放整齐，得2分。</w:t>
            </w:r>
          </w:p>
          <w:p>
            <w:pPr>
              <w:widowControl/>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（兼备地下和露天开采的，以现阶段主要开采方式选择其一进行评分，分数不累加）</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36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lang w:bidi="ar"/>
              </w:rPr>
              <w:t>三、综合利用</w:t>
            </w:r>
            <w:r>
              <w:rPr>
                <w:rFonts w:hint="eastAsia" w:ascii="仿宋" w:hAnsi="仿宋" w:eastAsia="仿宋" w:cs="仿宋"/>
                <w:color w:val="auto"/>
                <w:kern w:val="0"/>
                <w:szCs w:val="21"/>
              </w:rPr>
              <w:t>（9项，19分）</w:t>
            </w: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（一）选矿回收（4分）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13选矿加工工艺</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石墨、萤石、重晶石等涉及选矿作业的矿山，选矿工艺符合设计规范，不得使用国家规定的限制类和淘汰类技术、工艺和装备，加强分级、除杂、分质等。符合得2分，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矿山选矿工艺设计规范</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14选矿回收率</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选矿回收率达到或高于开发利用方案设计指标，且不低于自然资源部公告发布的最低指标要求。符合得2分。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（二）共伴生资源综合利用（10分）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15共伴生资源综合勘查与评价</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对共伴生矿产资源进行综合勘查、综合评价、综合开发，得2分。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vMerge w:val="restart"/>
            <w:tcMar>
              <w:top w:w="12" w:type="dxa"/>
              <w:left w:w="12" w:type="dxa"/>
              <w:right w:w="12" w:type="dxa"/>
            </w:tcMar>
            <w:vAlign w:val="center"/>
          </w:tcPr>
          <w:p>
            <w:pPr>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《矿产资源综合勘查评价规范》（GB/T 25283）、《矿产资源开发利用方案》，《矿产资源开发与恢复治理方案》、自然资源部“三率”指标要求、地方标准要求</w:t>
            </w: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符合环评批复相关要求</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16共伴生矿产综合利用</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按照设计要求选用先进适用、经济合理的工艺技术对具有工业价值的共伴生矿产进行加工处理和综合开发利用，得2分。新建、改扩建矿山，共伴生矿产资源利用工程与主矿产的采选工程同时设计、同时施工、同时投用；不能同时施工或投产的，预留采选工程条件，得1分。</w:t>
            </w:r>
            <w:r>
              <w:rPr>
                <w:rFonts w:hint="eastAsia" w:ascii="仿宋" w:hAnsi="仿宋" w:eastAsia="仿宋" w:cs="仿宋"/>
                <w:color w:val="auto"/>
                <w:kern w:val="0"/>
                <w:szCs w:val="21"/>
              </w:rPr>
              <w:t>对复杂难处理或低品位矿石，采用新工艺降低能耗，或者提高技术经济指标，取得效果并提供证明材料，得1分。</w:t>
            </w:r>
            <w:r>
              <w:rPr>
                <w:rFonts w:hint="eastAsia" w:ascii="仿宋" w:hAnsi="仿宋" w:eastAsia="仿宋" w:cs="仿宋"/>
                <w:color w:val="auto"/>
                <w:kern w:val="0"/>
                <w:szCs w:val="21"/>
                <w:lang w:bidi="ar"/>
              </w:rPr>
              <w:t>水泥灰岩行业结合水泥生产线多种原料配料的特点，实现开采或加工生产各类产物资源化利用，实现资源分级利用、优质优用，实现高品位矿石与低品位矿石、夹层、顶底板围岩等综合利用，</w:t>
            </w:r>
            <w:r>
              <w:rPr>
                <w:rFonts w:hint="eastAsia" w:ascii="仿宋" w:hAnsi="仿宋" w:eastAsia="仿宋" w:cs="仿宋"/>
                <w:color w:val="auto"/>
                <w:kern w:val="0"/>
                <w:szCs w:val="21"/>
              </w:rPr>
              <w:t>得4分。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861" w:type="pct"/>
            <w:vMerge w:val="continue"/>
            <w:tcMar>
              <w:top w:w="12" w:type="dxa"/>
              <w:left w:w="12" w:type="dxa"/>
              <w:right w:w="12" w:type="dxa"/>
            </w:tcMar>
            <w:vAlign w:val="center"/>
          </w:tcPr>
          <w:p>
            <w:pPr>
              <w:adjustRightInd w:val="0"/>
              <w:snapToGrid w:val="0"/>
              <w:spacing w:line="240" w:lineRule="exact"/>
              <w:textAlignment w:val="center"/>
              <w:rPr>
                <w:rFonts w:ascii="仿宋" w:hAnsi="仿宋" w:eastAsia="仿宋" w:cs="仿宋"/>
                <w:color w:val="auto"/>
                <w:kern w:val="0"/>
                <w:szCs w:val="21"/>
              </w:rPr>
            </w:pP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17共伴生</w:t>
            </w:r>
            <w:r>
              <w:rPr>
                <w:rFonts w:hint="eastAsia" w:ascii="仿宋" w:hAnsi="仿宋" w:eastAsia="仿宋" w:cs="仿宋"/>
                <w:color w:val="auto"/>
                <w:kern w:val="0"/>
                <w:szCs w:val="21"/>
              </w:rPr>
              <w:t>矿产资源综合利用率</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共伴生矿产资源综合利用率符合相关标准要求，</w:t>
            </w:r>
            <w:r>
              <w:rPr>
                <w:rFonts w:hint="eastAsia" w:ascii="仿宋" w:hAnsi="仿宋" w:eastAsia="仿宋" w:cs="仿宋"/>
                <w:color w:val="auto"/>
                <w:kern w:val="0"/>
                <w:szCs w:val="21"/>
              </w:rPr>
              <w:t>得2</w:t>
            </w:r>
            <w:r>
              <w:rPr>
                <w:rFonts w:hint="eastAsia" w:ascii="仿宋" w:hAnsi="仿宋" w:eastAsia="仿宋" w:cs="仿宋"/>
                <w:color w:val="auto"/>
                <w:kern w:val="0"/>
                <w:szCs w:val="21"/>
                <w:lang w:bidi="ar"/>
              </w:rPr>
              <w:t>分</w:t>
            </w:r>
            <w:r>
              <w:rPr>
                <w:rFonts w:hint="eastAsia" w:ascii="仿宋" w:hAnsi="仿宋" w:eastAsia="仿宋" w:cs="仿宋"/>
                <w:color w:val="auto"/>
                <w:kern w:val="0"/>
                <w:szCs w:val="21"/>
              </w:rPr>
              <w:t>。</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p>
        </w:tc>
        <w:tc>
          <w:tcPr>
            <w:tcW w:w="861" w:type="pct"/>
            <w:vMerge w:val="continue"/>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18对暂不能开采利用的矿产</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对暂不能开采利用的共伴生矿产采取保护措施。</w:t>
            </w:r>
            <w:r>
              <w:rPr>
                <w:rFonts w:hint="eastAsia" w:ascii="仿宋" w:hAnsi="仿宋" w:eastAsia="仿宋" w:cs="仿宋"/>
                <w:color w:val="auto"/>
                <w:kern w:val="0"/>
                <w:szCs w:val="21"/>
              </w:rPr>
              <w:t>符合得2分。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《矿产资源开发利用方案》，矿山设计</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（三）固废综合利用（2分）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19固废处置与利用</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按设计要求对废石、尾矿等固体废物进行资源化利用，采用铺路、生产建材、井下充填、治理塌陷区等方式充分利用，减少固体废物积存量和占地面积，满足要求得0.5分；对暂时不利用或不能利用的废石、尾矿分类处置，处置率100%。鼓励从废石、尾矿等固体废弃物中提取有价元素或有用矿物，得0.5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生产报表、销售报表、财务报表等，</w:t>
            </w:r>
            <w:r>
              <w:rPr>
                <w:rFonts w:hint="eastAsia" w:ascii="仿宋" w:hAnsi="仿宋" w:eastAsia="仿宋" w:cs="仿宋"/>
                <w:color w:val="auto"/>
                <w:kern w:val="0"/>
                <w:szCs w:val="21"/>
              </w:rPr>
              <w:t>符合环评批复相关要求</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20土质剥离物的综合利用</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优先采用内排土法，</w:t>
            </w:r>
            <w:bookmarkStart w:id="18" w:name="OLE_LINK4"/>
            <w:r>
              <w:rPr>
                <w:rFonts w:hint="eastAsia" w:ascii="仿宋" w:hAnsi="仿宋" w:eastAsia="仿宋" w:cs="仿宋"/>
                <w:color w:val="auto"/>
                <w:kern w:val="0"/>
                <w:szCs w:val="21"/>
                <w:lang w:bidi="ar"/>
              </w:rPr>
              <w:t>矿山剥离表土按照设计要求，堆存有序，采取措施防止水土流失；表层熟土用于土地复垦、土壤改良、生态修复；</w:t>
            </w:r>
            <w:bookmarkEnd w:id="18"/>
            <w:r>
              <w:rPr>
                <w:rFonts w:hint="eastAsia" w:ascii="仿宋" w:hAnsi="仿宋" w:eastAsia="仿宋" w:cs="仿宋"/>
                <w:color w:val="auto"/>
                <w:kern w:val="0"/>
                <w:szCs w:val="21"/>
                <w:lang w:bidi="ar"/>
              </w:rPr>
              <w:t>水泥灰岩行业将符合要求的土质剥离物用作硅铝质原料或用于土地复垦，</w:t>
            </w:r>
            <w:bookmarkStart w:id="19" w:name="OLE_LINK31"/>
            <w:r>
              <w:rPr>
                <w:rFonts w:hint="eastAsia" w:ascii="仿宋" w:hAnsi="仿宋" w:eastAsia="仿宋" w:cs="仿宋"/>
                <w:color w:val="auto"/>
                <w:kern w:val="0"/>
                <w:szCs w:val="21"/>
                <w:lang w:bidi="ar"/>
              </w:rPr>
              <w:t>其他剥离物用作水泥配料、砂石骨料或其他工程用料。</w:t>
            </w:r>
            <w:bookmarkEnd w:id="19"/>
            <w:r>
              <w:rPr>
                <w:rFonts w:hint="eastAsia" w:ascii="仿宋" w:hAnsi="仿宋" w:eastAsia="仿宋" w:cs="仿宋"/>
                <w:color w:val="auto"/>
                <w:kern w:val="0"/>
                <w:szCs w:val="21"/>
                <w:lang w:bidi="ar"/>
              </w:rPr>
              <w:t>符合得1分，一处不符合扣0.2分，扣完为止。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《矿产资源开发与恢复治理方案》</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（四）废水综合利用（3分）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21生产、生活废水综合利用</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配备矿井水、疏干水等开采废水处理设施；采用洁净化、资源化技术和工艺合理处置，处置率达到100%，矿井水优先用于矿山生产用水；建立选矿废水循环处理系统，实现循环利用，选矿废水循环利用率符合设计要求；生活污水处置达标后，用于场地浇灌绿化、洒水降尘或其他综合利用。符合得3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《矿产资源开发利用方案》、矿山设计、生产报表等资料，污水站等环保设施验收资料，污水综合排放标准（GB8978），符合环评批复相关要求</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四、绿色低碳（9项，18分）</w:t>
            </w:r>
          </w:p>
        </w:tc>
        <w:tc>
          <w:tcPr>
            <w:tcW w:w="29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（一）节约集约用地（2分）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22</w:t>
            </w:r>
            <w:r>
              <w:rPr>
                <w:rFonts w:hint="eastAsia" w:ascii="仿宋" w:hAnsi="仿宋" w:eastAsia="仿宋" w:cs="仿宋"/>
                <w:color w:val="auto"/>
                <w:kern w:val="0"/>
                <w:szCs w:val="21"/>
                <w:lang w:bidi="ar"/>
              </w:rPr>
              <w:t>节约集约用地情况</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矿山用地在满足建设、运输生产等要求前提下，综合考虑土地资源、资金、环境等经济技术条件，按照节约集约原则，进行优化配置和科学利用，充分利用荒地、劣地，少占耕地。符合得2分。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《节约集约利用土地规定（2019年修正）》《工业项目用地控制指标》《自然资源部办公厅关于规范开展建设项目节地评价工作的通知》（自然资办发〔2021〕14号）</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36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（二）节能降耗（4分）</w:t>
            </w:r>
          </w:p>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23能源管理体系</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建立矿山生产全过程能耗核算体系或实现生产全过程能耗核算；编制年度能源管理计划。符合得2分，一处不符合扣0.5分，扣完为止。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能耗核算体系文件或台账，能源分析报表</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36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24单位产品能耗</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单位产品能耗达到国家标准或行业标准。以企业近3年能耗等指标均值为依据进行考核，体现节能降耗进步要求。符合得2分。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能耗台账、各行业单位产品能源消耗限额、节能评估报告</w:t>
            </w:r>
          </w:p>
        </w:tc>
        <w:tc>
          <w:tcPr>
            <w:tcW w:w="310"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（三）源头预防（4分）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25地下水环境状况</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矿区及周边地下水具备使用功能的，应达到相关标准限值要求；按照相关标准开展地下水污染风险管控，防止地下水污染。符合得2分，一处不符合扣0.5分，扣完为止。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《地下水质量标准》（GB/T 14848）、《污染地块地下水修复和风险管控技术导则》（HJ 25.6）</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26土壤污染源头预防</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山开采区、尾矿库等运营、管理单位应当采取防渗漏等措施，并建设地下水水质监测井进行监测；建设涉及有毒有害物质的设施设备，应设计、建设和安装有关防腐蚀、防泄漏设施和泄漏监测装置，防止有毒有害物质污染土壤和地下水；构筑物及场地防渗要求符合相关标准的规定。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《工矿用地土壤环境管理办法（试行）》、《一般工业固体废物贮存和填埋污染控制标准》（GB 18599）、《尾矿库设计规范》（GB 50863）、危险废物贮存、填埋污染控制标准（GB18597、GB18598）</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（四）废物排放（8分）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27固废排放</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无法实现综合利用的固体废弃物，划分危险废物、一般废物和生活垃圾不同类别，实现分级分类；堆场、尾矿库污染防治设施符合相关法规标准要求；按照国家法律和标准，自行或委托第三方对一般固体废弃物进行处置，委托第三方有资质的单位对危险废物进行处置。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《中华人民共和国固体废物污染环境防治法》《一般工业固体废物贮存和填埋污染控制标准》（GB 18599），危险废物焚烧、贮存、填埋污染控制标准(GB 18484、18597、18598)</w:t>
            </w:r>
          </w:p>
        </w:tc>
        <w:tc>
          <w:tcPr>
            <w:tcW w:w="310" w:type="pct"/>
            <w:vAlign w:val="center"/>
          </w:tcPr>
          <w:p>
            <w:pPr>
              <w:adjustRightInd w:val="0"/>
              <w:snapToGrid w:val="0"/>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28废水排放</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清污管路分别铺设、雨水与污水管路分开设置，实现雨污分流、清污分流；生产废水排放及排污口设置符合相关标准和要求。企业配备生活污水处理系统或接入城镇污水处理管网，生活污水经处理后水质达标排放；工业废水经处理后水质达标排放；尾矿库、排土场等建有雨水截（排）水沟，地表径流水、淋溶水等经沉淀后达标排放或处理回用。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国家水污染物排放标准（GB8978、GB 20426、GB 25465、GB 25466、GB25467、GB25468、GB 26451、GB28661、GB 30770等）以及甘肃省实施的地方水污染物排放标准</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29废气排放</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在开采、加工、运输、贮存等环节，采取除尘捕尘、抑尘降尘、净化废气、个体防护等措施，实现达标排放，开采过程中的大气污染物排放应符合国家或地方相应排放标准。凿岩作业采用降尘措施，爆破作业喷雾洒水降尘，生产区配置洒水车定时洒水降尘，配备地面运输车辆洗车台，对出厂车辆进行清洗，外运产品途中苫盖，废石或矿石周转场地、贮存场所具备防扬尘设施。矿区建筑物上无明显积尘，矿区周边植被无明显粉尘覆盖。对矿区粉尘进行定期监测。符合得2分，发现一项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国家大气污染物排放标准（GB 4915、GB 9078、GB 16297、GB 20426、GB 25465、GB 25466、GB 25467、GB 25468、GB 26451、GB 28661、GB 30770、GB 41618等）、企业防尘相关措施、作业场所粉尘清单</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30噪声排放</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对矿区凿岩、破碎和空压等高噪声设备进行降噪处理；配备消声、减振、隔振、个体防护等措施，厂界噪声排放达标。对厂界噪声进行定期监测。符合得2分，一处不符合扣0.5分，扣完为止。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《工业企业厂界环境噪声排放标准》（GB 12348-2008）</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36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五、生态修复与环境治理（5项，20分）</w:t>
            </w:r>
          </w:p>
        </w:tc>
        <w:tc>
          <w:tcPr>
            <w:tcW w:w="29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（一）矿山地质环境治理恢复与土地复垦（8分）</w:t>
            </w: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31矿山地质环境保护与土地复垦方案编制与执行</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得5</w:t>
            </w:r>
            <w:r>
              <w:rPr>
                <w:rFonts w:hint="eastAsia" w:ascii="仿宋" w:hAnsi="仿宋" w:eastAsia="仿宋" w:cs="仿宋"/>
                <w:color w:val="auto"/>
                <w:kern w:val="0"/>
                <w:szCs w:val="21"/>
                <w:lang w:bidi="ar"/>
              </w:rPr>
              <w:t>分，一处不符合扣0.5分，扣完为止。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《矿山地质环境保护与土地复垦方案》及年度计划、《土地复垦质量控制标准》(TD/T 1036) 、《非金属类矿山土地复垦与生态修复技术规范》（DB62/T5034-2024）等标准规范。</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32矿山地质环境治理恢复基金计提使用</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按相关规定及标准足额计提矿山地质环境治理恢复基金并规范使用；基金统筹用于开展矿山地质环境治理恢复和土地复垦；按照《矿山地质环境保护与土地复垦方案》设计进行了年度资金使用。符合得3分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《矿山地质环境保护与土地复垦方案》及年度计划、基金监管政策文件及标准规范，其他证明材料等。</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（二）治理要求（4分）</w:t>
            </w: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33治理效果</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排土场、尾矿库、露天采场、矿区专用道路、矿山工业场地、塌陷区、废石场等区域生态修复符合《矿山地质环境保护与土地复垦方案》要求。落实“边开采、边修复”要求，矿山生态修复能够分区、分期进行的，要分区、分期开展。治理后的各类场地对周边环境不产生污染，与周边自然环境相协调，区域生态功能得到保护和恢复。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《矿山生态环境保护与恢复治理技术规范》（HJ 651）、《土地复垦质量控制标准》(TD/T 1036) 、《非金属类矿山土地复垦与生态修复技术规范》（DB62/T5034-2024）、《生态保护修复成效评估技术指南（试行）》（HJ 1272—2022）、《退化草地修复技术规范》（GB/T 37057），其他文件证明材料</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（三）矿山环境动态监测（4分）</w:t>
            </w: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34动态监测要求</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动态监测体系，对选矿废水、矿井水、尾矿库、排土场、地下水等定期进行环境监测，根据监测结果采取有效保护措施。对地质环境破坏与恢复治理、土地损毁与复垦利用、生态系统破坏（退化）与恢复进行动态监测。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动态监测记录、《矿山土地复垦与生态修复监测评价技术规范》（GB/T 43935-2024）、《非金属类矿山土地复垦与生态修复技术规范》（DB62/T5034-2024）、《草原资源与生态监测技术规程》（NY/T 1233）等相关标准规范或其他证明材料</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（四）环境管理体系（4分）</w:t>
            </w:r>
          </w:p>
        </w:tc>
        <w:tc>
          <w:tcPr>
            <w:tcW w:w="406"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35环境管理体系要求</w:t>
            </w:r>
          </w:p>
        </w:tc>
        <w:tc>
          <w:tcPr>
            <w:tcW w:w="203"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8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环境管理机制，有完善的环境管理制度，得1分；配备了必要的环境管理机构和生态环境保护等专业技术人员，得1分；有环境管理日常监管记录得1分；采取了环境风险防范措施，得1分；获得环境管理体系认证，得4分。</w:t>
            </w:r>
            <w:r>
              <w:rPr>
                <w:rFonts w:hint="eastAsia" w:ascii="仿宋" w:hAnsi="仿宋" w:eastAsia="仿宋" w:cs="仿宋"/>
                <w:color w:val="auto"/>
                <w:kern w:val="0"/>
                <w:szCs w:val="21"/>
                <w:lang w:bidi="ar"/>
              </w:rPr>
              <w:t>累计得分不超过该项总分值。</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ISO环境管理体系认证</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六、科技创新与规范管理（8项，15分）</w:t>
            </w: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（一）科技创新（5分）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36研发及技改投入</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87" w:type="pct"/>
            <w:tcMar>
              <w:top w:w="12" w:type="dxa"/>
              <w:left w:w="12" w:type="dxa"/>
              <w:right w:w="12" w:type="dxa"/>
            </w:tcMa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必要的科技创新制度体系，得1分；大型企业有技术研发队伍，中小企业有相关专业技术人员，得1分；近三年年均研发及技改投入不低于矿山主营业务收入的1.5%，得1分；开展支撑企业主业发展的技术研究，得0.5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生产报表（调度报表）或其他证明材料</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37创新成果</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获得1项发明专利得0.5分，最多得2分；获得1项实用性专利得0.5分，最高得2分；获得省部级及以上奖励得1.5分，厅局级奖励得1分；使用《节地技术和节地模式推荐目录》或最新版《矿产资源节约和综合利用先进适用技术目录》1项，得1分；获得高新技术企业证书，得2分。</w:t>
            </w:r>
            <w:bookmarkStart w:id="20" w:name="OLE_LINK14"/>
            <w:r>
              <w:rPr>
                <w:rFonts w:hint="eastAsia" w:ascii="仿宋" w:hAnsi="仿宋" w:eastAsia="仿宋" w:cs="仿宋"/>
                <w:color w:val="auto"/>
                <w:kern w:val="0"/>
                <w:szCs w:val="21"/>
                <w:lang w:bidi="ar"/>
              </w:rPr>
              <w:t>累计得分不超过该项总分值。</w:t>
            </w:r>
            <w:bookmarkEnd w:id="20"/>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主管部门公告文件，项目立项文件及项目台账</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（二）数字化矿山（5分）</w:t>
            </w: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38</w:t>
            </w:r>
            <w:r>
              <w:rPr>
                <w:rFonts w:hint="eastAsia" w:ascii="仿宋" w:hAnsi="仿宋" w:eastAsia="仿宋" w:cs="仿宋"/>
                <w:color w:val="auto"/>
                <w:kern w:val="0"/>
                <w:szCs w:val="21"/>
                <w:lang w:bidi="ar"/>
              </w:rPr>
              <w:t>集中管控平台</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中央变电所、水泵房、风机站、空压机房、皮带运输等场所固定设施无人值守自动化系统，得1分；建立开采及生产过程主要设备远程控制系统，得1分；有矿山生产远程监控系统，得1分；矿山资源储量数字化模型建设计划，得1分；逐步实现资源储量精准化管理，保障生产高效有序，得1分。</w:t>
            </w:r>
            <w:r>
              <w:rPr>
                <w:rFonts w:hint="eastAsia" w:ascii="仿宋" w:hAnsi="仿宋" w:eastAsia="仿宋" w:cs="仿宋"/>
                <w:color w:val="auto"/>
                <w:kern w:val="0"/>
                <w:szCs w:val="21"/>
              </w:rPr>
              <w:t>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矿山自动化各子系统建设方案</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06"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39智能化应用</w:t>
            </w:r>
          </w:p>
        </w:tc>
        <w:tc>
          <w:tcPr>
            <w:tcW w:w="20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实现矿山采选机械化、自动化，得1分；企业年度计划中有智能矿山建设计划或按照《智能矿山建设规范》（DZ/T 0376-2021）等标准开展智能矿山建设的，得0.5分；已完成智能矿山建设的，得1分。累计得分不超过该项总分值。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企业年度计划书，《智能矿山建设规范》</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restar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（三）规范管理（5分）</w:t>
            </w:r>
          </w:p>
        </w:tc>
        <w:tc>
          <w:tcPr>
            <w:tcW w:w="406"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40企业文化</w:t>
            </w:r>
          </w:p>
        </w:tc>
        <w:tc>
          <w:tcPr>
            <w:tcW w:w="20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查资料、查现场、调查走访</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企业管理文件、自评材料、宣传片、活动证明、认证、证书、调查问卷原始记录等材料</w:t>
            </w:r>
          </w:p>
        </w:tc>
        <w:tc>
          <w:tcPr>
            <w:tcW w:w="310"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spacing w:line="240" w:lineRule="exact"/>
              <w:jc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41企业诚信</w:t>
            </w:r>
          </w:p>
        </w:tc>
        <w:tc>
          <w:tcPr>
            <w:tcW w:w="20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依法纳税，按要求提交储量年报、矿产资源统计基础表，按规定缴存矿业权出让收益。</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61"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税务及相关部门证明</w:t>
            </w:r>
          </w:p>
        </w:tc>
        <w:tc>
          <w:tcPr>
            <w:tcW w:w="310"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42矿地和谐</w:t>
            </w:r>
          </w:p>
        </w:tc>
        <w:tc>
          <w:tcPr>
            <w:tcW w:w="20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职业健康管理制度。建立良好矿地关系，制定和公开申诉回应制度。具有联系机构与人员，及时妥善处理与受采矿活动影响的社区等利益相关者间的纠纷矛盾，维护当地生产、生活相关生态环境。在劳务用工、基础设施、公益募捐、教育医疗支持等一个及以上方面开展帮扶，助力乡村振兴。符合得1分，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查资料、调查走访</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相关文件、票据等证明材料</w:t>
            </w:r>
          </w:p>
        </w:tc>
        <w:tc>
          <w:tcPr>
            <w:tcW w:w="310"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294"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406"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43企业管理</w:t>
            </w:r>
          </w:p>
        </w:tc>
        <w:tc>
          <w:tcPr>
            <w:tcW w:w="20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安全生产标准化管理通过三级及以上达标验收，得0.5分；各类图纸、报表、台帐、档案资料等应齐全、完整、真实，资源储量开采报表真实可靠，采选装备、设备及材料资料清单内容完备，得0.5分；制定突发环境事件的应急预案并开展应急演练，得0.5分；建立绿色矿山管理体系，配备专（兼）职人员，落实绿色矿山建设任务；职工职业技能培训体系和绿色矿山定期培训制度健全，培训计划明确、培训记录完善，绿色矿山建设宣传视频、相关资料完整，得1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企业管理文件</w:t>
            </w:r>
          </w:p>
        </w:tc>
        <w:tc>
          <w:tcPr>
            <w:tcW w:w="310"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1065" w:type="pct"/>
            <w:gridSpan w:val="3"/>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总  分</w:t>
            </w:r>
          </w:p>
        </w:tc>
        <w:tc>
          <w:tcPr>
            <w:tcW w:w="203"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100</w:t>
            </w:r>
          </w:p>
        </w:tc>
        <w:tc>
          <w:tcPr>
            <w:tcW w:w="208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861"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310"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bl>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sectPr>
          <w:pgSz w:w="16838" w:h="11906" w:orient="landscape"/>
          <w:pgMar w:top="1800" w:right="1440" w:bottom="1800" w:left="1440" w:header="851" w:footer="992" w:gutter="0"/>
          <w:cols w:space="425" w:num="1"/>
          <w:docGrid w:type="lines" w:linePitch="312" w:charSpace="0"/>
        </w:sectPr>
      </w:pPr>
    </w:p>
    <w:p>
      <w:pPr>
        <w:adjustRightInd w:val="0"/>
        <w:snapToGrid w:val="0"/>
        <w:jc w:val="center"/>
        <w:outlineLvl w:val="0"/>
        <w:rPr>
          <w:rFonts w:ascii="方正公文小标宋" w:hAnsi="方正公文小标宋" w:eastAsia="方正公文小标宋" w:cs="方正公文小标宋"/>
          <w:bCs/>
          <w:color w:val="auto"/>
          <w:kern w:val="0"/>
          <w:sz w:val="32"/>
          <w:szCs w:val="32"/>
          <w:lang w:bidi="ar"/>
        </w:rPr>
      </w:pPr>
    </w:p>
    <w:p>
      <w:pPr>
        <w:adjustRightInd w:val="0"/>
        <w:snapToGrid w:val="0"/>
        <w:jc w:val="center"/>
        <w:outlineLvl w:val="0"/>
        <w:rPr>
          <w:rFonts w:ascii="方正公文小标宋" w:hAnsi="方正公文小标宋" w:eastAsia="方正公文小标宋" w:cs="方正公文小标宋"/>
          <w:color w:val="auto"/>
          <w:kern w:val="0"/>
          <w:sz w:val="30"/>
          <w:szCs w:val="30"/>
        </w:rPr>
      </w:pPr>
      <w:r>
        <w:rPr>
          <w:rFonts w:hint="eastAsia" w:ascii="方正公文小标宋" w:hAnsi="方正公文小标宋" w:eastAsia="方正公文小标宋" w:cs="方正公文小标宋"/>
          <w:bCs/>
          <w:color w:val="auto"/>
          <w:kern w:val="0"/>
          <w:sz w:val="30"/>
          <w:szCs w:val="30"/>
          <w:lang w:bidi="ar"/>
        </w:rPr>
        <w:t>表4 省级绿色矿山建设评价指标（石油天然气）</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4"/>
        <w:gridCol w:w="7908"/>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636"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先决条件</w:t>
            </w:r>
          </w:p>
        </w:tc>
        <w:tc>
          <w:tcPr>
            <w:tcW w:w="271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要求</w:t>
            </w:r>
          </w:p>
        </w:tc>
        <w:tc>
          <w:tcPr>
            <w:tcW w:w="165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手续齐全，证照合法有效</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《采矿许可证》《安全生产许可证》《营业执照》证照合法有效，依法办理环评、排污许可手续和使用林草地审核同意书，并依法完成竣工环保验收。</w:t>
            </w:r>
          </w:p>
        </w:tc>
        <w:tc>
          <w:tcPr>
            <w:tcW w:w="1652" w:type="pct"/>
            <w:vMerge w:val="restart"/>
            <w:tcMar>
              <w:top w:w="12" w:type="dxa"/>
              <w:left w:w="12" w:type="dxa"/>
              <w:right w:w="12" w:type="dxa"/>
            </w:tcMar>
            <w:vAlign w:val="center"/>
          </w:tcPr>
          <w:p>
            <w:pPr>
              <w:widowControl/>
              <w:spacing w:line="240" w:lineRule="exact"/>
              <w:jc w:val="left"/>
              <w:textAlignment w:val="top"/>
              <w:rPr>
                <w:rFonts w:ascii="仿宋" w:hAnsi="仿宋" w:eastAsia="仿宋" w:cs="仿宋"/>
                <w:color w:val="auto"/>
                <w:kern w:val="0"/>
                <w:szCs w:val="21"/>
                <w:lang w:bidi="ar"/>
              </w:rPr>
            </w:pP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合格      □</w:t>
            </w: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不合格    □</w:t>
            </w:r>
          </w:p>
          <w:p>
            <w:pPr>
              <w:widowControl/>
              <w:spacing w:line="240" w:lineRule="exact"/>
              <w:jc w:val="left"/>
              <w:textAlignment w:val="top"/>
              <w:rPr>
                <w:rFonts w:ascii="仿宋" w:hAnsi="仿宋" w:eastAsia="仿宋" w:cs="仿宋"/>
                <w:color w:val="auto"/>
                <w:kern w:val="0"/>
                <w:szCs w:val="21"/>
              </w:rPr>
            </w:pPr>
          </w:p>
          <w:p>
            <w:pPr>
              <w:widowControl/>
              <w:spacing w:line="240" w:lineRule="exact"/>
              <w:jc w:val="left"/>
              <w:textAlignment w:val="top"/>
              <w:rPr>
                <w:rFonts w:ascii="仿宋" w:hAnsi="仿宋" w:eastAsia="仿宋" w:cs="仿宋"/>
                <w:color w:val="auto"/>
                <w:kern w:val="0"/>
                <w:szCs w:val="21"/>
              </w:rPr>
            </w:pPr>
            <w:r>
              <w:rPr>
                <w:rFonts w:hint="eastAsia" w:ascii="仿宋" w:hAnsi="仿宋" w:eastAsia="仿宋" w:cs="仿宋"/>
                <w:color w:val="auto"/>
                <w:kern w:val="0"/>
                <w:szCs w:val="21"/>
              </w:rPr>
              <w:t>满足所有先决条件方可进行打分评价，其中1条不满足的，即为不合格。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三年内未受行政处罚或已整改到位</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近三年内，未受到自然资源、生态环境和林草等部门行政处罚，或受到处罚在履行期限内已执行到位（出具相关证明材料），且未发生过较大及以上安全生产事故、环境事件的。</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矿业权人异常名录</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矿山要求</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矿山近三年正常运营，且剩余储量可采年限（按储量年度报告）不少于三年。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矿区范围未涉及生态保护红线（国家有规定的除外），符合国土空间规划及规划环评要求。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bl>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5"/>
        <w:gridCol w:w="1038"/>
        <w:gridCol w:w="1012"/>
        <w:gridCol w:w="569"/>
        <w:gridCol w:w="5948"/>
        <w:gridCol w:w="887"/>
        <w:gridCol w:w="2529"/>
        <w:gridCol w:w="1041"/>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blHeader/>
          <w:jc w:val="center"/>
        </w:trPr>
        <w:tc>
          <w:tcPr>
            <w:tcW w:w="365"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一级指标</w:t>
            </w:r>
          </w:p>
        </w:tc>
        <w:tc>
          <w:tcPr>
            <w:tcW w:w="356"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二级指标</w:t>
            </w:r>
          </w:p>
        </w:tc>
        <w:tc>
          <w:tcPr>
            <w:tcW w:w="34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三级指标</w:t>
            </w:r>
          </w:p>
        </w:tc>
        <w:tc>
          <w:tcPr>
            <w:tcW w:w="195"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标准分</w:t>
            </w:r>
          </w:p>
        </w:tc>
        <w:tc>
          <w:tcPr>
            <w:tcW w:w="2039"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评分说明</w:t>
            </w:r>
          </w:p>
        </w:tc>
        <w:tc>
          <w:tcPr>
            <w:tcW w:w="30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考核方法</w:t>
            </w:r>
          </w:p>
        </w:tc>
        <w:tc>
          <w:tcPr>
            <w:tcW w:w="86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依据或标准</w:t>
            </w:r>
          </w:p>
        </w:tc>
        <w:tc>
          <w:tcPr>
            <w:tcW w:w="35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检查记录</w:t>
            </w:r>
          </w:p>
        </w:tc>
        <w:tc>
          <w:tcPr>
            <w:tcW w:w="169"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365"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一、矿区环境(8项，12分)</w:t>
            </w: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（一）矿容矿貌（9分）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1功能分区</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矿区按生产区、管理区、生活区进行功能分区，符合分区要求。符合得2分，管理区、生活区分区不明显扣0.5分，生产区、管理区分区不明显扣1.5分。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矿区总平面布置图或示意图，《工业企业总平面设计规范》（GB 50187）</w:t>
            </w: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2配套设施</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及无废弃建构筑物。符合得2分，</w:t>
            </w:r>
            <w:bookmarkStart w:id="21" w:name="OLE_LINK6"/>
            <w:r>
              <w:rPr>
                <w:rFonts w:hint="eastAsia" w:ascii="仿宋" w:hAnsi="仿宋" w:eastAsia="仿宋" w:cs="仿宋"/>
                <w:color w:val="auto"/>
                <w:kern w:val="0"/>
                <w:szCs w:val="21"/>
              </w:rPr>
              <w:t>一处不符合扣0.5分</w:t>
            </w:r>
            <w:r>
              <w:rPr>
                <w:rFonts w:hint="eastAsia" w:ascii="仿宋" w:hAnsi="仿宋" w:eastAsia="仿宋" w:cs="仿宋"/>
                <w:color w:val="auto"/>
                <w:kern w:val="0"/>
                <w:szCs w:val="21"/>
                <w:lang w:bidi="ar"/>
              </w:rPr>
              <w:t>，扣完为止。</w:t>
            </w:r>
            <w:bookmarkEnd w:id="21"/>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矿区总平面布置图</w:t>
            </w: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3标识标牌</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生产区按要求设置操作提示牌、说明牌、线路示意图牌、安全警示牌、绿色矿山宣传等各类标牌，标牌的尺寸、形状、颜色设置应符合规定。符合得1分，一处不符合扣0.5分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《矿山安全标志》</w:t>
            </w: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4主干道路</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矿区主干道路面硬化或固化，路面平整、密实和粗糙度适当，固化道路实施洒水等降尘措施，养护良好。符合得1分，一处不符合扣0.5分，扣完为止。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《厂矿道路设计规范》</w:t>
            </w: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5定置管理</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设备、物资材料规范管理，做到分类分区、摆放有序、堆码整齐。符合得2分，一处不符合扣0.5分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6清洁卫生</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矿区保持清洁卫生，生产区及管理区无垃圾、无杂物乱扔乱放，生产现场管线无跑、冒、滴、漏现象。符合得1分，一处不符合扣0.5分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（二）矿区绿化美化（3分）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7矿区绿化</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矿区可绿化区域实现全覆盖，且无大面积表土裸露。绿化覆盖率达到可绿化面积的100%。符合得2分，一处不符合扣0.5分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可绿化区域是指除采场、建筑覆盖区、硬化地面等不宜进行绿化区域以外的区域</w:t>
            </w: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8绿化效果</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039"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绿化植物以本土物种为主，搭配合理，与周边环境协调一致，符合当地气候条件。符合得1分，一处不符合扣0.5分，扣完为止。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65"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二、资源开采（3项，16分）</w:t>
            </w:r>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（一）开采活动（10分）</w:t>
            </w: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9开采方式及工艺</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①采用电动钻机及顶驱等钻井装置</w:t>
            </w: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得2分；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②采用优快、控压等钻井技术</w:t>
            </w: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得2分；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③采用环保型钻井液及循环利用技术</w:t>
            </w: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得2分；</w:t>
            </w:r>
          </w:p>
          <w:p>
            <w:pPr>
              <w:spacing w:line="240" w:lineRule="exact"/>
              <w:rPr>
                <w:rFonts w:ascii="仿宋" w:hAnsi="仿宋" w:eastAsia="仿宋" w:cs="仿宋"/>
                <w:color w:val="auto"/>
                <w:szCs w:val="21"/>
              </w:rPr>
            </w:pPr>
            <w:r>
              <w:rPr>
                <w:rFonts w:hint="eastAsia" w:ascii="仿宋" w:hAnsi="仿宋" w:eastAsia="仿宋" w:cs="仿宋"/>
                <w:color w:val="auto"/>
                <w:kern w:val="0"/>
                <w:szCs w:val="21"/>
              </w:rPr>
              <w:t>④及时无害化处置钻井泥浆等钻井废弃物</w:t>
            </w: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得2分。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10原油、天然气采收率</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原油、天然气采收率达到</w:t>
            </w:r>
            <w:r>
              <w:rPr>
                <w:rFonts w:hint="eastAsia" w:ascii="仿宋" w:hAnsi="仿宋" w:eastAsia="仿宋" w:cs="仿宋"/>
                <w:color w:val="auto"/>
                <w:kern w:val="0"/>
                <w:szCs w:val="21"/>
                <w:lang w:bidi="ar"/>
              </w:rPr>
              <w:t>《油气资源合理开发利用“三率”最低指标要求（试行）》及以上，</w:t>
            </w:r>
            <w:r>
              <w:rPr>
                <w:rFonts w:hint="eastAsia" w:ascii="仿宋" w:hAnsi="仿宋" w:eastAsia="仿宋" w:cs="仿宋"/>
                <w:color w:val="auto"/>
                <w:kern w:val="0"/>
                <w:szCs w:val="21"/>
              </w:rPr>
              <w:t>符合得2分。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6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（二）开采工作面（6分）</w:t>
            </w: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11质量要求</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①生产作业场地无明显油污，危险化学物品无泄漏、抛洒，无“跑、冒、滴、漏”及对井场表层土壤造成污染，得2分；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②钻井废弃物不落地，进行集中无害化处理，得2分；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③井场、集输站等生产作业区保持干净平整、通畅，无杂物、无积水，得2分；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365"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lang w:bidi="ar"/>
              </w:rPr>
              <w:t>三、综合利用（</w:t>
            </w:r>
            <w:r>
              <w:rPr>
                <w:rFonts w:hint="eastAsia" w:ascii="仿宋" w:hAnsi="仿宋" w:eastAsia="仿宋" w:cs="仿宋"/>
                <w:color w:val="auto"/>
                <w:kern w:val="0"/>
                <w:szCs w:val="21"/>
              </w:rPr>
              <w:t>9项，19分）</w:t>
            </w: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w:t>
            </w:r>
            <w:r>
              <w:rPr>
                <w:rFonts w:hint="eastAsia" w:ascii="仿宋" w:hAnsi="仿宋" w:eastAsia="仿宋" w:cs="仿宋"/>
                <w:color w:val="auto"/>
                <w:kern w:val="0"/>
                <w:szCs w:val="21"/>
                <w:lang w:bidi="ar"/>
              </w:rPr>
              <w:t>共伴生资源综合利用（10分）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12共伴生资源综合勘查与评价</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对共伴生资源进行综合勘查与综合评价，得2分。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《矿产资源综合勘查评价规范》（GB/T 25283）、《矿产资源开发利用方案》</w:t>
            </w: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13共伴生矿产资源综合利用</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对伴生二氧化碳或硫化氢气体的油气藏，当伴生气体含量未达到工业综合利用要求的，采取有效处置措施；伴生的锂、钾、铀、氦能达到工业生产要求的进行综合开发利用。符合得2分，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67" w:type="pct"/>
            <w:vMerge w:val="restar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《矿产资源开发利用方案》</w:t>
            </w:r>
            <w:r>
              <w:rPr>
                <w:rFonts w:hint="eastAsia" w:ascii="仿宋" w:hAnsi="仿宋" w:eastAsia="仿宋" w:cs="仿宋"/>
                <w:color w:val="auto"/>
                <w:kern w:val="0"/>
                <w:szCs w:val="21"/>
              </w:rPr>
              <w:t>、自然资源部“三率”指标要求、地方标准要求</w:t>
            </w: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14油藏伴生气综合利用</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中高渗透油藏伴生气综合利用率不低于90%，低渗透-特低渗透油藏伴生气综合利用率不低于70%，得2分。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vMerge w:val="continue"/>
            <w:tcMar>
              <w:top w:w="12" w:type="dxa"/>
              <w:left w:w="12" w:type="dxa"/>
              <w:right w:w="12" w:type="dxa"/>
            </w:tcMar>
            <w:vAlign w:val="center"/>
          </w:tcPr>
          <w:p>
            <w:pPr>
              <w:adjustRightInd w:val="0"/>
              <w:snapToGrid w:val="0"/>
              <w:spacing w:line="240" w:lineRule="exact"/>
              <w:jc w:val="left"/>
              <w:textAlignment w:val="center"/>
              <w:rPr>
                <w:rFonts w:ascii="仿宋" w:hAnsi="仿宋" w:eastAsia="仿宋" w:cs="仿宋"/>
                <w:color w:val="auto"/>
                <w:kern w:val="0"/>
                <w:szCs w:val="21"/>
              </w:rPr>
            </w:pP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15凝析油综合利用率</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与甲烷气伴生的凝析油综合利用率不低于95%，得2分。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867" w:type="pct"/>
            <w:vMerge w:val="continue"/>
            <w:tcMar>
              <w:top w:w="12" w:type="dxa"/>
              <w:left w:w="12" w:type="dxa"/>
              <w:right w:w="12" w:type="dxa"/>
            </w:tcMar>
            <w:vAlign w:val="center"/>
          </w:tcPr>
          <w:p>
            <w:pPr>
              <w:adjustRightInd w:val="0"/>
              <w:snapToGrid w:val="0"/>
              <w:spacing w:line="240" w:lineRule="exact"/>
              <w:jc w:val="left"/>
              <w:textAlignment w:val="center"/>
              <w:rPr>
                <w:rFonts w:ascii="仿宋" w:hAnsi="仿宋" w:eastAsia="仿宋" w:cs="仿宋"/>
                <w:color w:val="auto"/>
                <w:kern w:val="0"/>
                <w:szCs w:val="21"/>
              </w:rPr>
            </w:pP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16采收率</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采收率指标达到《油气资源合理开发利用“三率”最低指标要求（试行）》及以上</w:t>
            </w:r>
            <w:bookmarkStart w:id="22" w:name="OLE_LINK3"/>
            <w:r>
              <w:rPr>
                <w:rFonts w:hint="eastAsia" w:ascii="仿宋" w:hAnsi="仿宋" w:eastAsia="仿宋" w:cs="仿宋"/>
                <w:color w:val="auto"/>
                <w:kern w:val="0"/>
                <w:szCs w:val="21"/>
              </w:rPr>
              <w:t>，得2分</w:t>
            </w:r>
            <w:bookmarkEnd w:id="22"/>
            <w:r>
              <w:rPr>
                <w:rFonts w:hint="eastAsia" w:ascii="仿宋" w:hAnsi="仿宋" w:eastAsia="仿宋" w:cs="仿宋"/>
                <w:color w:val="auto"/>
                <w:kern w:val="0"/>
                <w:szCs w:val="21"/>
              </w:rPr>
              <w:t>。</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p>
        </w:tc>
        <w:tc>
          <w:tcPr>
            <w:tcW w:w="867" w:type="pct"/>
            <w:vMerge w:val="continue"/>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bookmarkStart w:id="23" w:name="_Hlk183162463"/>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二</w:t>
            </w:r>
            <w:r>
              <w:rPr>
                <w:rFonts w:hint="eastAsia" w:ascii="仿宋" w:hAnsi="仿宋" w:eastAsia="仿宋" w:cs="仿宋"/>
                <w:color w:val="auto"/>
                <w:kern w:val="0"/>
                <w:szCs w:val="21"/>
              </w:rPr>
              <w:t>）固废综合利用（4分）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17含油污泥处理</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落地原油及时全部回收。对于含油污泥，具备自行处置能力的单位要采取技术措施进行原油回收处理和利用，处理后固体物含油率低于2%；不具备自行处置能力的单位按照《固体废物污染环境防治法》规定，委托持有危废经营许可证的单位进行定期处置。符合得3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处理记录或台账</w:t>
            </w: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18土质剥离物的综合利用</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矿山剥离表土按照《矿产资源开发与恢复治理方案》要求，堆存有序，采取措施防止水土流失；表层熟土用于土地复垦、土壤改良、生态修复等。符合得1分，一处不符合扣0.5分，扣完为止。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三</w:t>
            </w:r>
            <w:bookmarkStart w:id="30" w:name="_GoBack"/>
            <w:bookmarkEnd w:id="30"/>
            <w:r>
              <w:rPr>
                <w:rFonts w:hint="eastAsia" w:ascii="仿宋" w:hAnsi="仿宋" w:eastAsia="仿宋" w:cs="仿宋"/>
                <w:color w:val="auto"/>
                <w:kern w:val="0"/>
                <w:szCs w:val="21"/>
              </w:rPr>
              <w:t>）废水综合利用（5分）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19生产废水处置与利用</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配备完善的生产废水处理系统，处置率达到100%，得1分；油气生产过程中的采出水处理达标后进行回注等循环利用，得2分。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r>
              <w:rPr>
                <w:rFonts w:hint="eastAsia" w:ascii="仿宋" w:hAnsi="仿宋" w:eastAsia="仿宋" w:cs="仿宋"/>
                <w:color w:val="auto"/>
                <w:kern w:val="0"/>
                <w:szCs w:val="21"/>
                <w:lang w:bidi="ar"/>
              </w:rPr>
              <w:t>《矿产资源开发利用方案》、矿山设计、生产废水处理台账，污水综合排放标准（GB8978），符合环评批复相关要求</w:t>
            </w: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20生活污水综合利用</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生活污水处置达标后，用于场地浇灌绿化、洒水降尘或其他综合利用，得2分。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四、绿色低碳（9项，18分）</w:t>
            </w: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（一）节约集约用地（2分）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21节约集约用地情况</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节约集约利用土地资源，合理确定站址、场址、管网、路网建设占地规模。矿山用地在满足建设、运输生产等要求前提下，综合考虑土地资源、资金、环境等经济技术条件，按照节约集约原则，进行优化配置和科学利用，充分利用荒地、劣地，少占耕地。</w:t>
            </w:r>
            <w:r>
              <w:rPr>
                <w:rFonts w:hint="eastAsia" w:ascii="仿宋" w:hAnsi="仿宋" w:eastAsia="仿宋" w:cs="仿宋"/>
                <w:color w:val="auto"/>
                <w:kern w:val="0"/>
                <w:szCs w:val="21"/>
                <w:lang w:bidi="ar"/>
              </w:rPr>
              <w:t>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365"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（二）节能降耗（4分）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22能源管理体系</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建立矿山生产全过程能耗核算体系或实现生产全过程能耗核算；编制年度能源管理计划。符合得2分，一处不符合扣0.5分，扣完为止。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能耗核算体系文件或台账，能源分析报表</w:t>
            </w:r>
          </w:p>
        </w:tc>
        <w:tc>
          <w:tcPr>
            <w:tcW w:w="357"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365"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23单位产品能耗</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单位产品能耗符合国家标准。以企业近3年能耗等指标均值为依据进行考核，要体现节能降耗进步要求。符合得2分。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能耗台账、各行业单位产品能源消耗限额、节能评估报告</w:t>
            </w:r>
          </w:p>
        </w:tc>
        <w:tc>
          <w:tcPr>
            <w:tcW w:w="357"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（三）源头预防（4分）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24地下水环境状况</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矿区及周边具备使用功能的地下水，应达到相关标准限值要求；按照相关标准开展地下水污染风险管控，防止地下水污染。符合得2分，一处不符合扣0.5分，扣完为止。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《地下水质量标准》（GB/T 14848）、《污染地块地下水修复和风险管控技术导则》（HJ 25.6）</w:t>
            </w:r>
          </w:p>
        </w:tc>
        <w:tc>
          <w:tcPr>
            <w:tcW w:w="35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25土壤污染源头预防</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过程中采取防渗漏等措施，并建设地下水水质监测井进行监测；建设涉及有毒有害物质的设施设备，应设计、建设和安装有关防腐蚀、防泄漏设施和泄漏监测装置，防止有毒有害物质污染土壤和地下水；构筑物及场地防渗要求符合相关标准的规定。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vMerge w:val="restar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《中华人民共和国固体废物污染环境防治法》、《工矿用地土壤环境管理办法（试行）》、《一般工业固体废物贮存和填埋污染控制标准》（GB 18599）、《尾矿库设计规范》（GB 50863）、危险废物焚烧、贮存、填埋污染控制标准(GB 18484、18597、18598)</w:t>
            </w:r>
          </w:p>
        </w:tc>
        <w:tc>
          <w:tcPr>
            <w:tcW w:w="35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（四）废物排放（8分）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26固废排放</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无法实现综合利用的固体废弃物，划分危险废物、一般废物和生活垃圾不同类别，实现分级分类管控处置；按照国家法律和标准，自行或委托第三方对一般固体废弃物进行处置，委托第三方有资质的单位对危险废物进行处置。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vMerge w:val="continue"/>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357" w:type="pct"/>
            <w:vAlign w:val="center"/>
          </w:tcPr>
          <w:p>
            <w:pPr>
              <w:adjustRightInd w:val="0"/>
              <w:snapToGrid w:val="0"/>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27废水排放</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清污管路分别铺设、雨水与污水管路分开设置，实现雨污分流、清污分流；</w:t>
            </w:r>
            <w:r>
              <w:rPr>
                <w:rFonts w:hint="eastAsia" w:ascii="仿宋" w:hAnsi="仿宋" w:eastAsia="仿宋" w:cs="仿宋"/>
                <w:color w:val="auto"/>
                <w:kern w:val="0"/>
                <w:szCs w:val="21"/>
                <w:lang w:bidi="ar"/>
              </w:rPr>
              <w:t>生产废水排放及排污口设置符合相关标准和要求。企业配备生活污水处理系统或接入城镇污水处理管网，</w:t>
            </w:r>
            <w:r>
              <w:rPr>
                <w:rFonts w:hint="eastAsia" w:ascii="仿宋" w:hAnsi="仿宋" w:eastAsia="仿宋" w:cs="仿宋"/>
                <w:color w:val="auto"/>
                <w:kern w:val="0"/>
                <w:szCs w:val="21"/>
              </w:rPr>
              <w:t>生活污水经处理后水质达标排放；工业废水经处理后水质达标排放；场站区、排土场建有雨水截（排）水沟，并建设沉淀池及取水设备，地表径流水、淋溶水等经沉淀后达标排放或处理回用。符合得2分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lang w:bidi="ar"/>
              </w:rPr>
            </w:pPr>
            <w:r>
              <w:rPr>
                <w:rFonts w:hint="eastAsia" w:ascii="仿宋" w:hAnsi="仿宋" w:eastAsia="仿宋" w:cs="仿宋"/>
                <w:color w:val="auto"/>
                <w:kern w:val="0"/>
                <w:szCs w:val="21"/>
                <w:lang w:bidi="ar"/>
              </w:rPr>
              <w:t>国家水污染物排放标准（GB8978、GB 20426、GB 25465、GB 25466、GB25467、GB25468、GB 26451、GB28661、GB 30770等）以及甘肃省实施的地方水污染物排放标准</w:t>
            </w:r>
          </w:p>
        </w:tc>
        <w:tc>
          <w:tcPr>
            <w:tcW w:w="35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28废气排放</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在开采、加工、运输、贮存等环节，采取废气净化措施，实现达标排放，开采过程中的大气污染物排放应符合国家或地方相应排放标准。生产区配置洒水车定时洒水降尘，配备地面运输车辆洗车台，对出厂车辆进行清洗。矿区建筑物上无明显积尘，矿区周边植被无明显粉尘覆盖。对矿区粉尘进行定期监测。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国家大气污染物排放标准（GB 4915、GB 9078、GB 16297、GB 20426、GB 25465、GB 25466、GB 25467、GB 25468、GB 26451、GB 28661、GB 30770、GB 41618等）、企业防尘相关措施、作业场所粉尘清单</w:t>
            </w:r>
          </w:p>
        </w:tc>
        <w:tc>
          <w:tcPr>
            <w:tcW w:w="35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29噪声排放</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山有主要产生噪音场所的清单。油气站场应采用合理有效的技术措施对高噪音设备进行降噪处理，对接触有害岗位人员配备耳罩、耳塞等防护用品。对厂界噪声采取降噪与管控、并进行定期监测。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《工业企业厂界环境噪声排放标准》（GB 12348-2008）</w:t>
            </w:r>
          </w:p>
        </w:tc>
        <w:tc>
          <w:tcPr>
            <w:tcW w:w="357"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jc w:val="center"/>
        </w:trPr>
        <w:tc>
          <w:tcPr>
            <w:tcW w:w="365"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五、生态修复与环境治理（5项，20分）</w:t>
            </w:r>
          </w:p>
        </w:tc>
        <w:tc>
          <w:tcPr>
            <w:tcW w:w="356"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（一）油田地质环境治理恢复与土地复垦（8分）</w:t>
            </w: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30油田地质环境保护与土地复垦方案编制与执行</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油田地质环境保护与土地复垦方案》已通过审查并在适用期；依据《油田地质环境保护与土地复垦方案》编制了年度计划；执行了年度报告制度；油田地质环境治理恢复、土地复垦质量符合要求；完成了年度或阶段性目标任务并通过阶段验收。符合得5</w:t>
            </w:r>
            <w:r>
              <w:rPr>
                <w:rFonts w:hint="eastAsia" w:ascii="仿宋" w:hAnsi="仿宋" w:eastAsia="仿宋" w:cs="仿宋"/>
                <w:color w:val="auto"/>
                <w:kern w:val="0"/>
                <w:szCs w:val="21"/>
                <w:lang w:bidi="ar"/>
              </w:rPr>
              <w:t>分，一处不符合扣0.5分，扣完为止。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《油田地质环境保护与土地复垦方案》及年度计划、《土地复垦质量控制标准》(TD/T 1036) 、《石油天然气项目土地复垦与生态修复技术规范》（GB/T 43936-2024）等标准规范。</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31油田地质环境治理恢复基金计提使用</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按相关规定及标准足额计提油田地质环境治理恢复基金并规范使用；基金统筹用于开展油田地质环境治理恢复和土地复垦；按照《矿山地质环境保护与土地复垦方案》设计进行了年度资金使用。符合得3分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《油田地质环境保护与土地复垦方案》及年度计划、基金监管政策文件及标准规范，其他证明材料等。</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（二）治理要求（4分）</w:t>
            </w: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32治理效果</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场站区、矿区专用道路、塌陷区、排土场等区域生态修复符合《油田地质环境保护与土地复垦方案》要求。</w:t>
            </w:r>
            <w:bookmarkStart w:id="24" w:name="OLE_LINK10"/>
            <w:r>
              <w:rPr>
                <w:rFonts w:hint="eastAsia" w:ascii="仿宋" w:hAnsi="仿宋" w:eastAsia="仿宋" w:cs="仿宋"/>
                <w:color w:val="auto"/>
                <w:kern w:val="0"/>
                <w:szCs w:val="21"/>
              </w:rPr>
              <w:t>落实“边开采、边修复”要求，油田生态修复能够分区、分期进行</w:t>
            </w:r>
            <w:bookmarkEnd w:id="24"/>
            <w:r>
              <w:rPr>
                <w:rFonts w:hint="eastAsia" w:ascii="仿宋" w:hAnsi="仿宋" w:eastAsia="仿宋" w:cs="仿宋"/>
                <w:color w:val="auto"/>
                <w:kern w:val="0"/>
                <w:szCs w:val="21"/>
              </w:rPr>
              <w:t>的，要分区、分期开展。治理后的各类场地对周边环境不产生污染，与周边自然环境相协调，区域生态功能得到保护和恢复。符合得4分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《油田生态环境保护与恢复治理技术规范》（HJ 651）、《土地复垦质量控制标准》(TD/T 1036) 、《石油天然气项目土地复垦与生态修复技术规范》（GB/T 43936-2024）、《生态保护修复成效评估技术指南（试行）》（HJ 1272—2022）、《退化草地修复技术规范》（GB/T 37057），其他证明材料</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（三）油田矿山环境动态监测（4分）</w:t>
            </w: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33动态监测要求</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动态监测体系，对地下水、排土场、场站区污染物排放等定期进行环境监测，根据监测结果采取有效保护措施。对地质环境破坏与恢复治理、土地损毁与复垦利用、生态系统破坏（退化）与恢复进行动态监测。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动态监测记录、《矿山土地复垦与生态修复监测评价技术规范》（GB/T 43935-2024）、《石油天然气项目土地复垦与生态修复技术规范》（GB/T 43936-2024）、《草原资源与生态监测技术规程》（NY/T 1233）等相关标准规范或其他证明材料</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（四）环境管理体系（4分）</w:t>
            </w:r>
          </w:p>
        </w:tc>
        <w:tc>
          <w:tcPr>
            <w:tcW w:w="34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34环境管理体系要求</w:t>
            </w:r>
          </w:p>
        </w:tc>
        <w:tc>
          <w:tcPr>
            <w:tcW w:w="1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2039"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环境管理机制，有完善的环境管理制度，得1分；配备了必要的环境管理机构和生态环境保护等专业技术人员，得1分；有环境管理日常监管记录得1分；采取了环境风险防范措施，得1分；获得环境管理体系认证，得4分。</w:t>
            </w:r>
            <w:r>
              <w:rPr>
                <w:rFonts w:hint="eastAsia" w:ascii="仿宋" w:hAnsi="仿宋" w:eastAsia="仿宋" w:cs="仿宋"/>
                <w:color w:val="auto"/>
                <w:kern w:val="0"/>
                <w:szCs w:val="21"/>
                <w:lang w:bidi="ar"/>
              </w:rPr>
              <w:t>累计得分不超过该项总分值。</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ISO环境管理体系认证</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5"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六、科技创新与规范管理（8项，15分）</w:t>
            </w: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（一）科技创新（5分）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35研发及技改投入</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39"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必要的科技创新制度体系，得1分；具有技术研发队伍和专业技术人员，得0.5分；近三年年均研发及技改投入不低于油田主营业务收入的1.5%，得1分；加强风能、太阳能等新能源的综合利用，得1分；开展支撑企业主业发展的技术研究，得0.5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生产报表（调度报表）、科技投入证明或其他证明材料</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36创新成果</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获得1项发明专利得0.5分，最多得2分；获得1项实用性专利得0.5分，最高得2分；获得省部级及以上奖励得1.5分，厅局级奖励得1分；使用或入选《节地技术和节地模式推荐目录》或最新版《矿产资源节约和综合利用先进适用技术目录》1项，得1分；获得高新技术企业证书，得2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主管部门公告文件，项目立项文件及项目台账</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（二）数字化油田（5分）</w:t>
            </w: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37</w:t>
            </w:r>
            <w:r>
              <w:rPr>
                <w:rFonts w:hint="eastAsia" w:ascii="仿宋" w:hAnsi="仿宋" w:eastAsia="仿宋" w:cs="仿宋"/>
                <w:color w:val="auto"/>
                <w:kern w:val="0"/>
                <w:szCs w:val="21"/>
                <w:lang w:bidi="ar"/>
              </w:rPr>
              <w:t>集中管控平台</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w:t>
            </w:r>
          </w:p>
        </w:tc>
        <w:tc>
          <w:tcPr>
            <w:tcW w:w="203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场站区监控系统，实时采集流量、压力、液位、可燃气体浓度等信息，进行系统化实时监控管理。分级建立监控平台，达到油气生产、计量、集输与处理等主要环节自动化、数字化远程监控管理。构建油田自动化集中管控平台，将自动控制系统、远程监控系统、储量管理系统、各种监测系统等集中统一管理，得1.5分；探索开展油田资源储量数字化模型建设，得1.5分。具有油田资源储量数字化模型，得2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油田自动化集中管控系统平台建设方案</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4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38智能化应用</w:t>
            </w:r>
          </w:p>
        </w:tc>
        <w:tc>
          <w:tcPr>
            <w:tcW w:w="195"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已完成智慧油田建设的，得1分；企业年度计划中有智慧油田建设内容，并按计划实施，得1分；按照《智能油田建设规范》（DZ/T 0376-2021）等标准开展建设的，得0.5分；累计得分不超过该项总分值。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企业年度计划书，《智能油田建设规范》</w:t>
            </w:r>
          </w:p>
        </w:tc>
        <w:tc>
          <w:tcPr>
            <w:tcW w:w="357"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restar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（三）规范管理（5分）</w:t>
            </w:r>
          </w:p>
        </w:tc>
        <w:tc>
          <w:tcPr>
            <w:tcW w:w="347"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39企业文化</w:t>
            </w:r>
          </w:p>
        </w:tc>
        <w:tc>
          <w:tcPr>
            <w:tcW w:w="195"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203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查资料、查现场、调查走访</w:t>
            </w:r>
          </w:p>
        </w:tc>
        <w:tc>
          <w:tcPr>
            <w:tcW w:w="86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企业管理文件、自评材料、宣传片、活动证明、认证、证书、调查问卷原始记录等材料</w:t>
            </w:r>
          </w:p>
        </w:tc>
        <w:tc>
          <w:tcPr>
            <w:tcW w:w="357"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spacing w:line="240" w:lineRule="exact"/>
              <w:jc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40企业诚信</w:t>
            </w:r>
          </w:p>
        </w:tc>
        <w:tc>
          <w:tcPr>
            <w:tcW w:w="195"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3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依法纳税，按要求提交储量年报、矿产资源统计基础表，按规定缴存矿业权出让收益。</w:t>
            </w:r>
            <w:r>
              <w:rPr>
                <w:rFonts w:hint="eastAsia" w:ascii="仿宋" w:hAnsi="仿宋" w:eastAsia="仿宋" w:cs="仿宋"/>
                <w:color w:val="auto"/>
                <w:kern w:val="0"/>
                <w:szCs w:val="21"/>
              </w:rPr>
              <w:t>符合得1分，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867"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税务及相关部门证明</w:t>
            </w:r>
          </w:p>
        </w:tc>
        <w:tc>
          <w:tcPr>
            <w:tcW w:w="357"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41矿地和谐</w:t>
            </w:r>
          </w:p>
        </w:tc>
        <w:tc>
          <w:tcPr>
            <w:tcW w:w="195"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203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职业健康管理制度。建立良好矿地关系，制定和公开申诉回应制度。具有联系机构与人员，及时妥善处理与受采矿活动影响的社区等利益相关者间的纠纷矛盾，维护当地生产、生活相关生态环境。在劳务用工、基础设施、公益募捐、教育医疗支持等一个及以上方面开展帮扶，助力乡村振兴。符合得1分，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查资料、调查走访</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相关文件、票据等证明材料</w:t>
            </w:r>
          </w:p>
        </w:tc>
        <w:tc>
          <w:tcPr>
            <w:tcW w:w="357"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365"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6"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47"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42企业管理</w:t>
            </w:r>
          </w:p>
        </w:tc>
        <w:tc>
          <w:tcPr>
            <w:tcW w:w="195"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2039"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安全生产标准化管理通过三级及以上达标验收，得0.5分；各类图纸、报表、台帐、档案资料等应齐全、完整、真实，资源储量开采报表真实可靠，开采设备及材料资料清单内容完备，得0.5分；制定突发环境事件的应急预案并开展应急演练，得0.5分；建立绿色矿山管理体系，配备专（兼）职人员，落实绿色矿山建设任务；职工职业技能培训体系和绿色矿山定期培训制度健全，培训计划明确、培训记录完善，绿色矿山建设宣传视频、相关资料完整，得1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867"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lang w:bidi="ar"/>
              </w:rPr>
              <w:t>企业管理文件</w:t>
            </w:r>
          </w:p>
        </w:tc>
        <w:tc>
          <w:tcPr>
            <w:tcW w:w="357"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068" w:type="pct"/>
            <w:gridSpan w:val="3"/>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总  分</w:t>
            </w:r>
          </w:p>
        </w:tc>
        <w:tc>
          <w:tcPr>
            <w:tcW w:w="195"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100</w:t>
            </w:r>
          </w:p>
        </w:tc>
        <w:tc>
          <w:tcPr>
            <w:tcW w:w="2039"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04"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86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p>
        </w:tc>
        <w:tc>
          <w:tcPr>
            <w:tcW w:w="357" w:type="pct"/>
            <w:vAlign w:val="center"/>
          </w:tcPr>
          <w:p>
            <w:pPr>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bl>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sectPr>
          <w:pgSz w:w="16838" w:h="11906" w:orient="landscape"/>
          <w:pgMar w:top="1361" w:right="1134" w:bottom="1361" w:left="1134" w:header="851" w:footer="992" w:gutter="0"/>
          <w:cols w:space="425" w:num="1"/>
          <w:docGrid w:type="lines" w:linePitch="312" w:charSpace="0"/>
        </w:sectPr>
      </w:pPr>
    </w:p>
    <w:p>
      <w:pPr>
        <w:adjustRightInd w:val="0"/>
        <w:snapToGrid w:val="0"/>
        <w:jc w:val="center"/>
        <w:outlineLvl w:val="0"/>
        <w:rPr>
          <w:rFonts w:ascii="方正公文小标宋" w:hAnsi="方正公文小标宋" w:eastAsia="方正公文小标宋" w:cs="方正公文小标宋"/>
          <w:color w:val="auto"/>
          <w:kern w:val="0"/>
          <w:sz w:val="30"/>
          <w:szCs w:val="30"/>
        </w:rPr>
      </w:pPr>
      <w:r>
        <w:rPr>
          <w:rFonts w:hint="eastAsia" w:ascii="方正公文小标宋" w:hAnsi="方正公文小标宋" w:eastAsia="方正公文小标宋" w:cs="方正公文小标宋"/>
          <w:bCs/>
          <w:color w:val="auto"/>
          <w:kern w:val="0"/>
          <w:sz w:val="30"/>
          <w:szCs w:val="30"/>
          <w:lang w:bidi="ar"/>
        </w:rPr>
        <w:t>表5 省级绿色矿山建设评价指标（砂石粘土矿）</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7"/>
        <w:gridCol w:w="7576"/>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先决条件</w:t>
            </w:r>
          </w:p>
        </w:tc>
        <w:tc>
          <w:tcPr>
            <w:tcW w:w="271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要求</w:t>
            </w:r>
          </w:p>
        </w:tc>
        <w:tc>
          <w:tcPr>
            <w:tcW w:w="165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手续齐全，证照合法有效</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《采矿许可证》《安全生产许可证》《营业执照》证照合法有效，依法办理环评、排污许可手续和使用林草地审核同意书，并依法完成竣工环保验收。其中，砖瓦用粘土矿山企业无需安全生产许可证。</w:t>
            </w:r>
          </w:p>
        </w:tc>
        <w:tc>
          <w:tcPr>
            <w:tcW w:w="1652" w:type="pct"/>
            <w:vMerge w:val="restart"/>
            <w:tcMar>
              <w:top w:w="12" w:type="dxa"/>
              <w:left w:w="12" w:type="dxa"/>
              <w:right w:w="12" w:type="dxa"/>
            </w:tcMar>
            <w:vAlign w:val="center"/>
          </w:tcPr>
          <w:p>
            <w:pPr>
              <w:widowControl/>
              <w:spacing w:line="240" w:lineRule="exact"/>
              <w:jc w:val="left"/>
              <w:textAlignment w:val="top"/>
              <w:rPr>
                <w:rFonts w:ascii="仿宋" w:hAnsi="仿宋" w:eastAsia="仿宋" w:cs="仿宋"/>
                <w:color w:val="auto"/>
                <w:kern w:val="0"/>
                <w:szCs w:val="21"/>
                <w:lang w:bidi="ar"/>
              </w:rPr>
            </w:pP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合格      □</w:t>
            </w: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不合格    □</w:t>
            </w:r>
          </w:p>
          <w:p>
            <w:pPr>
              <w:widowControl/>
              <w:spacing w:line="240" w:lineRule="exact"/>
              <w:jc w:val="left"/>
              <w:textAlignment w:val="top"/>
              <w:rPr>
                <w:rFonts w:ascii="仿宋" w:hAnsi="仿宋" w:eastAsia="仿宋" w:cs="仿宋"/>
                <w:color w:val="auto"/>
                <w:kern w:val="0"/>
                <w:szCs w:val="21"/>
              </w:rPr>
            </w:pPr>
          </w:p>
          <w:p>
            <w:pPr>
              <w:widowControl/>
              <w:spacing w:line="240" w:lineRule="exact"/>
              <w:jc w:val="left"/>
              <w:textAlignment w:val="top"/>
              <w:rPr>
                <w:rFonts w:ascii="仿宋" w:hAnsi="仿宋" w:eastAsia="仿宋" w:cs="仿宋"/>
                <w:color w:val="auto"/>
                <w:kern w:val="0"/>
                <w:szCs w:val="21"/>
              </w:rPr>
            </w:pPr>
            <w:r>
              <w:rPr>
                <w:rFonts w:hint="eastAsia" w:ascii="仿宋" w:hAnsi="仿宋" w:eastAsia="仿宋" w:cs="仿宋"/>
                <w:color w:val="auto"/>
                <w:kern w:val="0"/>
                <w:szCs w:val="21"/>
              </w:rPr>
              <w:t>满足所有先决条件方可进行打分评价，其中1条不满足的，即为不合格。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三年内未受行政处罚或已整改到位</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近三年内，未受到自然资源、生态环境和林草等部门行政处罚，或受到处罚在履行期限内已执行到位（出具相关证明材料），且未发生过较大及以上安全生产事故、环境事件的。</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矿业权人异常名录</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矿山要求</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矿山近三年正常运营，且剩余储量可采年限（按储量年度报告）不少于三年。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矿区范围未涉及生态保护红线（国家有规定的除外），符合国土空间规划及规划环评要求。</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bl>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0"/>
        <w:gridCol w:w="1040"/>
        <w:gridCol w:w="1247"/>
        <w:gridCol w:w="565"/>
        <w:gridCol w:w="5405"/>
        <w:gridCol w:w="850"/>
        <w:gridCol w:w="2782"/>
        <w:gridCol w:w="639"/>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blHeader/>
          <w:jc w:val="center"/>
        </w:trPr>
        <w:tc>
          <w:tcPr>
            <w:tcW w:w="34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一级指标</w:t>
            </w:r>
          </w:p>
        </w:tc>
        <w:tc>
          <w:tcPr>
            <w:tcW w:w="372"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二级指标</w:t>
            </w:r>
          </w:p>
        </w:tc>
        <w:tc>
          <w:tcPr>
            <w:tcW w:w="445"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三级指标</w:t>
            </w:r>
          </w:p>
        </w:tc>
        <w:tc>
          <w:tcPr>
            <w:tcW w:w="202"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标准分</w:t>
            </w:r>
          </w:p>
        </w:tc>
        <w:tc>
          <w:tcPr>
            <w:tcW w:w="1933"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评分说明</w:t>
            </w:r>
          </w:p>
        </w:tc>
        <w:tc>
          <w:tcPr>
            <w:tcW w:w="30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考核</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方法</w:t>
            </w:r>
          </w:p>
        </w:tc>
        <w:tc>
          <w:tcPr>
            <w:tcW w:w="995"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依据或标准</w:t>
            </w:r>
          </w:p>
        </w:tc>
        <w:tc>
          <w:tcPr>
            <w:tcW w:w="228"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检查</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记录</w:t>
            </w:r>
          </w:p>
        </w:tc>
        <w:tc>
          <w:tcPr>
            <w:tcW w:w="170"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34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一、矿区环境(8项，12分)</w:t>
            </w:r>
          </w:p>
        </w:tc>
        <w:tc>
          <w:tcPr>
            <w:tcW w:w="372"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（一）矿容矿貌（10分）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1功能分区</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矿区按生产区、管理区、生活区进行功能分区，符合分区要求。符合得2分，管理区、生活区分区不明显扣0.5分，生产区、管理区分区不明显扣1.5分。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矿区总平面布置图或示意图，《工业企业总平面设计规范》（GB 50187）</w:t>
            </w: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2配套设施</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具有相应管理机构和制度、运行有序、管理规范；矿区地面运输、供水、供电等配套设施齐全并正常运行；宿舍、食堂、澡堂、厕所等设施配备齐全，干净整洁、管理规范。矿区建筑、构筑物及时维护、维修或粉刷，生产区、管理区、生活区的所有场所不存在私搭乱建临时建筑及无废弃建构筑物。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矿区总平面布置图</w:t>
            </w: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3标识标牌</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生产区按要求设置操作提示牌、说明牌、线路示意图牌、安全警示牌、绿色矿山宣传等各类标牌，标牌的尺寸、形状、颜色设置应符合规定。符合得1分，一处不符合扣0.2分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《矿山安全标志》</w:t>
            </w: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4主干道路</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矿区主干道路面硬化或固化，路面平整、密实和粗糙度适当，固化道路实施洒水等降尘措施，养护良好。符合得1分，一处不符合扣0.5分，扣完为止。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《厂矿道路设计规范》</w:t>
            </w: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5定置管理</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设备、物资材料规范管理，做到分类分区、摆放有序、堆码整齐。符合得1分，一处不符合扣0.5分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6清洁卫生</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矿区保持清洁卫生，生产区及管理区无垃圾、无废石乱扔乱放，生产现场管线无跑、冒、滴、漏现象。符合得1分，一处不符合扣0.5分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7场地边坡</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矿区内生活办公区、工业场地、道路等各类边坡坡面无明显侵蚀、水土流失、扬尘等情形，边坡稳定无滑塌。符合得2分，一处不符合扣0.5分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（二）矿区绿化美化（2分）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8矿区绿化美化</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可绿化区域实现全覆盖，且无大面积表土裸露。绿化覆盖率达到可绿化面积的100%。绿化植物以本土物种为主，搭配合理，与周边环境协调一致，符合当地气候条件。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可绿化区域是指除采场、建筑覆盖区、硬化地面等不宜进行绿化区域以外的区域</w:t>
            </w:r>
          </w:p>
        </w:tc>
        <w:tc>
          <w:tcPr>
            <w:tcW w:w="228"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34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二、资源开采（4项，16分）</w:t>
            </w:r>
          </w:p>
        </w:tc>
        <w:tc>
          <w:tcPr>
            <w:tcW w:w="372"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（一）开采活动（12分）</w:t>
            </w: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9开采方式及工艺</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8</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①采用自上而下分台阶开采，符合开采设计要求，</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②</w:t>
            </w:r>
            <w:r>
              <w:rPr>
                <w:rFonts w:hint="eastAsia" w:ascii="仿宋" w:hAnsi="仿宋" w:eastAsia="仿宋" w:cs="仿宋"/>
                <w:color w:val="auto"/>
                <w:kern w:val="0"/>
                <w:szCs w:val="21"/>
                <w:lang w:bidi="ar"/>
              </w:rPr>
              <w:t>未使用国家限制和淘汰类技术、材料、设备，得2分。</w:t>
            </w:r>
          </w:p>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③坚持采剥并举、剥离先行的原则，优化开采布局，选择合理工艺，科学制定开采计划，尽量减少对地表的破坏，</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2分。</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④</w:t>
            </w:r>
            <w:r>
              <w:rPr>
                <w:rFonts w:hint="eastAsia" w:ascii="仿宋" w:hAnsi="仿宋" w:eastAsia="仿宋" w:cs="仿宋"/>
                <w:color w:val="auto"/>
                <w:kern w:val="0"/>
                <w:szCs w:val="21"/>
              </w:rPr>
              <w:t>干法生产配备高效除尘设备，并保持与生产设备同步运行；湿法生产配置泥粉和水分离、废水处理和循环使用系统，</w:t>
            </w:r>
            <w:r>
              <w:rPr>
                <w:rFonts w:hint="eastAsia" w:ascii="仿宋" w:hAnsi="仿宋" w:eastAsia="仿宋" w:cs="仿宋"/>
                <w:color w:val="auto"/>
                <w:kern w:val="0"/>
                <w:szCs w:val="21"/>
                <w:lang w:bidi="ar"/>
              </w:rPr>
              <w:t>得</w:t>
            </w:r>
            <w:r>
              <w:rPr>
                <w:rFonts w:hint="eastAsia" w:ascii="仿宋" w:hAnsi="仿宋" w:eastAsia="仿宋" w:cs="仿宋"/>
                <w:color w:val="auto"/>
                <w:kern w:val="0"/>
                <w:szCs w:val="21"/>
              </w:rPr>
              <w:t>2分。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22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10爆破</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涉及爆破作业的矿山，采用先进、安全、高效、经济、环保的爆破工艺，通过优化爆破参数、爆破方式等手段，控制矿石块度，降低爆破粉尘、冲击波、震动等危害。</w:t>
            </w:r>
            <w:r>
              <w:rPr>
                <w:rFonts w:hint="eastAsia" w:ascii="仿宋" w:hAnsi="仿宋" w:eastAsia="仿宋" w:cs="仿宋"/>
                <w:color w:val="auto"/>
                <w:kern w:val="0"/>
                <w:szCs w:val="21"/>
              </w:rPr>
              <w:t>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查现场、查资料</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22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11开采回采率</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开采回采率达到或高于开发利用方案设计指标，且不低于自然资源部公告发布的最低指标要求。符合得2分。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22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（二）开采工作面（4分）</w:t>
            </w: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12质量要求</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①作业平台干净，保持平整、通畅，无杂物、无积水，工作台阶与非工作台阶坡面无危岩，得2分；</w:t>
            </w:r>
          </w:p>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②非工作台阶滚落物及时清理，并在安全隐患位置设置警戒线或安全警示牌，得2分。</w:t>
            </w:r>
          </w:p>
          <w:p>
            <w:pPr>
              <w:widowControl/>
              <w:spacing w:line="240" w:lineRule="exact"/>
              <w:textAlignment w:val="center"/>
              <w:rPr>
                <w:rFonts w:ascii="仿宋" w:hAnsi="仿宋" w:eastAsia="仿宋" w:cs="仿宋"/>
                <w:color w:val="auto"/>
                <w:kern w:val="0"/>
                <w:szCs w:val="21"/>
              </w:rPr>
            </w:pP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228"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7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34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lang w:bidi="ar"/>
              </w:rPr>
              <w:t>三、综合利用</w:t>
            </w:r>
            <w:r>
              <w:rPr>
                <w:rFonts w:hint="eastAsia" w:ascii="仿宋" w:hAnsi="仿宋" w:eastAsia="仿宋" w:cs="仿宋"/>
                <w:color w:val="auto"/>
                <w:kern w:val="0"/>
                <w:szCs w:val="21"/>
              </w:rPr>
              <w:t>（4项，19分）</w:t>
            </w:r>
          </w:p>
        </w:tc>
        <w:tc>
          <w:tcPr>
            <w:tcW w:w="372"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w:t>
            </w:r>
            <w:r>
              <w:rPr>
                <w:rFonts w:hint="eastAsia" w:ascii="仿宋" w:hAnsi="仿宋" w:eastAsia="仿宋" w:cs="仿宋"/>
                <w:color w:val="auto"/>
                <w:kern w:val="0"/>
                <w:szCs w:val="21"/>
                <w:lang w:bidi="ar"/>
              </w:rPr>
              <w:t>固废综合利用</w:t>
            </w:r>
            <w:r>
              <w:rPr>
                <w:rFonts w:hint="eastAsia" w:ascii="仿宋" w:hAnsi="仿宋" w:eastAsia="仿宋" w:cs="仿宋"/>
                <w:color w:val="auto"/>
                <w:kern w:val="0"/>
                <w:szCs w:val="21"/>
              </w:rPr>
              <w:t>（11分）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13</w:t>
            </w:r>
            <w:r>
              <w:rPr>
                <w:rFonts w:hint="eastAsia" w:ascii="仿宋" w:hAnsi="仿宋" w:eastAsia="仿宋" w:cs="仿宋"/>
                <w:color w:val="auto"/>
                <w:kern w:val="0"/>
                <w:szCs w:val="21"/>
                <w:lang w:bidi="ar"/>
              </w:rPr>
              <w:t>开采加工等相关产物综合利用</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按设计要求充分利用石粉、泥粉等矿山开采或加工产物，用于生产水泥、墙体材料、砂浆、环保透水砖等产品或用于土地复垦，提高资源化利用水平。机制砂石要根据原料品质分级利用砂石资源，做到优质优用，提高砂石产品的成品率。符合得6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开发利用方案</w:t>
            </w:r>
          </w:p>
        </w:tc>
        <w:tc>
          <w:tcPr>
            <w:tcW w:w="228"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14土质剥离物的综合利用</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5</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排土场堆放的剥离表土或筛分后的碴土、废石等，用于环境治理、土地复垦、生态修复等，其他剥离物用作制砖、砂石料加工原料等。符合得5分，一处不符合扣0.5分，扣完为止。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生产报表（调度报表）或其他证明材料，符合环评批复相关要求</w:t>
            </w:r>
          </w:p>
        </w:tc>
        <w:tc>
          <w:tcPr>
            <w:tcW w:w="228"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（二）废水综合利用（8分）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15生产废水处置与利用</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6</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配备完善的生产废水处理系统，得2分；废水经固液分离处理后，清水得到有效循环利用，砂石清水循环利用率达到100%，得4分。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228"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16生活污水综合利用</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生活污水处置达标后，用于场地浇灌绿化，洒水降尘或其他综合利用，得2分。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228"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四、绿色低碳（9项，18分）</w:t>
            </w:r>
          </w:p>
        </w:tc>
        <w:tc>
          <w:tcPr>
            <w:tcW w:w="37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（一）节约集约用地（2分）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r>
              <w:rPr>
                <w:rFonts w:hint="eastAsia" w:ascii="仿宋" w:hAnsi="仿宋" w:eastAsia="仿宋" w:cs="仿宋"/>
                <w:color w:val="auto"/>
                <w:kern w:val="0"/>
                <w:szCs w:val="21"/>
                <w:lang w:bidi="ar"/>
              </w:rPr>
              <w:t>7节约集约用地情况</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矿山用地在满足建设、运输生产等要求前提下，综合考虑土地资源、资金、环境等经济技术条件，按照节约集约原则，进行优化配置和科学利用，充分利用荒地、劣地，少占耕地。符合得2分。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《节约集约利用土地规定（2019年修正）》《工业项目用地控制指标》《自然资源部办公厅关于规范开展建设项目节地评价工作的通知》（自然资办发〔2021〕14号）</w:t>
            </w:r>
          </w:p>
        </w:tc>
        <w:tc>
          <w:tcPr>
            <w:tcW w:w="228"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4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372"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（二）节能降耗（4分）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18能源管理体系</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建立矿山生产全过程能耗核算体系或实现生产全过程能耗核算；编制年度能源管理计划。符合得2分，一处不符合扣0.5分，扣完为止。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能耗核算体系文件或台账，能源分析报表</w:t>
            </w:r>
          </w:p>
        </w:tc>
        <w:tc>
          <w:tcPr>
            <w:tcW w:w="228" w:type="pct"/>
            <w:vAlign w:val="center"/>
          </w:tcPr>
          <w:p>
            <w:pPr>
              <w:adjustRightInd w:val="0"/>
              <w:snapToGrid w:val="0"/>
              <w:spacing w:line="240" w:lineRule="exact"/>
              <w:jc w:val="center"/>
              <w:rPr>
                <w:rFonts w:ascii="仿宋" w:hAnsi="仿宋" w:eastAsia="仿宋" w:cs="仿宋"/>
                <w:color w:val="auto"/>
                <w:kern w:val="0"/>
                <w:szCs w:val="21"/>
              </w:rPr>
            </w:pPr>
          </w:p>
        </w:tc>
        <w:tc>
          <w:tcPr>
            <w:tcW w:w="170"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34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7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19单位产品能耗</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以企业近3年能耗等指标均值为依据进行考核，体现节能降耗进步要求。符合得2分。一处不符合扣0.5分，扣完为止。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能耗台账、各行业单位产品能源消耗限额、节能评估报告</w:t>
            </w:r>
          </w:p>
        </w:tc>
        <w:tc>
          <w:tcPr>
            <w:tcW w:w="228"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（三）源头预防（4分）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20地下水环境状况</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矿区及周边地下水具备使用功能的，应达到相关标准限值要求；按照相关标准开展地下水污染风险管控，防止地下水污染。符合得2分，一处不符合扣0.5分，扣完为止。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《地下水质量标准》（GB/T 14848）、《污染地块地下水修复和风险管控技术导则》（HJ 25.6）</w:t>
            </w:r>
          </w:p>
        </w:tc>
        <w:tc>
          <w:tcPr>
            <w:tcW w:w="228"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21土壤污染源头预防</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山开采区、生产区等应建设地下水水质监测井进行监测；建设涉及有毒有害物质的设施设备，应设计、建设和安装有关防腐蚀、防泄漏设施和泄漏监测装置，防止有毒有害物质污染土壤和地下水；构筑物及场地防渗要求符合相关标准的规定。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《工矿用地土壤环境管理办法（试行）》、《一般工业固体废物贮存和填埋污染控制标准》（GB 18599）、《尾矿库设计规范》（GB 50863）、危险废物贮存、填埋污染控制标准（GB 18597、GB 18598）</w:t>
            </w:r>
          </w:p>
        </w:tc>
        <w:tc>
          <w:tcPr>
            <w:tcW w:w="228"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（四）废物排放（8分）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22固废排放</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无法实现综合利用的固体废弃物，划分危险废物（设备运行和维护的废机油、运卸车辆维护用油）、一般废物（碴土、废石、不合格产品）和生活垃圾不同类别，实现分级分类；按照国家法律和标准，自行或委托第三方对一般固体废弃物进行处置，委托第三方有资质的单位对危险废物进行处置，处置率100%。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《中华人民共和国固体废物污染环境防治法》《一般工业固体废物贮存和填埋污染控制标准》（GB18599），危险废物焚烧、贮存、填埋污染控制标准(GB 18484、18597、18598)</w:t>
            </w:r>
          </w:p>
        </w:tc>
        <w:tc>
          <w:tcPr>
            <w:tcW w:w="228" w:type="pct"/>
            <w:vAlign w:val="center"/>
          </w:tcPr>
          <w:p>
            <w:pPr>
              <w:adjustRightInd w:val="0"/>
              <w:snapToGrid w:val="0"/>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23废水排放</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清污管路分别铺设、雨水与污水管路分开设置，实现雨污分流、清污分流；生产废水排放及排污口设置符合相关标准和要求；企业配备生活污水处理系统或接入城镇污水处理管网，生活污水经处理后水质达标排放；工业废水经处理后水质达标排放；排土场建有雨水截（排）水沟，地表径流水、淋溶水等经沉淀后达标排放或处理回用。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国家水污染物排放标准（GB8978、GB 20426、GB 25465、GB 25466、GB25467、GB25468、GB 26451、GB28661、GB 30770 等）以及甘肃省实施的地方水污染物排放标准</w:t>
            </w:r>
          </w:p>
        </w:tc>
        <w:tc>
          <w:tcPr>
            <w:tcW w:w="228"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24废气排放</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在开采、加工、运输、贮存等环节，采取除尘捕尘、抑尘降尘、净化废气、个体防护等措施，实现达标排放，开采过程中的大气污染物排放应符合国家或地方相应排放标准。凿岩作业采用降尘措施，爆破作业喷雾洒水降尘，生产区配置洒水车定时洒水降尘，配备地面运输车辆洗车台，对出厂车辆进行清洗，外运产品途中苫盖，砂石成品贮存场所具备防扬尘设施。矿区建筑物上无明显积尘，矿区周边植被无明显粉尘覆盖。对矿区粉尘进行定期监测。符合得2分，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国家大气污染物排放标准（GB 4915、GB 9078、GB 16297、GB 20426、GB 25465、GB 25466、GB 25467、GB 25468、GB 26451、GB 28661、GB 30770、GB 41618等）、企业防尘相关措施、作业场所粉尘清单，环评相关要求</w:t>
            </w:r>
          </w:p>
        </w:tc>
        <w:tc>
          <w:tcPr>
            <w:tcW w:w="228"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25噪声排放</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对矿区凿岩、破碎和空压等高噪声设备进行降噪处理；配备消声、减振、隔振、个体防护等措施，厂界噪声排放达标。对厂界噪声进行定期监测。符合得2分，一处不符合扣0.5分，扣完为止。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《工业企业厂界环境噪声排放标准》（GB 12348-2008）</w:t>
            </w:r>
          </w:p>
        </w:tc>
        <w:tc>
          <w:tcPr>
            <w:tcW w:w="228"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34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五、生态修复与环境治理（5项，20分）</w:t>
            </w:r>
          </w:p>
        </w:tc>
        <w:tc>
          <w:tcPr>
            <w:tcW w:w="372"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（一）矿山地质环境治理恢复与土地复垦（8分）</w:t>
            </w: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26矿山地质环境保护与土地复垦方案编制与执行</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5</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已通过审查并在适用期；依据《矿山地质环境保护与土地复垦方案》编制了年度计划；执行了年度报告制度；矿山地质环境治理恢复、土地复垦质量符合要求；完成了年度或阶段性目标任务并通过阶段验收。符合得5</w:t>
            </w:r>
            <w:r>
              <w:rPr>
                <w:rFonts w:hint="eastAsia" w:ascii="仿宋" w:hAnsi="仿宋" w:eastAsia="仿宋" w:cs="仿宋"/>
                <w:color w:val="auto"/>
                <w:kern w:val="0"/>
                <w:szCs w:val="21"/>
                <w:lang w:bidi="ar"/>
              </w:rPr>
              <w:t>分，一处不符合扣0.5分，扣完为止。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《矿山地质环境保护与土地复垦方案》及年度计划、《土地复垦质量控制标准》(TD/T 1036)、《非金属类矿山土地复垦与生态修复技术规范》（DB62/T5034-2024）等标准。</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27矿山地质环境治理恢复基金计提使用</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按相关规定及标准足额计提矿山地质环境治理恢复基金并规范使用；基金统筹用于开展矿山地质环境治理恢复和土地复垦；按照《矿山地质环境保护与土地复垦方案》设计进行了年度资金使用。符合得3分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《矿山地质环境保护与土地复垦方案》及年度计划、基金监管政策文件及标准规范，其他证明材料等。</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（二）治理要求（4分）</w:t>
            </w: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28治理效果</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排土场、露天采场、矿区专用道路、矿山工业场地等区域生态修复符合《矿山地质环境保护与土地复垦方案》要求。落实“边开采、边修复”要求，矿山生态修复能够分区、分期进行的，要分区、分期开展。治理后的各类场地对周边环境不产生污染，与周边自然环境相协调，区域生态功能得到保护和恢复。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《矿山生态环境保护与恢复治理技术规范》（HJ 651）、《土地复垦质量控制标准》(TD/T 1036) 、《非金属类矿山土地复垦与生态修复技术规范》（DB62/T 5034-2024）、《生态保护修复成效评估技术指南（试行）》（HJ 1272-2022）、《退化草地修复技术规范》（GB/T 37057），其他文件证明材料</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（三）矿山环境动态监测（4分）</w:t>
            </w: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29动态监测要求</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建立动态监测体系，对排土场、地下水等定期进行环境监测，根据监测结果采取有效保护措施。对地质环境破坏与恢复治理、土地损毁与复垦利用、生态系统破坏（退化）与恢复进行动态监测。符合得4分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动态监测记录、矿山土地复垦与生态修复监测评价技术规范》（GB/T 43935-2024）、《非金属类矿山土地复垦与生态修复技术规范》（DB62/T 5034-2024）、《草原资源与生态监测技术规程》（NY/T 1233）等相关标准规范或其他证明材料</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（四）环境管理体系（4分）</w:t>
            </w:r>
          </w:p>
        </w:tc>
        <w:tc>
          <w:tcPr>
            <w:tcW w:w="445"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30环境管理体系要求</w:t>
            </w:r>
          </w:p>
        </w:tc>
        <w:tc>
          <w:tcPr>
            <w:tcW w:w="202"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环境管理机制，有完善的环境管理制度，得1分；配备了必要的环境管理机构和生态环境保护等专业技术人员，得1分；有环境管理日常监管记录得1分；采取了环境风险防范措施，得1分；获得环境管理体系认证，得4分。</w:t>
            </w:r>
            <w:r>
              <w:rPr>
                <w:rFonts w:hint="eastAsia" w:ascii="仿宋" w:hAnsi="仿宋" w:eastAsia="仿宋" w:cs="仿宋"/>
                <w:color w:val="auto"/>
                <w:kern w:val="0"/>
                <w:szCs w:val="21"/>
                <w:lang w:bidi="ar"/>
              </w:rPr>
              <w:t>累计得分不超过该项总分值。</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ISO环境管理体系认证</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4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六、科技创新与规范管理（8项，15分）</w:t>
            </w:r>
          </w:p>
        </w:tc>
        <w:tc>
          <w:tcPr>
            <w:tcW w:w="372"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（一）科技创新（2分）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31研发及技改投入</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必要的科技创新制度体系，得1分；大型企业有技术研发队伍，中小企业有相关专业技术人员，得1分；近三年年均研发及技改投入不低于矿山主营业务收入的1.5%，得1分；开展支撑企业主业发展的技术研究，得0.5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生产报表（调度报表）或其他证明材料</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32创新成果</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bookmarkStart w:id="25" w:name="OLE_LINK33"/>
            <w:r>
              <w:rPr>
                <w:rFonts w:hint="eastAsia" w:ascii="仿宋" w:hAnsi="仿宋" w:eastAsia="仿宋" w:cs="仿宋"/>
                <w:color w:val="auto"/>
                <w:kern w:val="0"/>
                <w:szCs w:val="21"/>
                <w:lang w:bidi="ar"/>
              </w:rPr>
              <w:t>获得1项发明专利得0.5分；获得1项实用性专利得0.5分；获得省部级及以上奖励得1分，厅局级奖励得0.5分；使用《节地技术和节地模式推荐目录》或最新版《矿产资源节约和综合利用先进适用技术目录》1项，得1分；获得高新技术企业证书，得1分。累计得分不超过该项总分值。</w:t>
            </w:r>
            <w:bookmarkEnd w:id="25"/>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主管部门公告文件，项目立项文件及项目台账</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（二）数字化矿山（3分）</w:t>
            </w: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33</w:t>
            </w:r>
            <w:r>
              <w:rPr>
                <w:rFonts w:hint="eastAsia" w:ascii="仿宋" w:hAnsi="仿宋" w:eastAsia="仿宋" w:cs="仿宋"/>
                <w:color w:val="auto"/>
                <w:kern w:val="0"/>
                <w:szCs w:val="21"/>
                <w:lang w:bidi="ar"/>
              </w:rPr>
              <w:t>集中管控平台</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中央变电所、水泵房、风机站、空压机房、皮带运输等场所固定设施无人值守自动化系统，得1分；建立开采及生产过程主要设备远程控制系统，得1分；有矿山生产远程监控系统，得1分；矿山资源储量数字化模型建设计划，得1分；逐步实现资源储量精准化管理，保障生产高效有序，得1分。</w:t>
            </w:r>
            <w:r>
              <w:rPr>
                <w:rFonts w:hint="eastAsia" w:ascii="仿宋" w:hAnsi="仿宋" w:eastAsia="仿宋" w:cs="仿宋"/>
                <w:color w:val="auto"/>
                <w:kern w:val="0"/>
                <w:szCs w:val="21"/>
              </w:rPr>
              <w:t>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矿山自动化各子系统建设方案</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445"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34智能化应用</w:t>
            </w:r>
          </w:p>
        </w:tc>
        <w:tc>
          <w:tcPr>
            <w:tcW w:w="202"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实现矿山采选机械化、自动化，得1分；企业年度计划中有智能矿山建设计划或按照《智能矿山建设规范》（DZ/T 0376-2021）等标准开展智能矿山建设的，得0.5分；已完成智能矿山建设的，得1分。累计得分不超过该项总分值。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企业年度计划书，《智能矿山建设规范》</w:t>
            </w:r>
          </w:p>
        </w:tc>
        <w:tc>
          <w:tcPr>
            <w:tcW w:w="228" w:type="pct"/>
            <w:vAlign w:val="center"/>
          </w:tcPr>
          <w:p>
            <w:pPr>
              <w:adjustRightInd w:val="0"/>
              <w:snapToGrid w:val="0"/>
              <w:spacing w:line="240" w:lineRule="exac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restar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（三）规范管理（10分）</w:t>
            </w:r>
          </w:p>
        </w:tc>
        <w:tc>
          <w:tcPr>
            <w:tcW w:w="44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35企业文化</w:t>
            </w:r>
          </w:p>
        </w:tc>
        <w:tc>
          <w:tcPr>
            <w:tcW w:w="202"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hint="eastAsia" w:ascii="仿宋" w:hAnsi="仿宋" w:eastAsia="仿宋" w:cs="仿宋"/>
                <w:color w:val="auto"/>
                <w:kern w:val="0"/>
                <w:szCs w:val="21"/>
              </w:rPr>
              <w:t>符合得2分，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查资料、查现场、调查走访</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企业管理文件、自评材料、宣传片、活动证明、认证、证书、调查问卷原始记录等材料</w:t>
            </w:r>
          </w:p>
        </w:tc>
        <w:tc>
          <w:tcPr>
            <w:tcW w:w="228"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spacing w:line="240" w:lineRule="exact"/>
              <w:jc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36企业诚信</w:t>
            </w:r>
          </w:p>
        </w:tc>
        <w:tc>
          <w:tcPr>
            <w:tcW w:w="202"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依法纳税，按要求提交储量年报、矿产资源统计基础表，按规定缴存矿业权出让收益。</w:t>
            </w:r>
            <w:r>
              <w:rPr>
                <w:rFonts w:hint="eastAsia" w:ascii="仿宋" w:hAnsi="仿宋" w:eastAsia="仿宋" w:cs="仿宋"/>
                <w:color w:val="auto"/>
                <w:kern w:val="0"/>
                <w:szCs w:val="21"/>
              </w:rPr>
              <w:t>符合得2分，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995"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税务及相关部门证明</w:t>
            </w:r>
          </w:p>
        </w:tc>
        <w:tc>
          <w:tcPr>
            <w:tcW w:w="228"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37矿地和谐</w:t>
            </w:r>
          </w:p>
        </w:tc>
        <w:tc>
          <w:tcPr>
            <w:tcW w:w="202"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职业健康管理制度。建立良好矿地关系，制定和公开申诉回应制度。具有联系机构与人员，及时妥善处理与受采矿活动影响的社区等利益相关者间的纠纷矛盾，维护当地生产、生活相关生态环境。在劳务用工、基础设施、公益募捐、教育医疗支持等一个及以上方面开展帮扶，助力乡村振兴。符合得2分，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查资料、调查走访</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相关文件、票据等证明材料</w:t>
            </w:r>
          </w:p>
        </w:tc>
        <w:tc>
          <w:tcPr>
            <w:tcW w:w="228"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34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72"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445"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38企业管理</w:t>
            </w:r>
          </w:p>
        </w:tc>
        <w:tc>
          <w:tcPr>
            <w:tcW w:w="202"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安全生产标准化管理通过三级及以上达标验收，得1分；各类图纸、报表、台帐、档案资料等应齐全、完整、真实，资源储量开采报表真实可靠，开采设备及材料资料清单内容完备，得1分；制定突发环境事件的应急预案并开展应急演练，得1分；建立绿色矿山管理体系，配备专（兼）职人员，落实绿色矿山建设任务；职工职业技能培训体系和绿色矿山定期培训制度健全，培训计划明确、培训记录完善，</w:t>
            </w:r>
            <w:bookmarkStart w:id="26" w:name="OLE_LINK2"/>
            <w:r>
              <w:rPr>
                <w:rFonts w:hint="eastAsia" w:ascii="仿宋" w:hAnsi="仿宋" w:eastAsia="仿宋" w:cs="仿宋"/>
                <w:color w:val="auto"/>
                <w:kern w:val="0"/>
                <w:szCs w:val="21"/>
                <w:lang w:bidi="ar"/>
              </w:rPr>
              <w:t>绿色矿山建设宣传视频、相关资料完整，得2分。</w:t>
            </w:r>
            <w:bookmarkEnd w:id="26"/>
            <w:r>
              <w:rPr>
                <w:rFonts w:hint="eastAsia" w:ascii="仿宋" w:hAnsi="仿宋" w:eastAsia="仿宋" w:cs="仿宋"/>
                <w:color w:val="auto"/>
                <w:kern w:val="0"/>
                <w:szCs w:val="21"/>
                <w:lang w:bidi="ar"/>
              </w:rPr>
              <w:t>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995"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企业管理文件</w:t>
            </w:r>
          </w:p>
        </w:tc>
        <w:tc>
          <w:tcPr>
            <w:tcW w:w="228" w:type="pct"/>
            <w:vAlign w:val="center"/>
          </w:tcPr>
          <w:p>
            <w:pPr>
              <w:spacing w:line="240" w:lineRule="exact"/>
              <w:jc w:val="left"/>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1165" w:type="pct"/>
            <w:gridSpan w:val="3"/>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总  分</w:t>
            </w:r>
          </w:p>
        </w:tc>
        <w:tc>
          <w:tcPr>
            <w:tcW w:w="202"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100</w:t>
            </w:r>
          </w:p>
        </w:tc>
        <w:tc>
          <w:tcPr>
            <w:tcW w:w="1933"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04"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995"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p>
        </w:tc>
        <w:tc>
          <w:tcPr>
            <w:tcW w:w="228" w:type="pct"/>
            <w:vAlign w:val="center"/>
          </w:tcPr>
          <w:p>
            <w:pPr>
              <w:spacing w:line="240" w:lineRule="exact"/>
              <w:jc w:val="center"/>
              <w:rPr>
                <w:rFonts w:ascii="仿宋" w:hAnsi="仿宋" w:eastAsia="仿宋" w:cs="仿宋"/>
                <w:color w:val="auto"/>
                <w:kern w:val="0"/>
                <w:szCs w:val="21"/>
              </w:rPr>
            </w:pPr>
          </w:p>
        </w:tc>
        <w:tc>
          <w:tcPr>
            <w:tcW w:w="170" w:type="pct"/>
            <w:vAlign w:val="center"/>
          </w:tcPr>
          <w:p>
            <w:pPr>
              <w:adjustRightInd w:val="0"/>
              <w:snapToGrid w:val="0"/>
              <w:spacing w:line="240" w:lineRule="exact"/>
              <w:jc w:val="center"/>
              <w:rPr>
                <w:rFonts w:ascii="仿宋" w:hAnsi="仿宋" w:eastAsia="仿宋" w:cs="仿宋"/>
                <w:color w:val="auto"/>
                <w:kern w:val="0"/>
                <w:szCs w:val="21"/>
              </w:rPr>
            </w:pPr>
          </w:p>
        </w:tc>
      </w:tr>
    </w:tbl>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pPr>
    </w:p>
    <w:p>
      <w:pPr>
        <w:spacing w:line="240" w:lineRule="exact"/>
        <w:ind w:left="-567" w:leftChars="-270"/>
        <w:jc w:val="center"/>
        <w:outlineLvl w:val="0"/>
        <w:rPr>
          <w:rFonts w:ascii="方正公文小标宋" w:hAnsi="方正公文小标宋" w:eastAsia="方正公文小标宋" w:cs="方正公文小标宋"/>
          <w:color w:val="auto"/>
          <w:kern w:val="0"/>
          <w:sz w:val="40"/>
          <w:szCs w:val="40"/>
        </w:rPr>
        <w:sectPr>
          <w:pgSz w:w="16838" w:h="11906" w:orient="landscape"/>
          <w:pgMar w:top="1800" w:right="1440" w:bottom="1800" w:left="1440" w:header="851" w:footer="992" w:gutter="0"/>
          <w:cols w:space="425" w:num="1"/>
          <w:docGrid w:type="lines" w:linePitch="312" w:charSpace="0"/>
        </w:sectPr>
      </w:pPr>
    </w:p>
    <w:p>
      <w:pPr>
        <w:adjustRightInd w:val="0"/>
        <w:snapToGrid w:val="0"/>
        <w:jc w:val="center"/>
        <w:outlineLvl w:val="0"/>
        <w:rPr>
          <w:rFonts w:ascii="方正公文小标宋" w:hAnsi="方正公文小标宋" w:eastAsia="方正公文小标宋" w:cs="方正公文小标宋"/>
          <w:color w:val="auto"/>
          <w:kern w:val="0"/>
          <w:sz w:val="30"/>
          <w:szCs w:val="30"/>
        </w:rPr>
      </w:pPr>
      <w:r>
        <w:rPr>
          <w:rFonts w:hint="eastAsia" w:ascii="方正公文小标宋" w:hAnsi="方正公文小标宋" w:eastAsia="方正公文小标宋" w:cs="方正公文小标宋"/>
          <w:bCs/>
          <w:color w:val="auto"/>
          <w:kern w:val="0"/>
          <w:sz w:val="30"/>
          <w:szCs w:val="30"/>
          <w:lang w:bidi="ar"/>
        </w:rPr>
        <w:t>表6 省级绿色矿山建设评价指标（地热、矿泉水）</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3"/>
        <w:gridCol w:w="7435"/>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先决条件</w:t>
            </w:r>
          </w:p>
        </w:tc>
        <w:tc>
          <w:tcPr>
            <w:tcW w:w="271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要求</w:t>
            </w:r>
          </w:p>
        </w:tc>
        <w:tc>
          <w:tcPr>
            <w:tcW w:w="1652" w:type="pct"/>
            <w:tcMar>
              <w:top w:w="12" w:type="dxa"/>
              <w:left w:w="12" w:type="dxa"/>
              <w:right w:w="12" w:type="dxa"/>
            </w:tcMar>
            <w:vAlign w:val="center"/>
          </w:tcPr>
          <w:p>
            <w:pPr>
              <w:widowControl/>
              <w:spacing w:line="240" w:lineRule="exact"/>
              <w:jc w:val="center"/>
              <w:textAlignment w:val="center"/>
              <w:rPr>
                <w:rFonts w:ascii="仿宋" w:hAnsi="仿宋" w:eastAsia="仿宋" w:cs="仿宋"/>
                <w:b/>
                <w:bCs/>
                <w:color w:val="auto"/>
                <w:kern w:val="0"/>
                <w:szCs w:val="21"/>
                <w:lang w:bidi="ar"/>
              </w:rPr>
            </w:pPr>
            <w:r>
              <w:rPr>
                <w:rFonts w:hint="eastAsia" w:ascii="仿宋" w:hAnsi="仿宋" w:eastAsia="仿宋" w:cs="仿宋"/>
                <w:b/>
                <w:bCs/>
                <w:color w:val="auto"/>
                <w:kern w:val="0"/>
                <w:szCs w:val="21"/>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手续齐全，证照合法有效</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《采矿许可证》《取水许可证》《营业执照》证照合法有效，依法办理环评、排污许可手续和使用林草地审核同意书，并依法完成竣工环保验收。</w:t>
            </w:r>
          </w:p>
        </w:tc>
        <w:tc>
          <w:tcPr>
            <w:tcW w:w="1652" w:type="pct"/>
            <w:vMerge w:val="restart"/>
            <w:tcMar>
              <w:top w:w="12" w:type="dxa"/>
              <w:left w:w="12" w:type="dxa"/>
              <w:right w:w="12" w:type="dxa"/>
            </w:tcMar>
            <w:vAlign w:val="center"/>
          </w:tcPr>
          <w:p>
            <w:pPr>
              <w:widowControl/>
              <w:spacing w:line="240" w:lineRule="exact"/>
              <w:jc w:val="left"/>
              <w:textAlignment w:val="top"/>
              <w:rPr>
                <w:rFonts w:ascii="仿宋" w:hAnsi="仿宋" w:eastAsia="仿宋" w:cs="仿宋"/>
                <w:color w:val="auto"/>
                <w:kern w:val="0"/>
                <w:szCs w:val="21"/>
                <w:lang w:bidi="ar"/>
              </w:rPr>
            </w:pP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合格      □</w:t>
            </w:r>
          </w:p>
          <w:p>
            <w:pPr>
              <w:widowControl/>
              <w:spacing w:line="240" w:lineRule="exact"/>
              <w:jc w:val="left"/>
              <w:textAlignment w:val="top"/>
              <w:rPr>
                <w:rFonts w:ascii="仿宋" w:hAnsi="仿宋" w:eastAsia="仿宋" w:cs="仿宋"/>
                <w:color w:val="auto"/>
                <w:kern w:val="0"/>
                <w:szCs w:val="21"/>
                <w:lang w:bidi="ar"/>
              </w:rPr>
            </w:pPr>
            <w:r>
              <w:rPr>
                <w:rFonts w:hint="eastAsia" w:ascii="仿宋" w:hAnsi="仿宋" w:eastAsia="仿宋" w:cs="仿宋"/>
                <w:color w:val="auto"/>
                <w:kern w:val="0"/>
                <w:szCs w:val="21"/>
                <w:lang w:bidi="ar"/>
              </w:rPr>
              <w:t xml:space="preserve">             不合格    □</w:t>
            </w:r>
          </w:p>
          <w:p>
            <w:pPr>
              <w:widowControl/>
              <w:spacing w:line="240" w:lineRule="exact"/>
              <w:jc w:val="left"/>
              <w:textAlignment w:val="top"/>
              <w:rPr>
                <w:rFonts w:ascii="仿宋" w:hAnsi="仿宋" w:eastAsia="仿宋" w:cs="仿宋"/>
                <w:color w:val="auto"/>
                <w:kern w:val="0"/>
                <w:szCs w:val="21"/>
              </w:rPr>
            </w:pPr>
          </w:p>
          <w:p>
            <w:pPr>
              <w:widowControl/>
              <w:spacing w:line="240" w:lineRule="exact"/>
              <w:jc w:val="left"/>
              <w:textAlignment w:val="top"/>
              <w:rPr>
                <w:rFonts w:ascii="仿宋" w:hAnsi="仿宋" w:eastAsia="仿宋" w:cs="仿宋"/>
                <w:color w:val="auto"/>
                <w:kern w:val="0"/>
                <w:szCs w:val="21"/>
              </w:rPr>
            </w:pPr>
            <w:r>
              <w:rPr>
                <w:rFonts w:hint="eastAsia" w:ascii="仿宋" w:hAnsi="仿宋" w:eastAsia="仿宋" w:cs="仿宋"/>
                <w:color w:val="auto"/>
                <w:kern w:val="0"/>
                <w:szCs w:val="21"/>
              </w:rPr>
              <w:t>满足所有先决条件方可进行打分评价，其中1条不满足的，即为不合格。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三年内未受行政处罚或已整改到位</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近三年内，未受到自然资源、水利、生态环境和林草等部门行政处罚，或受到处罚在履行期限内已执行到位（出具相关证明材料），且未发生过较大及以上安全生产事故、环境事件的。</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矿业权人异常名录</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矿山参加遴选期间，矿业权人未被列入矿业权人勘查开采信息公示异常名录。</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矿山要求</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矿山近三年正常运营，且剩余储量可采年限（按储量年度报告）不少于三年。</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36"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w:t>
            </w:r>
          </w:p>
        </w:tc>
        <w:tc>
          <w:tcPr>
            <w:tcW w:w="2712" w:type="pct"/>
            <w:tcMar>
              <w:top w:w="12" w:type="dxa"/>
              <w:left w:w="12" w:type="dxa"/>
              <w:right w:w="12" w:type="dxa"/>
            </w:tcMar>
            <w:vAlign w:val="center"/>
          </w:tcPr>
          <w:p>
            <w:pPr>
              <w:widowControl/>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矿区范围符合生态保护红线管控要求、国土空间规划及规划环评要求。</w:t>
            </w:r>
          </w:p>
        </w:tc>
        <w:tc>
          <w:tcPr>
            <w:tcW w:w="1652"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b/>
                <w:color w:val="auto"/>
                <w:kern w:val="0"/>
                <w:szCs w:val="21"/>
                <w:lang w:bidi="ar"/>
              </w:rPr>
            </w:pPr>
          </w:p>
        </w:tc>
      </w:tr>
    </w:tbl>
    <w:p>
      <w:pPr>
        <w:spacing w:line="240" w:lineRule="exact"/>
        <w:ind w:left="-567" w:leftChars="-270"/>
        <w:outlineLvl w:val="0"/>
        <w:rPr>
          <w:rFonts w:ascii="方正公文小标宋" w:hAnsi="方正公文小标宋" w:eastAsia="方正公文小标宋" w:cs="方正公文小标宋"/>
          <w:color w:val="auto"/>
          <w:kern w:val="0"/>
          <w:sz w:val="40"/>
          <w:szCs w:val="40"/>
        </w:rPr>
      </w:pPr>
    </w:p>
    <w:p>
      <w:pPr>
        <w:spacing w:line="240" w:lineRule="exact"/>
        <w:ind w:left="-567" w:leftChars="-270"/>
        <w:outlineLvl w:val="0"/>
        <w:rPr>
          <w:rFonts w:ascii="方正公文小标宋" w:hAnsi="方正公文小标宋" w:eastAsia="方正公文小标宋" w:cs="方正公文小标宋"/>
          <w:color w:val="auto"/>
          <w:kern w:val="0"/>
          <w:sz w:val="40"/>
          <w:szCs w:val="40"/>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979"/>
        <w:gridCol w:w="1094"/>
        <w:gridCol w:w="686"/>
        <w:gridCol w:w="5301"/>
        <w:gridCol w:w="834"/>
        <w:gridCol w:w="2507"/>
        <w:gridCol w:w="850"/>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6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一级指标</w:t>
            </w:r>
          </w:p>
        </w:tc>
        <w:tc>
          <w:tcPr>
            <w:tcW w:w="357"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二级指标</w:t>
            </w:r>
          </w:p>
        </w:tc>
        <w:tc>
          <w:tcPr>
            <w:tcW w:w="398"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三级指标</w:t>
            </w:r>
          </w:p>
        </w:tc>
        <w:tc>
          <w:tcPr>
            <w:tcW w:w="250"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标准分</w:t>
            </w:r>
          </w:p>
        </w:tc>
        <w:tc>
          <w:tcPr>
            <w:tcW w:w="1933"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评分说明</w:t>
            </w:r>
          </w:p>
        </w:tc>
        <w:tc>
          <w:tcPr>
            <w:tcW w:w="30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考核</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方法</w:t>
            </w:r>
          </w:p>
        </w:tc>
        <w:tc>
          <w:tcPr>
            <w:tcW w:w="914"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依据或标准</w:t>
            </w:r>
          </w:p>
        </w:tc>
        <w:tc>
          <w:tcPr>
            <w:tcW w:w="310"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检查</w:t>
            </w:r>
          </w:p>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记录</w:t>
            </w:r>
          </w:p>
        </w:tc>
        <w:tc>
          <w:tcPr>
            <w:tcW w:w="169" w:type="pct"/>
            <w:tcMar>
              <w:top w:w="12" w:type="dxa"/>
              <w:left w:w="12" w:type="dxa"/>
              <w:right w:w="12" w:type="dxa"/>
            </w:tcMar>
            <w:vAlign w:val="center"/>
          </w:tcPr>
          <w:p>
            <w:pPr>
              <w:keepNext/>
              <w:keepLines/>
              <w:widowControl/>
              <w:adjustRightInd w:val="0"/>
              <w:snapToGrid w:val="0"/>
              <w:spacing w:line="240" w:lineRule="exact"/>
              <w:jc w:val="center"/>
              <w:textAlignment w:val="center"/>
              <w:outlineLvl w:val="3"/>
              <w:rPr>
                <w:rFonts w:ascii="仿宋" w:hAnsi="仿宋" w:eastAsia="仿宋" w:cs="仿宋"/>
                <w:b/>
                <w:bCs/>
                <w:color w:val="auto"/>
                <w:szCs w:val="21"/>
              </w:rPr>
            </w:pPr>
            <w:r>
              <w:rPr>
                <w:rFonts w:hint="eastAsia" w:ascii="仿宋" w:hAnsi="仿宋" w:eastAsia="仿宋" w:cs="仿宋"/>
                <w:b/>
                <w:bCs/>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36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一、矿区环境(8项，12分)</w:t>
            </w:r>
          </w:p>
        </w:tc>
        <w:tc>
          <w:tcPr>
            <w:tcW w:w="35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（一）矿容矿貌（9分）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1功能分区</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矿区按生产区、管理区、生活区进行功能分区，符合分区要求。符合得2分，管理区、生活区分区不明显扣0.5分，生产区、管理区分区不明显扣1.5分。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矿区总平面布置图或示意图，《工业企业总平面设计规范》（GB 50187）</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2配套设施</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具有相应管理机构和制度、运行有序、管理规范；矿区输水、供电等配套设施齐全并正常运行；宿舍、食堂、澡堂、厕所等设施配备齐全，干净整洁、管理规范。矿区井房、输水管道定期清洗，干净卫生。生产区建筑、构筑物及时维护、维修或粉刷，所有场所不存在私搭乱建临时建筑及无废弃建构筑物。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矿区总平面布置图</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3标识标牌</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生产区按要求设置操作提示牌、说明牌、线路示意图牌、安全警示牌、绿色矿山宣传等各类标牌，标牌的尺寸、形状、颜色设置应符合规定。符合得1分，一处不符合扣0.5分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《矿山安全标志》</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4主干道路</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bookmarkStart w:id="27" w:name="OLE_LINK23"/>
            <w:r>
              <w:rPr>
                <w:rFonts w:hint="eastAsia" w:ascii="仿宋" w:hAnsi="仿宋" w:eastAsia="仿宋" w:cs="仿宋"/>
                <w:color w:val="auto"/>
                <w:kern w:val="0"/>
                <w:szCs w:val="21"/>
              </w:rPr>
              <w:t>矿区主干道路面硬化或固化，路面平整、密实和粗糙度适当，固化道路实施洒水等降尘措施，养护良好。符合得1分，一处不符合扣0.5分，扣完为止。</w:t>
            </w:r>
            <w:bookmarkEnd w:id="27"/>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《厂矿道路设计规范》</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5定置管理</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设备、物资材料规范管理，做到分类分区、摆放有序、堆码整齐。符合得2分，一处不符合扣0.5分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6清洁卫生</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矿区保持清洁卫生，生产区及管理区无垃圾乱扔乱放，生产现场管线无跑、冒、滴、漏现象。符合得1分，一处不符合扣0.5分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（二）矿区绿化美化（3分）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7矿区绿化</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矿区可绿化区域实现全覆盖，且无大面积表土裸露。绿化覆盖率达到可绿化面积的100%。符合得2分，一处不符合扣0.5分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可绿化区域是指除采场、建筑覆盖区、硬化地面等不宜进行绿化区域以外的区域</w:t>
            </w: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8绿化效果</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933" w:type="pct"/>
            <w:tcMar>
              <w:top w:w="12" w:type="dxa"/>
              <w:left w:w="12" w:type="dxa"/>
              <w:right w:w="12" w:type="dxa"/>
            </w:tcMar>
            <w:vAlign w:val="center"/>
          </w:tcPr>
          <w:p>
            <w:pPr>
              <w:widowControl/>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绿化植物以本土物种为主，搭配合理，与周边环境协调一致，符合当地气候条件。符合得1分，一处不符合扣0.5分，扣完为止。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p>
        </w:tc>
        <w:tc>
          <w:tcPr>
            <w:tcW w:w="31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tcMar>
              <w:top w:w="12" w:type="dxa"/>
              <w:left w:w="12" w:type="dxa"/>
              <w:right w:w="12" w:type="dxa"/>
            </w:tcMar>
            <w:vAlign w:val="center"/>
          </w:tcPr>
          <w:p>
            <w:pPr>
              <w:widowControl/>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36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二、资源开采（6项，22分）</w:t>
            </w:r>
          </w:p>
        </w:tc>
        <w:tc>
          <w:tcPr>
            <w:tcW w:w="35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（一）开采活动（14分）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9开采方式及工艺</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地下开采方法和顺序合理，符合开采设计要求；</w:t>
            </w:r>
            <w:r>
              <w:rPr>
                <w:rFonts w:hint="eastAsia" w:ascii="仿宋" w:hAnsi="仿宋" w:eastAsia="仿宋" w:cs="仿宋"/>
                <w:color w:val="auto"/>
                <w:kern w:val="0"/>
                <w:szCs w:val="21"/>
                <w:lang w:bidi="ar"/>
              </w:rPr>
              <w:t>采用国家鼓励的机械化、自动化、信息化和智能化的先进开采工艺和技术，未使用国家限制和淘汰类技术、材料、设备。</w:t>
            </w:r>
            <w:r>
              <w:rPr>
                <w:rFonts w:hint="eastAsia" w:ascii="仿宋" w:hAnsi="仿宋" w:eastAsia="仿宋" w:cs="仿宋"/>
                <w:color w:val="auto"/>
                <w:kern w:val="0"/>
                <w:szCs w:val="21"/>
              </w:rPr>
              <w:t>符合得2分，一处不符合扣0.5分，扣完为止。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开采设计、工艺技术装备资料</w:t>
            </w: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10计量设施</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取水规模以上地热能开发利用项目，安装取水和回灌在线计量设施；计量数据实时传输至水行政主管部门；定期对取水等设备及运行进行安全检查，并形成记录；定期对输水管道和过滤等设备进行检查、清洗和更换，并形成记录；符合得4分，</w:t>
            </w:r>
            <w:r>
              <w:rPr>
                <w:rFonts w:hint="eastAsia" w:ascii="仿宋" w:hAnsi="仿宋" w:eastAsia="仿宋" w:cs="仿宋"/>
                <w:color w:val="auto"/>
                <w:kern w:val="0"/>
                <w:szCs w:val="21"/>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11探采结合</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widowControl/>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☆适用于矿泉水</w:t>
            </w:r>
          </w:p>
          <w:p>
            <w:pPr>
              <w:widowControl/>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天然矿泉水勘探孔施工实行“探采结合”原则，勘探孔应按成井技术要求实施，钻孔口径以能安装取水设备为原则。</w:t>
            </w:r>
          </w:p>
          <w:p>
            <w:pPr>
              <w:widowControl/>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☆适用于地热</w:t>
            </w:r>
          </w:p>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地热勘探孔按照“探采结合”原则进行布置和施工，地热勘探孔有条件成井的，应按地热生产井钻井技术要求成井，成井后转为生产井利用；地热生产井应按地热钻探技术要求进行施工，取全取准各项地质及地热参数资料，做好地质编录，为地热田地质条件研究与资源开发、保护提供地质资料。</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12利用率</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温泉洗浴地热能利用率应不低于85%；供暖地热能利用率应不低于80%；饮用天然矿泉水瓶装水利用率≥70%；桶（桶+瓶）装水利用率≥70%。符合得4分。</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自然资源部“三率”指标要求、地方标准要求</w:t>
            </w: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（二）生产工作面（8分）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13质量要求</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widowControl/>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生产作业场所应干净整洁、无污渍、无杂物、无积水；井（泉）及其附属设施保持完好并正常运行，无堵塞或泄露；饮用天然矿泉水开采区井、泉孔及生产区整体封闭，主要输水管道封闭严密；在安全隐患位置设置警戒线或安全警示牌；</w:t>
            </w:r>
            <w:r>
              <w:rPr>
                <w:rFonts w:hint="eastAsia" w:ascii="仿宋" w:hAnsi="仿宋" w:eastAsia="仿宋" w:cs="仿宋"/>
                <w:color w:val="auto"/>
                <w:kern w:val="0"/>
                <w:szCs w:val="21"/>
                <w:lang w:bidi="ar"/>
              </w:rPr>
              <w:t>符合得4分，</w:t>
            </w:r>
            <w:r>
              <w:rPr>
                <w:rFonts w:hint="eastAsia" w:ascii="仿宋" w:hAnsi="仿宋" w:eastAsia="仿宋" w:cs="仿宋"/>
                <w:color w:val="auto"/>
                <w:kern w:val="0"/>
                <w:szCs w:val="21"/>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甘肃省地方标准要求</w:t>
            </w: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14生产卫生</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widowControl/>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地热、天然矿泉水开发生产全过程卫生防护满足要求得4分</w:t>
            </w:r>
            <w:r>
              <w:rPr>
                <w:rFonts w:hint="eastAsia" w:ascii="仿宋" w:hAnsi="仿宋" w:eastAsia="仿宋" w:cs="仿宋"/>
                <w:color w:val="auto"/>
                <w:kern w:val="0"/>
                <w:szCs w:val="21"/>
                <w:lang w:bidi="ar"/>
              </w:rPr>
              <w:t>，</w:t>
            </w:r>
            <w:r>
              <w:rPr>
                <w:rFonts w:hint="eastAsia" w:ascii="仿宋" w:hAnsi="仿宋" w:eastAsia="仿宋" w:cs="仿宋"/>
                <w:color w:val="auto"/>
                <w:kern w:val="0"/>
                <w:szCs w:val="21"/>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1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169"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36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lang w:bidi="ar"/>
              </w:rPr>
              <w:t>三、综合利用</w:t>
            </w:r>
            <w:r>
              <w:rPr>
                <w:rFonts w:hint="eastAsia" w:ascii="仿宋" w:hAnsi="仿宋" w:eastAsia="仿宋" w:cs="仿宋"/>
                <w:color w:val="auto"/>
                <w:kern w:val="0"/>
                <w:szCs w:val="21"/>
              </w:rPr>
              <w:t>（4项，19分）</w:t>
            </w: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（一）</w:t>
            </w:r>
            <w:r>
              <w:rPr>
                <w:rFonts w:hint="eastAsia" w:ascii="仿宋" w:hAnsi="仿宋" w:eastAsia="仿宋" w:cs="仿宋"/>
                <w:color w:val="auto"/>
                <w:kern w:val="0"/>
                <w:szCs w:val="21"/>
                <w:lang w:bidi="ar"/>
              </w:rPr>
              <w:t>综合利用</w:t>
            </w:r>
            <w:r>
              <w:rPr>
                <w:rFonts w:hint="eastAsia" w:ascii="仿宋" w:hAnsi="仿宋" w:eastAsia="仿宋" w:cs="仿宋"/>
                <w:color w:val="auto"/>
                <w:kern w:val="0"/>
                <w:szCs w:val="21"/>
              </w:rPr>
              <w:t>（6分）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15梯级利用</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6</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☆适用于地热</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地热资源做到梯级利用；积极探索地热水中可利用气体分离技术及其它共伴生资源的综合利用；地热资源根据地热水出口温度合理多次提取温差，实现资源综合利用；地热资源开发利用后回灌率符合相关部门规定；</w:t>
            </w:r>
            <w:bookmarkStart w:id="28" w:name="OLE_LINK32"/>
            <w:r>
              <w:rPr>
                <w:rFonts w:hint="eastAsia" w:ascii="仿宋" w:hAnsi="仿宋" w:eastAsia="仿宋" w:cs="仿宋"/>
                <w:color w:val="auto"/>
                <w:kern w:val="0"/>
                <w:szCs w:val="21"/>
                <w:lang w:bidi="ar"/>
              </w:rPr>
              <w:t>矿山运营过程中的水位、水温、水质动态变化满足相关规范和监管部门管理要求；</w:t>
            </w:r>
            <w:bookmarkEnd w:id="28"/>
            <w:r>
              <w:rPr>
                <w:rFonts w:hint="eastAsia" w:ascii="仿宋" w:hAnsi="仿宋" w:eastAsia="仿宋" w:cs="仿宋"/>
                <w:color w:val="auto"/>
                <w:kern w:val="0"/>
                <w:szCs w:val="21"/>
                <w:lang w:bidi="ar"/>
              </w:rPr>
              <w:t>符合1项得2分，累计得分不超过该项总分值。</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☆适用于矿泉水</w:t>
            </w:r>
          </w:p>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矿泉水的利用做到资源分级利用、优质优用，得3分；</w:t>
            </w:r>
            <w:r>
              <w:rPr>
                <w:rFonts w:hint="eastAsia" w:ascii="仿宋" w:hAnsi="仿宋" w:eastAsia="仿宋" w:cs="仿宋"/>
                <w:color w:val="auto"/>
                <w:kern w:val="0"/>
                <w:szCs w:val="21"/>
                <w:lang w:bidi="ar"/>
              </w:rPr>
              <w:t>矿山运营过程中的水位、水温、水质动态变化满足相关规范和监管部门管理要求，得3分。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甘肃省地方标准要求哦、生产报表（调度报表）或其他证明材料，符合环评批复相关要求</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（二）固废综合利用（1分）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16土质剥离物的综合利用</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剥离表土用于环境治理、土地复垦、生态修复等。符合得1分，一处不符合扣0.5分，扣完为止。</w:t>
            </w:r>
          </w:p>
        </w:tc>
        <w:tc>
          <w:tcPr>
            <w:tcW w:w="304" w:type="pct"/>
            <w:tcMar>
              <w:top w:w="12" w:type="dxa"/>
              <w:left w:w="12" w:type="dxa"/>
              <w:right w:w="12" w:type="dxa"/>
            </w:tcMa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w:t>
            </w:r>
            <w:r>
              <w:rPr>
                <w:rFonts w:hint="eastAsia" w:ascii="仿宋" w:hAnsi="仿宋" w:eastAsia="仿宋" w:cs="仿宋"/>
                <w:color w:val="auto"/>
                <w:kern w:val="0"/>
                <w:szCs w:val="21"/>
                <w:lang w:bidi="ar"/>
              </w:rPr>
              <w:t>查现场</w:t>
            </w:r>
          </w:p>
        </w:tc>
        <w:tc>
          <w:tcPr>
            <w:tcW w:w="914" w:type="pct"/>
            <w:vMerge w:val="continue"/>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（三）废水综合利用（12分）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17生产废水处置与利用</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8</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配备完善的生产废水处理系统，得4分；地热、矿泉水尾废水集中处理达标后外排或回灌，得4分。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vMerge w:val="continue"/>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18生活污水综合利用</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生活污水处置达标后，用于场地浇灌绿化，洒水降尘或其他综合利用，得4分。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914" w:type="pct"/>
            <w:vMerge w:val="continue"/>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四、绿色低碳（9项，18分）</w:t>
            </w: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（一）节约集约用地（2分）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19</w:t>
            </w:r>
            <w:r>
              <w:rPr>
                <w:rFonts w:hint="eastAsia" w:ascii="仿宋" w:hAnsi="仿宋" w:eastAsia="仿宋" w:cs="仿宋"/>
                <w:color w:val="auto"/>
                <w:kern w:val="0"/>
                <w:szCs w:val="21"/>
                <w:lang w:bidi="ar"/>
              </w:rPr>
              <w:t>节约集约用地情况</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矿山用地在满足建设、运输生产等要求前提下，综合考虑土地资源、资金、环境等经济技术条件，按照节约集约原则，进行优化配置和科学利用，充分利用荒地、劣地，少占耕地。符合得2分。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《节约集约利用土地规定（2019年修正）》《工业项目用地控制指标》《自然资源部办公厅关于规范开展建设项目节地评价工作的通知》（自然资办发〔2021〕14号）</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36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（二）节能降耗（4分）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rPr>
              <w:t>20能源管理体系</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建立矿山生产全过程能耗核算体系或实现生产全过程能耗核算；编制年度能源管理计划。符合得2分，一处不符合扣0.5分，扣完为止。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能耗核算体系文件或台账，能源分析报表</w:t>
            </w:r>
          </w:p>
        </w:tc>
        <w:tc>
          <w:tcPr>
            <w:tcW w:w="310" w:type="pct"/>
            <w:vAlign w:val="center"/>
          </w:tcPr>
          <w:p>
            <w:pPr>
              <w:adjustRightInd w:val="0"/>
              <w:snapToGrid w:val="0"/>
              <w:spacing w:line="240" w:lineRule="exact"/>
              <w:jc w:val="center"/>
              <w:rPr>
                <w:rFonts w:ascii="仿宋" w:hAnsi="仿宋" w:eastAsia="仿宋" w:cs="仿宋"/>
                <w:color w:val="auto"/>
                <w:kern w:val="0"/>
                <w:szCs w:val="21"/>
              </w:rPr>
            </w:pPr>
          </w:p>
        </w:tc>
        <w:tc>
          <w:tcPr>
            <w:tcW w:w="169"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364"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5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21单位产品能耗</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以企业近3年能耗等指标均值为依据进行考核，体现节能降耗进步要求。符合得2分。一处不符合扣0.5分，扣完为止。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能耗台账、各行业单位产品能源消耗限额、节能评估报告</w:t>
            </w:r>
          </w:p>
        </w:tc>
        <w:tc>
          <w:tcPr>
            <w:tcW w:w="310" w:type="pct"/>
            <w:vAlign w:val="center"/>
          </w:tcPr>
          <w:p>
            <w:pPr>
              <w:widowControl/>
              <w:adjustRightInd w:val="0"/>
              <w:snapToGrid w:val="0"/>
              <w:spacing w:line="240" w:lineRule="exact"/>
              <w:jc w:val="center"/>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（三）源头预防（4分）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22地下水环境状况</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矿区及周边地下水具备使用功能的，应达到相关标准限值要求；按照相关标准开展地下水污染风险管控，防止地下水污染。符合得2分，一处不符合扣0.5分，扣完为止。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《地下水质量标准》（GB/T 14848）、《污染地块地下水修复和风险管控技术导则》（HJ 25.6）</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23水源保护</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开展地下水位动态监测，得1分；有水源地保护措施，得1分。</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监测记录台账</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（四）废物排放（8分）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24固废排放</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对无法实现综合利用的固体废弃物，划分危险废物（废活性炭、设备运行和维护的废机油等）、一般废物（石英砂、活性炭、滤膜、钛棒过滤器等过滤材料、废包装材料、吹瓶废料、地热处理后的污泥、废弃的地热管材及设备零件等）和生活垃圾不同类别，实现分级分类；按照国家法律和标准，自行或委托第三方对一般固体废弃物进行处置，委托第三方有资质的单位对危险废物进行处置，处置率100%。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《中华人民共和国固体废物污染环境防治法》《一般工业固体废物贮存和填埋污染控制标准》（GB 18599），危险废物焚烧、贮存、填埋污染控制标准(GB 18484、18597、18598)</w:t>
            </w:r>
          </w:p>
        </w:tc>
        <w:tc>
          <w:tcPr>
            <w:tcW w:w="310" w:type="pct"/>
            <w:vAlign w:val="center"/>
          </w:tcPr>
          <w:p>
            <w:pPr>
              <w:adjustRightInd w:val="0"/>
              <w:snapToGrid w:val="0"/>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25废水排放</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清污管路分别铺设、雨水与污水管路分开设置，实现雨污分流、清污分流；</w:t>
            </w:r>
            <w:r>
              <w:rPr>
                <w:rFonts w:hint="eastAsia" w:ascii="仿宋" w:hAnsi="仿宋" w:eastAsia="仿宋" w:cs="仿宋"/>
                <w:color w:val="auto"/>
                <w:kern w:val="0"/>
                <w:szCs w:val="21"/>
                <w:lang w:bidi="ar"/>
              </w:rPr>
              <w:t>生产废水排放及排污口设置符合相关标准和要求。企业配备生活污水处理系统或接入城镇污水处理管网，</w:t>
            </w:r>
            <w:r>
              <w:rPr>
                <w:rFonts w:hint="eastAsia" w:ascii="仿宋" w:hAnsi="仿宋" w:eastAsia="仿宋" w:cs="仿宋"/>
                <w:color w:val="auto"/>
                <w:kern w:val="0"/>
                <w:szCs w:val="21"/>
              </w:rPr>
              <w:t>生活污水经处理后水质达标排放；生产废水经处理后水质达标排放；地表径流水、淋溶水等经沉淀后达标排放或处理回用。符合得2分</w:t>
            </w:r>
            <w:r>
              <w:rPr>
                <w:rFonts w:hint="eastAsia" w:ascii="仿宋" w:hAnsi="仿宋" w:eastAsia="仿宋" w:cs="仿宋"/>
                <w:color w:val="auto"/>
                <w:kern w:val="0"/>
                <w:szCs w:val="21"/>
                <w:lang w:bidi="ar"/>
              </w:rPr>
              <w:t>，一处不符合扣0.5</w:t>
            </w:r>
            <w:r>
              <w:rPr>
                <w:rFonts w:hint="eastAsia" w:ascii="仿宋" w:hAnsi="仿宋" w:eastAsia="仿宋" w:cs="仿宋"/>
                <w:color w:val="auto"/>
                <w:kern w:val="0"/>
                <w:szCs w:val="21"/>
              </w:rPr>
              <w:t>分，</w:t>
            </w:r>
            <w:r>
              <w:rPr>
                <w:rFonts w:hint="eastAsia" w:ascii="仿宋" w:hAnsi="仿宋" w:eastAsia="仿宋" w:cs="仿宋"/>
                <w:color w:val="auto"/>
                <w:kern w:val="0"/>
                <w:szCs w:val="21"/>
                <w:lang w:bidi="ar"/>
              </w:rPr>
              <w:t>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r>
              <w:rPr>
                <w:rFonts w:hint="eastAsia" w:ascii="仿宋" w:hAnsi="仿宋" w:eastAsia="仿宋" w:cs="仿宋"/>
                <w:color w:val="auto"/>
                <w:kern w:val="0"/>
                <w:szCs w:val="21"/>
                <w:lang w:bidi="ar"/>
              </w:rPr>
              <w:t>国家水污染物排放标准（GB8978、GB 20426、GB 25465、GB 25466、GB25467、GB25468、GB 26451、GB28661、GB 30770 等）以及甘肃省实施的地方水污染物排放标准</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26废气排放</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在开采、加工、运输、贮存等环节，采取废气净化、个体防护等措施，实现达标排放，生产过程中的大气污染物排放应符合国家或地方相应排放标准。符合得2分，一处不符合扣0.5分，扣完为止。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国家大气污染物排放标准（GB 4915、GB 9078、GB 16297、GB 20426、GB 25465、GB 25466、GB 25467、GB 25468、GB 26451、GB 28661、GB 30770、GB 41618等）、企业防尘相关措施、作业场所粉尘清单</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27噪声排放</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矿山有主要产生噪音场所的清单，对生产车间高噪声设备采取降噪措施，噪声排放达标。符合得2分，一处不符合扣0.5分，扣完为止。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《工业企业厂界环境噪声排放标准》（GB 12348-2008）</w:t>
            </w:r>
          </w:p>
        </w:tc>
        <w:tc>
          <w:tcPr>
            <w:tcW w:w="310" w:type="pct"/>
            <w:vAlign w:val="center"/>
          </w:tcPr>
          <w:p>
            <w:pPr>
              <w:widowControl/>
              <w:adjustRightInd w:val="0"/>
              <w:snapToGrid w:val="0"/>
              <w:spacing w:line="240" w:lineRule="exact"/>
              <w:jc w:val="left"/>
              <w:textAlignment w:val="center"/>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364"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五、生态修复与环境治理（5项，14分）</w:t>
            </w:r>
          </w:p>
        </w:tc>
        <w:tc>
          <w:tcPr>
            <w:tcW w:w="357" w:type="pct"/>
            <w:vMerge w:val="restar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（一）矿山地质环境治理恢复与土地复垦（4分）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28矿山地质环境保护与土地复垦方案编制与执行</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《矿山地质环境保护与土地复垦方案》已通过审查并在适用期；矿山地质环境治理恢复、土地复垦质量符合要求。符合得2</w:t>
            </w:r>
            <w:r>
              <w:rPr>
                <w:rFonts w:hint="eastAsia" w:ascii="仿宋" w:hAnsi="仿宋" w:eastAsia="仿宋" w:cs="仿宋"/>
                <w:color w:val="auto"/>
                <w:kern w:val="0"/>
                <w:szCs w:val="21"/>
                <w:lang w:bidi="ar"/>
              </w:rPr>
              <w:t>分，一处不符合扣0.5分，扣完为止。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《矿山地质环境保护与土地复垦方案》、《矿山生态修复技术规范》(TD/T 1070)等标准规范。</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29矿山地质环境治理恢复基金计提使用</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按相关规定及标准足额计提矿山地质环境治理恢复基金并规范使用；基金统筹用于开展矿山地质环境治理恢复和土地复垦。对于特殊性质及公益服务定位的事业单位，无法设立矿山地质环境治理恢复基金专户缴存相关基金的，按照相关要求开展矿山地质环境恢复治理工作，取得较好治理效果。符合得2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《矿山地质环境保护与土地复垦方案》及年度计划、基金监管政策文件及标准规范，其他证明材料等。</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（二）治理要求（2分）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30治理效果</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治理后的各类场地，应恢复土地基本功能，因地制宜实现土地可持续利用。对周边环境不产生污染。符合得2分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《土地复垦质量控制标准》《矿山生态修复技术规范》、《退化草地修复技术规范》（GB/T 37057）及其他文件证明材料</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（三）矿山环境动态监测（4分）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31动态监测要求</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建立动态监测体系，</w:t>
            </w:r>
            <w:r>
              <w:rPr>
                <w:rFonts w:hint="eastAsia" w:ascii="仿宋" w:hAnsi="仿宋" w:eastAsia="仿宋" w:cs="仿宋"/>
                <w:color w:val="auto"/>
                <w:kern w:val="0"/>
                <w:szCs w:val="21"/>
                <w:lang w:bidi="ar"/>
              </w:rPr>
              <w:t>定期对水位、水温、水质、水量等进行监测并记录，</w:t>
            </w:r>
            <w:r>
              <w:rPr>
                <w:rFonts w:hint="eastAsia" w:ascii="仿宋" w:hAnsi="仿宋" w:eastAsia="仿宋" w:cs="仿宋"/>
                <w:color w:val="auto"/>
                <w:kern w:val="0"/>
                <w:szCs w:val="21"/>
              </w:rPr>
              <w:t>并根据监测结果，采取有效保护措施。对生态系统破坏（退化）与恢复进行动态监测。符合得4分</w:t>
            </w:r>
            <w:r>
              <w:rPr>
                <w:rFonts w:hint="eastAsia" w:ascii="仿宋" w:hAnsi="仿宋" w:eastAsia="仿宋" w:cs="仿宋"/>
                <w:color w:val="auto"/>
                <w:kern w:val="0"/>
                <w:szCs w:val="21"/>
                <w:lang w:bidi="ar"/>
              </w:rPr>
              <w:t>，一处不符合扣0.5分，扣完为止。</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动态监测记录、《矿山生态修复技术规范》(TD/T1070)、《草原资源与生态监测技术规程》（NY/T 1233）等相关标准规范或其他证明材料</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（四）环境管理体系（4分）</w:t>
            </w:r>
          </w:p>
        </w:tc>
        <w:tc>
          <w:tcPr>
            <w:tcW w:w="398" w:type="pct"/>
            <w:tcMar>
              <w:top w:w="12" w:type="dxa"/>
              <w:left w:w="12" w:type="dxa"/>
              <w:right w:w="12" w:type="dxa"/>
            </w:tcMar>
            <w:vAlign w:val="center"/>
          </w:tcPr>
          <w:p>
            <w:pPr>
              <w:adjustRightInd w:val="0"/>
              <w:snapToGrid w:val="0"/>
              <w:spacing w:line="240" w:lineRule="exact"/>
              <w:jc w:val="left"/>
              <w:rPr>
                <w:rFonts w:ascii="仿宋" w:hAnsi="仿宋" w:eastAsia="仿宋" w:cs="仿宋"/>
                <w:color w:val="auto"/>
                <w:kern w:val="0"/>
                <w:szCs w:val="21"/>
              </w:rPr>
            </w:pPr>
            <w:r>
              <w:rPr>
                <w:rFonts w:hint="eastAsia" w:ascii="仿宋" w:hAnsi="仿宋" w:eastAsia="仿宋" w:cs="仿宋"/>
                <w:color w:val="auto"/>
                <w:kern w:val="0"/>
                <w:szCs w:val="21"/>
              </w:rPr>
              <w:t>32环境管理体系要求</w:t>
            </w:r>
          </w:p>
        </w:tc>
        <w:tc>
          <w:tcPr>
            <w:tcW w:w="250" w:type="pct"/>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kern w:val="0"/>
                <w:szCs w:val="21"/>
              </w:rPr>
              <w:t>4</w:t>
            </w:r>
          </w:p>
        </w:tc>
        <w:tc>
          <w:tcPr>
            <w:tcW w:w="1933"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建立环境管理机制，有完善的环境管理制度，得1分；配备了必要的环境管理机构和生态环境保护等专业技术人员，得1分；有环境管理日常监管记录得1分；采取了环境风险防范措施，得1分；获得环境管理体系认证，得4分。</w:t>
            </w:r>
            <w:r>
              <w:rPr>
                <w:rFonts w:hint="eastAsia" w:ascii="仿宋" w:hAnsi="仿宋" w:eastAsia="仿宋" w:cs="仿宋"/>
                <w:color w:val="auto"/>
                <w:kern w:val="0"/>
                <w:szCs w:val="21"/>
                <w:lang w:bidi="ar"/>
              </w:rPr>
              <w:t>累计得分不超过该项总分值。</w:t>
            </w:r>
          </w:p>
        </w:tc>
        <w:tc>
          <w:tcPr>
            <w:tcW w:w="30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ISO环境管理体系认证</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364"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六、科技创新与规范管理（8项，15分）</w:t>
            </w:r>
          </w:p>
        </w:tc>
        <w:tc>
          <w:tcPr>
            <w:tcW w:w="35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（一）科技创新（2分）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33研发及技改投入</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必要的科技创新制度体系，得1分；大型企业有技术研发队伍，中小企业有相关专业技术人员，得1分；近三年年均研发及技改投入不低于矿山主营业务收入的1.5%，得1分；开展支撑企业主业发展的技术研究，如地下水环境质量专项研究、环评专项研究等，得0.5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生产报表（调度报表）或其他证明材料</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textAlignment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34创新成果</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获得1项发明专利得0.5分；获得1项实用性专利得0.5分；获得省部级及以上奖励得1分，厅局级奖励得0.5分；使用《节地技术和节地模式推荐目录》或最新版《矿产资源节约和综合利用先进适用技术目录》1项，得1分；加强换热技术、回灌技术、梯级利用等关键技术研究，提高地热资源利用率得1分；加强矿泉水资源利用技术研究，提高矿泉水资源利用率得1分；获得高新技术企业证书，得1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主管部门公告文件，项目立项文件及项目台账</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（二）数字化矿山（3分）</w:t>
            </w: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rPr>
              <w:t>35</w:t>
            </w:r>
            <w:r>
              <w:rPr>
                <w:rFonts w:hint="eastAsia" w:ascii="仿宋" w:hAnsi="仿宋" w:eastAsia="仿宋" w:cs="仿宋"/>
                <w:color w:val="auto"/>
                <w:kern w:val="0"/>
                <w:szCs w:val="21"/>
                <w:lang w:bidi="ar"/>
              </w:rPr>
              <w:t>集中管控平台</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地热、矿泉水开采、生产、处理、计量、包装等全过程实现数字化远程监控，得1分；地热、矿泉水生产、处理、加工关键工艺流程数控化率不低于80%，得1分；有矿山资源储量数字化模型建设计划，得1分；逐步实现资源储量精准化管理，保障生产高效有序，得1分。</w:t>
            </w:r>
            <w:r>
              <w:rPr>
                <w:rFonts w:hint="eastAsia" w:ascii="仿宋" w:hAnsi="仿宋" w:eastAsia="仿宋" w:cs="仿宋"/>
                <w:color w:val="auto"/>
                <w:kern w:val="0"/>
                <w:szCs w:val="21"/>
              </w:rPr>
              <w:t>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矿山自动化各子系统建设方案</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98"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36智能化应用</w:t>
            </w:r>
          </w:p>
        </w:tc>
        <w:tc>
          <w:tcPr>
            <w:tcW w:w="250" w:type="pct"/>
            <w:tcMar>
              <w:top w:w="12" w:type="dxa"/>
              <w:left w:w="12" w:type="dxa"/>
              <w:right w:w="12" w:type="dxa"/>
            </w:tcMar>
            <w:vAlign w:val="center"/>
          </w:tcPr>
          <w:p>
            <w:pPr>
              <w:widowControl/>
              <w:adjustRightInd w:val="0"/>
              <w:snapToGrid w:val="0"/>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建设矿山生产自动化系统，实现生产、监测监控等子系统集中管控和信息联动，得1分；实现矿山开采机械化、生产自动化，</w:t>
            </w:r>
            <w:bookmarkStart w:id="29" w:name="OLE_LINK11"/>
            <w:r>
              <w:rPr>
                <w:rFonts w:hint="eastAsia" w:ascii="仿宋" w:hAnsi="仿宋" w:eastAsia="仿宋" w:cs="仿宋"/>
                <w:color w:val="auto"/>
                <w:kern w:val="0"/>
                <w:szCs w:val="21"/>
                <w:lang w:bidi="ar"/>
              </w:rPr>
              <w:t>得1分；</w:t>
            </w:r>
            <w:bookmarkEnd w:id="29"/>
            <w:r>
              <w:rPr>
                <w:rFonts w:hint="eastAsia" w:ascii="仿宋" w:hAnsi="仿宋" w:eastAsia="仿宋" w:cs="仿宋"/>
                <w:color w:val="auto"/>
                <w:kern w:val="0"/>
                <w:szCs w:val="21"/>
                <w:lang w:bidi="ar"/>
              </w:rPr>
              <w:t>企业年度计划中有智能矿山建设计划或按照《智能矿山建设规范》（DZ/T 0376-2021）等标准开展智能矿山建设的，得0.5分；已完成智能矿山建设的，得1分。累计得分不超过该项总分值。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rPr>
            </w:pPr>
            <w:r>
              <w:rPr>
                <w:rFonts w:hint="eastAsia" w:ascii="仿宋" w:hAnsi="仿宋" w:eastAsia="仿宋" w:cs="仿宋"/>
                <w:color w:val="auto"/>
                <w:kern w:val="0"/>
                <w:szCs w:val="21"/>
              </w:rPr>
              <w:t>企业年度计划书，《智能矿山建设规范》</w:t>
            </w:r>
          </w:p>
        </w:tc>
        <w:tc>
          <w:tcPr>
            <w:tcW w:w="310" w:type="pct"/>
            <w:vAlign w:val="center"/>
          </w:tcPr>
          <w:p>
            <w:pPr>
              <w:adjustRightInd w:val="0"/>
              <w:snapToGrid w:val="0"/>
              <w:spacing w:line="240" w:lineRule="exac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restar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（三）规范管理（10分）</w:t>
            </w: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37企业文化</w:t>
            </w:r>
          </w:p>
        </w:tc>
        <w:tc>
          <w:tcPr>
            <w:tcW w:w="250"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制定符合企业特征的发展目标，树立良好企业文化和企业精神，职工个人价值实现与企业发展紧密结合，企业诚实经营、履行社会责任。有职工休闲、娱乐、文化体育设施，定期开展各项活动，职工满意度不低于70%。</w:t>
            </w:r>
            <w:r>
              <w:rPr>
                <w:rFonts w:hint="eastAsia" w:ascii="仿宋" w:hAnsi="仿宋" w:eastAsia="仿宋" w:cs="仿宋"/>
                <w:color w:val="auto"/>
                <w:kern w:val="0"/>
                <w:szCs w:val="21"/>
              </w:rPr>
              <w:t>符合得2分，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查资料、查现场、调查走访</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企业管理文件、自评材料、宣传片、活动证明、认证、证书、调查问卷原始记录等材料</w:t>
            </w:r>
          </w:p>
        </w:tc>
        <w:tc>
          <w:tcPr>
            <w:tcW w:w="310"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spacing w:line="240" w:lineRule="exact"/>
              <w:jc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38企业诚信</w:t>
            </w:r>
          </w:p>
        </w:tc>
        <w:tc>
          <w:tcPr>
            <w:tcW w:w="250"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依法纳税，按要求提交储量年报、矿产资源统计基础表，按规定缴存矿业权出让收益。</w:t>
            </w:r>
            <w:r>
              <w:rPr>
                <w:rFonts w:hint="eastAsia" w:ascii="仿宋" w:hAnsi="仿宋" w:eastAsia="仿宋" w:cs="仿宋"/>
                <w:color w:val="auto"/>
                <w:kern w:val="0"/>
                <w:szCs w:val="21"/>
              </w:rPr>
              <w:t>符合得2分，</w:t>
            </w:r>
            <w:r>
              <w:rPr>
                <w:rFonts w:hint="eastAsia" w:ascii="仿宋" w:hAnsi="仿宋" w:eastAsia="仿宋" w:cs="仿宋"/>
                <w:color w:val="auto"/>
                <w:kern w:val="0"/>
                <w:szCs w:val="21"/>
                <w:lang w:bidi="ar"/>
              </w:rPr>
              <w:t>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w:t>
            </w:r>
          </w:p>
        </w:tc>
        <w:tc>
          <w:tcPr>
            <w:tcW w:w="914"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税务及相关部门证明</w:t>
            </w:r>
          </w:p>
        </w:tc>
        <w:tc>
          <w:tcPr>
            <w:tcW w:w="310"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39矿地和谐</w:t>
            </w:r>
          </w:p>
        </w:tc>
        <w:tc>
          <w:tcPr>
            <w:tcW w:w="250"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2</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建立职业健康管理制度。建立良好矿地关系，制定和公开申诉回应制度。具有联系机构与人员，及时妥善处理与受采矿活动影响的社区等利益相关者间的纠纷矛盾，维护当地生产、生活相关生态环境。在劳务用工、基础设施、公益募捐、教育医疗支持等一个及以上方面开展帮扶，助力乡村振兴。符合得2分，一处不符合扣0.2分，扣完为止。</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查资料、调查走访</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rPr>
              <w:t>相关文件、票据等证明材料</w:t>
            </w:r>
          </w:p>
        </w:tc>
        <w:tc>
          <w:tcPr>
            <w:tcW w:w="310"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364" w:type="pct"/>
            <w:vMerge w:val="continue"/>
            <w:tcMar>
              <w:top w:w="12" w:type="dxa"/>
              <w:left w:w="12" w:type="dxa"/>
              <w:right w:w="12" w:type="dxa"/>
            </w:tcMar>
            <w:vAlign w:val="center"/>
          </w:tcPr>
          <w:p>
            <w:pPr>
              <w:adjustRightInd w:val="0"/>
              <w:snapToGrid w:val="0"/>
              <w:spacing w:line="240" w:lineRule="exact"/>
              <w:jc w:val="center"/>
              <w:rPr>
                <w:rFonts w:ascii="仿宋" w:hAnsi="仿宋" w:eastAsia="仿宋" w:cs="仿宋"/>
                <w:color w:val="auto"/>
                <w:kern w:val="0"/>
                <w:szCs w:val="21"/>
              </w:rPr>
            </w:pPr>
          </w:p>
        </w:tc>
        <w:tc>
          <w:tcPr>
            <w:tcW w:w="357" w:type="pct"/>
            <w:vMerge w:val="continue"/>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p>
        </w:tc>
        <w:tc>
          <w:tcPr>
            <w:tcW w:w="398" w:type="pct"/>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40企业管理</w:t>
            </w:r>
          </w:p>
        </w:tc>
        <w:tc>
          <w:tcPr>
            <w:tcW w:w="250"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4</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实行安全生产规范化管理，通过相关行业部门验收，得1分；各类图纸、报表、台帐、档案资料等应齐全、完整、真实，资源储量开采报表真实可靠，开采设备及材料资料清单内容完备，得1分；制定突发环境事件的应急预案并开展应急演练，得1分；建立绿色矿山管理体系，配备专（兼）职人员，落实绿色矿山建设任务；职工职业技能培训体系和绿色矿山定期培训制度健全，培训计划明确、培训记录完善，绿色矿山建设宣传视频、相关资料完整，得2分。累计得分不超过该项总分值。</w:t>
            </w: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查资料、查现场、</w:t>
            </w: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rPr>
            </w:pPr>
            <w:r>
              <w:rPr>
                <w:rFonts w:hint="eastAsia" w:ascii="仿宋" w:hAnsi="仿宋" w:eastAsia="仿宋" w:cs="仿宋"/>
                <w:color w:val="auto"/>
                <w:kern w:val="0"/>
                <w:szCs w:val="21"/>
                <w:lang w:bidi="ar"/>
              </w:rPr>
              <w:t>企业管理文件</w:t>
            </w:r>
          </w:p>
        </w:tc>
        <w:tc>
          <w:tcPr>
            <w:tcW w:w="310"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120" w:type="pct"/>
            <w:gridSpan w:val="3"/>
            <w:tcMar>
              <w:top w:w="12" w:type="dxa"/>
              <w:left w:w="12" w:type="dxa"/>
              <w:right w:w="12" w:type="dxa"/>
            </w:tcMar>
            <w:vAlign w:val="center"/>
          </w:tcPr>
          <w:p>
            <w:pPr>
              <w:widowControl/>
              <w:spacing w:line="240" w:lineRule="exact"/>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总分</w:t>
            </w:r>
          </w:p>
        </w:tc>
        <w:tc>
          <w:tcPr>
            <w:tcW w:w="250" w:type="pct"/>
            <w:tcMar>
              <w:top w:w="12" w:type="dxa"/>
              <w:left w:w="12" w:type="dxa"/>
              <w:right w:w="12" w:type="dxa"/>
            </w:tcMar>
            <w:vAlign w:val="center"/>
          </w:tcPr>
          <w:p>
            <w:pPr>
              <w:widowControl/>
              <w:spacing w:line="240" w:lineRule="exact"/>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100</w:t>
            </w:r>
          </w:p>
        </w:tc>
        <w:tc>
          <w:tcPr>
            <w:tcW w:w="1933" w:type="pct"/>
            <w:tcMar>
              <w:top w:w="12" w:type="dxa"/>
              <w:left w:w="12" w:type="dxa"/>
              <w:right w:w="12" w:type="dxa"/>
            </w:tcMar>
            <w:vAlign w:val="center"/>
          </w:tcPr>
          <w:p>
            <w:pPr>
              <w:widowControl/>
              <w:adjustRightInd w:val="0"/>
              <w:snapToGrid w:val="0"/>
              <w:spacing w:line="240" w:lineRule="exact"/>
              <w:textAlignment w:val="center"/>
              <w:rPr>
                <w:rFonts w:ascii="仿宋" w:hAnsi="仿宋" w:eastAsia="仿宋" w:cs="仿宋"/>
                <w:color w:val="auto"/>
                <w:kern w:val="0"/>
                <w:szCs w:val="21"/>
                <w:lang w:bidi="ar"/>
              </w:rPr>
            </w:pPr>
          </w:p>
        </w:tc>
        <w:tc>
          <w:tcPr>
            <w:tcW w:w="304" w:type="pct"/>
            <w:tcMar>
              <w:top w:w="12" w:type="dxa"/>
              <w:left w:w="12" w:type="dxa"/>
              <w:right w:w="12" w:type="dxa"/>
            </w:tcMar>
            <w:vAlign w:val="center"/>
          </w:tcPr>
          <w:p>
            <w:pPr>
              <w:widowControl/>
              <w:adjustRightInd w:val="0"/>
              <w:snapToGrid w:val="0"/>
              <w:spacing w:line="240" w:lineRule="exact"/>
              <w:jc w:val="left"/>
              <w:textAlignment w:val="center"/>
              <w:rPr>
                <w:rFonts w:ascii="仿宋" w:hAnsi="仿宋" w:eastAsia="仿宋" w:cs="仿宋"/>
                <w:color w:val="auto"/>
                <w:kern w:val="0"/>
                <w:szCs w:val="21"/>
                <w:lang w:bidi="ar"/>
              </w:rPr>
            </w:pPr>
          </w:p>
        </w:tc>
        <w:tc>
          <w:tcPr>
            <w:tcW w:w="914" w:type="pct"/>
            <w:tcMar>
              <w:top w:w="12" w:type="dxa"/>
              <w:left w:w="12" w:type="dxa"/>
              <w:right w:w="12" w:type="dxa"/>
            </w:tcMar>
            <w:vAlign w:val="center"/>
          </w:tcPr>
          <w:p>
            <w:pPr>
              <w:adjustRightInd w:val="0"/>
              <w:snapToGrid w:val="0"/>
              <w:spacing w:line="240" w:lineRule="exact"/>
              <w:rPr>
                <w:rFonts w:ascii="仿宋" w:hAnsi="仿宋" w:eastAsia="仿宋" w:cs="仿宋"/>
                <w:color w:val="auto"/>
                <w:kern w:val="0"/>
                <w:szCs w:val="21"/>
                <w:lang w:bidi="ar"/>
              </w:rPr>
            </w:pPr>
          </w:p>
        </w:tc>
        <w:tc>
          <w:tcPr>
            <w:tcW w:w="310" w:type="pct"/>
            <w:vAlign w:val="center"/>
          </w:tcPr>
          <w:p>
            <w:pPr>
              <w:spacing w:line="240" w:lineRule="exact"/>
              <w:jc w:val="left"/>
              <w:rPr>
                <w:rFonts w:ascii="仿宋" w:hAnsi="仿宋" w:eastAsia="仿宋" w:cs="仿宋"/>
                <w:color w:val="auto"/>
                <w:kern w:val="0"/>
                <w:szCs w:val="21"/>
              </w:rPr>
            </w:pPr>
          </w:p>
        </w:tc>
        <w:tc>
          <w:tcPr>
            <w:tcW w:w="169" w:type="pct"/>
            <w:vAlign w:val="center"/>
          </w:tcPr>
          <w:p>
            <w:pPr>
              <w:adjustRightInd w:val="0"/>
              <w:snapToGrid w:val="0"/>
              <w:spacing w:line="240" w:lineRule="exact"/>
              <w:jc w:val="center"/>
              <w:rPr>
                <w:rFonts w:ascii="仿宋" w:hAnsi="仿宋" w:eastAsia="仿宋" w:cs="仿宋"/>
                <w:color w:val="auto"/>
                <w:kern w:val="0"/>
                <w:szCs w:val="21"/>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p>
    <w:sectPr>
      <w:footerReference r:id="rId6" w:type="default"/>
      <w:pgSz w:w="16838" w:h="11906" w:orient="landscape"/>
      <w:pgMar w:top="1417" w:right="1440"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方正小标宋_GBK"/>
    <w:panose1 w:val="00000000000000000000"/>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color w:val="00000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rPr>
                            <w:fldChar w:fldCharType="begin"/>
                          </w:r>
                          <w:r>
                            <w:rPr>
                              <w:rFonts w:hint="eastAsia" w:ascii="宋体" w:hAnsi="宋体" w:cs="宋体"/>
                              <w:color w:val="000000"/>
                              <w:kern w:val="0"/>
                              <w:sz w:val="28"/>
                              <w:szCs w:val="28"/>
                            </w:rPr>
                            <w:instrText xml:space="preserve"> PAGE  \* MERGEFORMAT </w:instrText>
                          </w:r>
                          <w:r>
                            <w:rPr>
                              <w:rFonts w:hint="eastAsia" w:ascii="宋体" w:hAnsi="宋体" w:cs="宋体"/>
                              <w:color w:val="000000"/>
                              <w:kern w:val="0"/>
                              <w:sz w:val="28"/>
                              <w:szCs w:val="28"/>
                            </w:rPr>
                            <w:fldChar w:fldCharType="separate"/>
                          </w:r>
                          <w:r>
                            <w:rPr>
                              <w:rFonts w:ascii="宋体" w:hAnsi="宋体" w:cs="宋体"/>
                              <w:color w:val="000000"/>
                              <w:kern w:val="0"/>
                              <w:sz w:val="28"/>
                              <w:szCs w:val="28"/>
                            </w:rPr>
                            <w:t>10</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zSVju0AAAAAUBAAAPAAAAAAAAAAEAIAAAADgAAABkcnMvZG93&#10;bnJldi54bWxQSwECFAAUAAAACACHTuJA56ABp7kBAABZAwAADgAAAAAAAAABACAAAAA1AQAAZHJz&#10;L2Uyb0RvYy54bWxQSwUGAAAAAAYABgBZAQAAYAUAAAAA&#10;">
              <v:fill on="f" focussize="0,0"/>
              <v:stroke on="f" weight="0.5pt"/>
              <v:imagedata o:title=""/>
              <o:lock v:ext="edit" aspectratio="f"/>
              <v:textbox inset="0mm,0mm,0mm,0mm" style="mso-fit-shape-to-text:t;">
                <w:txbxContent>
                  <w:p>
                    <w:pPr>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rPr>
                      <w:fldChar w:fldCharType="begin"/>
                    </w:r>
                    <w:r>
                      <w:rPr>
                        <w:rFonts w:hint="eastAsia" w:ascii="宋体" w:hAnsi="宋体" w:cs="宋体"/>
                        <w:color w:val="000000"/>
                        <w:kern w:val="0"/>
                        <w:sz w:val="28"/>
                        <w:szCs w:val="28"/>
                      </w:rPr>
                      <w:instrText xml:space="preserve"> PAGE  \* MERGEFORMAT </w:instrText>
                    </w:r>
                    <w:r>
                      <w:rPr>
                        <w:rFonts w:hint="eastAsia" w:ascii="宋体" w:hAnsi="宋体" w:cs="宋体"/>
                        <w:color w:val="000000"/>
                        <w:kern w:val="0"/>
                        <w:sz w:val="28"/>
                        <w:szCs w:val="28"/>
                      </w:rPr>
                      <w:fldChar w:fldCharType="separate"/>
                    </w:r>
                    <w:r>
                      <w:rPr>
                        <w:rFonts w:ascii="宋体" w:hAnsi="宋体" w:cs="宋体"/>
                        <w:color w:val="000000"/>
                        <w:kern w:val="0"/>
                        <w:sz w:val="28"/>
                        <w:szCs w:val="28"/>
                      </w:rPr>
                      <w:t>10</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color w:val="00000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5598598" name="文本框 13855985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rPr>
                            <w:fldChar w:fldCharType="begin"/>
                          </w:r>
                          <w:r>
                            <w:rPr>
                              <w:rFonts w:hint="eastAsia" w:ascii="宋体" w:hAnsi="宋体" w:cs="宋体"/>
                              <w:color w:val="000000"/>
                              <w:kern w:val="0"/>
                              <w:sz w:val="28"/>
                              <w:szCs w:val="28"/>
                            </w:rPr>
                            <w:instrText xml:space="preserve"> PAGE  \* MERGEFORMAT </w:instrText>
                          </w:r>
                          <w:r>
                            <w:rPr>
                              <w:rFonts w:hint="eastAsia" w:ascii="宋体" w:hAnsi="宋体" w:cs="宋体"/>
                              <w:color w:val="000000"/>
                              <w:kern w:val="0"/>
                              <w:sz w:val="28"/>
                              <w:szCs w:val="28"/>
                            </w:rPr>
                            <w:fldChar w:fldCharType="separate"/>
                          </w:r>
                          <w:r>
                            <w:rPr>
                              <w:rFonts w:ascii="宋体" w:hAnsi="宋体" w:cs="宋体"/>
                              <w:color w:val="000000"/>
                              <w:kern w:val="0"/>
                              <w:sz w:val="28"/>
                              <w:szCs w:val="28"/>
                            </w:rPr>
                            <w:t>20</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NJWO7QAAAABQEAAA8AAAAAAAAAAQAgAAAAOAAA&#10;AGRycy9kb3ducmV2LnhtbFBLAQIUABQAAAAIAIdO4kDqKQruwQEAAGsDAAAOAAAAAAAAAAEAIAAA&#10;ADUBAABkcnMvZTJvRG9jLnhtbFBLBQYAAAAABgAGAFkBAABoBQAAAAA=&#10;">
              <v:fill on="f" focussize="0,0"/>
              <v:stroke on="f" weight="0.5pt"/>
              <v:imagedata o:title=""/>
              <o:lock v:ext="edit" aspectratio="f"/>
              <v:textbox inset="0mm,0mm,0mm,0mm" style="mso-fit-shape-to-text:t;">
                <w:txbxContent>
                  <w:p>
                    <w:pPr>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rPr>
                      <w:fldChar w:fldCharType="begin"/>
                    </w:r>
                    <w:r>
                      <w:rPr>
                        <w:rFonts w:hint="eastAsia" w:ascii="宋体" w:hAnsi="宋体" w:cs="宋体"/>
                        <w:color w:val="000000"/>
                        <w:kern w:val="0"/>
                        <w:sz w:val="28"/>
                        <w:szCs w:val="28"/>
                      </w:rPr>
                      <w:instrText xml:space="preserve"> PAGE  \* MERGEFORMAT </w:instrText>
                    </w:r>
                    <w:r>
                      <w:rPr>
                        <w:rFonts w:hint="eastAsia" w:ascii="宋体" w:hAnsi="宋体" w:cs="宋体"/>
                        <w:color w:val="000000"/>
                        <w:kern w:val="0"/>
                        <w:sz w:val="28"/>
                        <w:szCs w:val="28"/>
                      </w:rPr>
                      <w:fldChar w:fldCharType="separate"/>
                    </w:r>
                    <w:r>
                      <w:rPr>
                        <w:rFonts w:ascii="宋体" w:hAnsi="宋体" w:cs="宋体"/>
                        <w:color w:val="000000"/>
                        <w:kern w:val="0"/>
                        <w:sz w:val="28"/>
                        <w:szCs w:val="28"/>
                      </w:rPr>
                      <w:t>20</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posOffset>5286375</wp:posOffset>
              </wp:positionH>
              <wp:positionV relativeFrom="paragraph">
                <wp:posOffset>190500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0"/>
                            <w:jc w:val="center"/>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53 -</w:t>
                          </w:r>
                          <w:r>
                            <w:rPr>
                              <w:rFonts w:hint="eastAsia" w:ascii="仿宋" w:hAnsi="仿宋" w:eastAsia="仿宋" w:cs="仿宋"/>
                              <w:sz w:val="28"/>
                              <w:szCs w:val="28"/>
                            </w:rPr>
                            <w:fldChar w:fldCharType="end"/>
                          </w:r>
                        </w:p>
                        <w:p>
                          <w:pPr>
                            <w:spacing w:line="280" w:lineRule="atLeast"/>
                            <w:ind w:firstLine="560" w:firstLineChars="200"/>
                            <w:jc w:val="left"/>
                            <w:rPr>
                              <w:kern w:val="26"/>
                              <w:sz w:val="28"/>
                            </w:rPr>
                          </w:pPr>
                        </w:p>
                      </w:txbxContent>
                    </wps:txbx>
                    <wps:bodyPr wrap="none" lIns="0" tIns="0" rIns="0" bIns="0">
                      <a:spAutoFit/>
                    </wps:bodyPr>
                  </wps:wsp>
                </a:graphicData>
              </a:graphic>
            </wp:anchor>
          </w:drawing>
        </mc:Choice>
        <mc:Fallback>
          <w:pict>
            <v:shape id="文本框 4" o:spid="_x0000_s1026" o:spt="202" type="#_x0000_t202" style="position:absolute;left:0pt;margin-left:416.25pt;margin-top:15pt;height:144pt;width:144pt;mso-position-horizontal-relative:margin;mso-wrap-style:none;z-index:251660288;mso-width-relative:page;mso-height-relative:page;" filled="f" stroked="f" coordsize="21600,21600" o:gfxdata="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BwShPdUAAAALAQAADwAAAAAAAAABACAAAAA4AAAAZHJzL2Rvd25yZXYu&#10;eG1sUEsBAhQAFAAAAAgAh07iQFZOczCvAQAAUAMAAA4AAAAAAAAAAQAgAAAAOgEAAGRycy9lMm9E&#10;b2MueG1sUEsFBgAAAAAGAAYAWQEAAFsFAAAAAA==&#10;">
              <v:fill on="f" focussize="0,0"/>
              <v:stroke on="f"/>
              <v:imagedata o:title=""/>
              <o:lock v:ext="edit" aspectratio="f"/>
              <v:textbox inset="0mm,0mm,0mm,0mm" style="mso-fit-shape-to-text:t;">
                <w:txbxContent>
                  <w:p>
                    <w:pPr>
                      <w:pStyle w:val="10"/>
                      <w:jc w:val="center"/>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53 -</w:t>
                    </w:r>
                    <w:r>
                      <w:rPr>
                        <w:rFonts w:hint="eastAsia" w:ascii="仿宋" w:hAnsi="仿宋" w:eastAsia="仿宋" w:cs="仿宋"/>
                        <w:sz w:val="28"/>
                        <w:szCs w:val="28"/>
                      </w:rPr>
                      <w:fldChar w:fldCharType="end"/>
                    </w:r>
                  </w:p>
                  <w:p>
                    <w:pPr>
                      <w:spacing w:line="280" w:lineRule="atLeast"/>
                      <w:ind w:firstLine="560" w:firstLineChars="200"/>
                      <w:jc w:val="left"/>
                      <w:rPr>
                        <w:kern w:val="26"/>
                        <w:sz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EA"/>
    <w:rsid w:val="000C2918"/>
    <w:rsid w:val="00113CCF"/>
    <w:rsid w:val="005F384D"/>
    <w:rsid w:val="00677C0B"/>
    <w:rsid w:val="00757AE9"/>
    <w:rsid w:val="00A863C1"/>
    <w:rsid w:val="00B7546C"/>
    <w:rsid w:val="00C40F48"/>
    <w:rsid w:val="00DD49EA"/>
    <w:rsid w:val="00FC01CC"/>
    <w:rsid w:val="1FB91482"/>
    <w:rsid w:val="2FE5E0AD"/>
    <w:rsid w:val="37FB7160"/>
    <w:rsid w:val="3EAB0813"/>
    <w:rsid w:val="41B75C38"/>
    <w:rsid w:val="427A628C"/>
    <w:rsid w:val="4EDF05BC"/>
    <w:rsid w:val="5FF5D2E8"/>
    <w:rsid w:val="62DF3D7A"/>
    <w:rsid w:val="66B78D56"/>
    <w:rsid w:val="66F764A5"/>
    <w:rsid w:val="6F7F19D2"/>
    <w:rsid w:val="76F1DC5B"/>
    <w:rsid w:val="78FFC3B3"/>
    <w:rsid w:val="7B5FB243"/>
    <w:rsid w:val="7E0B785D"/>
    <w:rsid w:val="7E9198C2"/>
    <w:rsid w:val="7F13FC96"/>
    <w:rsid w:val="7FCDA5CF"/>
    <w:rsid w:val="9C1363BC"/>
    <w:rsid w:val="9CEA83D9"/>
    <w:rsid w:val="B9FD2E71"/>
    <w:rsid w:val="D71DC9BB"/>
    <w:rsid w:val="E5EE951A"/>
    <w:rsid w:val="E8BEBA80"/>
    <w:rsid w:val="ECF759C3"/>
    <w:rsid w:val="F1E71894"/>
    <w:rsid w:val="F7AF5C07"/>
    <w:rsid w:val="FBB9E021"/>
    <w:rsid w:val="FBDBEEFA"/>
    <w:rsid w:val="FBFBCA68"/>
    <w:rsid w:val="FCFB59BF"/>
    <w:rsid w:val="FDBBE44E"/>
    <w:rsid w:val="FDF960D8"/>
    <w:rsid w:val="FEFE2867"/>
    <w:rsid w:val="FF16C79D"/>
    <w:rsid w:val="FF5927D1"/>
    <w:rsid w:val="FF7A1A0C"/>
    <w:rsid w:val="FFEF34BF"/>
    <w:rsid w:val="FFEFD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cs="Calibri"/>
      <w:b/>
      <w:bCs/>
      <w:kern w:val="44"/>
      <w:sz w:val="44"/>
      <w:szCs w:val="44"/>
    </w:rPr>
  </w:style>
  <w:style w:type="paragraph" w:styleId="3">
    <w:name w:val="heading 4"/>
    <w:next w:val="1"/>
    <w:link w:val="24"/>
    <w:unhideWhenUsed/>
    <w:qFormat/>
    <w:uiPriority w:val="0"/>
    <w:pPr>
      <w:keepNext/>
      <w:keepLines/>
      <w:widowControl w:val="0"/>
      <w:adjustRightInd w:val="0"/>
      <w:snapToGrid w:val="0"/>
      <w:spacing w:before="50" w:beforeLines="50" w:after="50" w:afterLines="50" w:line="360" w:lineRule="auto"/>
      <w:jc w:val="center"/>
      <w:outlineLvl w:val="3"/>
    </w:pPr>
    <w:rPr>
      <w:rFonts w:ascii="Times New Roman" w:hAnsi="Times New Roman" w:eastAsia="宋体" w:cs="Times New Roman"/>
      <w:b/>
      <w:bCs/>
      <w:kern w:val="2"/>
      <w:sz w:val="30"/>
      <w:szCs w:val="28"/>
      <w:lang w:val="en-US" w:eastAsia="zh-CN" w:bidi="ar-SA"/>
    </w:rPr>
  </w:style>
  <w:style w:type="paragraph" w:styleId="4">
    <w:name w:val="heading 6"/>
    <w:basedOn w:val="1"/>
    <w:next w:val="1"/>
    <w:link w:val="25"/>
    <w:qFormat/>
    <w:uiPriority w:val="99"/>
    <w:pPr>
      <w:keepNext/>
      <w:keepLines/>
      <w:tabs>
        <w:tab w:val="left" w:pos="1151"/>
      </w:tabs>
      <w:spacing w:before="240" w:after="64" w:line="320" w:lineRule="auto"/>
      <w:ind w:left="1151" w:hanging="1151"/>
      <w:outlineLvl w:val="5"/>
    </w:pPr>
    <w:rPr>
      <w:rFonts w:ascii="Cambria" w:hAnsi="Cambria" w:cs="Cambria"/>
      <w:b/>
      <w:bC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rPr>
      <w:rFonts w:ascii="Times New Roman" w:hAnsi="Times New Roman"/>
    </w:rPr>
  </w:style>
  <w:style w:type="paragraph" w:styleId="6">
    <w:name w:val="index 6"/>
    <w:basedOn w:val="1"/>
    <w:next w:val="1"/>
    <w:qFormat/>
    <w:uiPriority w:val="0"/>
    <w:pPr>
      <w:ind w:left="1000" w:leftChars="1000"/>
    </w:pPr>
    <w:rPr>
      <w:rFonts w:ascii="Times New Roman" w:hAnsi="Times New Roman" w:cs="宋体"/>
    </w:rPr>
  </w:style>
  <w:style w:type="paragraph" w:styleId="7">
    <w:name w:val="Body Text"/>
    <w:basedOn w:val="1"/>
    <w:link w:val="27"/>
    <w:unhideWhenUsed/>
    <w:qFormat/>
    <w:uiPriority w:val="99"/>
    <w:pPr>
      <w:spacing w:after="120"/>
    </w:pPr>
    <w:rPr>
      <w:rFonts w:ascii="Times New Roman" w:hAnsi="Times New Roman"/>
    </w:rPr>
  </w:style>
  <w:style w:type="paragraph" w:styleId="8">
    <w:name w:val="Body Text Indent"/>
    <w:basedOn w:val="1"/>
    <w:link w:val="28"/>
    <w:unhideWhenUsed/>
    <w:qFormat/>
    <w:uiPriority w:val="99"/>
    <w:pPr>
      <w:spacing w:after="120"/>
      <w:ind w:left="420" w:leftChars="200"/>
    </w:pPr>
    <w:rPr>
      <w:rFonts w:ascii="Times New Roman" w:hAnsi="Times New Roman"/>
    </w:rPr>
  </w:style>
  <w:style w:type="paragraph" w:styleId="9">
    <w:name w:val="Balloon Text"/>
    <w:basedOn w:val="1"/>
    <w:link w:val="29"/>
    <w:unhideWhenUsed/>
    <w:qFormat/>
    <w:uiPriority w:val="99"/>
    <w:rPr>
      <w:rFonts w:ascii="Times New Roman" w:hAnsi="Times New Roman"/>
      <w:sz w:val="18"/>
      <w:szCs w:val="18"/>
    </w:rPr>
  </w:style>
  <w:style w:type="paragraph" w:styleId="10">
    <w:name w:val="footer"/>
    <w:basedOn w:val="1"/>
    <w:link w:val="36"/>
    <w:qFormat/>
    <w:uiPriority w:val="99"/>
    <w:pPr>
      <w:tabs>
        <w:tab w:val="center" w:pos="4153"/>
        <w:tab w:val="right" w:pos="8306"/>
      </w:tabs>
      <w:snapToGrid w:val="0"/>
      <w:jc w:val="left"/>
    </w:pPr>
    <w:rPr>
      <w:sz w:val="18"/>
    </w:rPr>
  </w:style>
  <w:style w:type="paragraph" w:styleId="11">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30"/>
    <w:qFormat/>
    <w:uiPriority w:val="0"/>
    <w:pPr>
      <w:spacing w:line="280" w:lineRule="atLeast"/>
      <w:ind w:firstLine="567" w:firstLineChars="200"/>
      <w:jc w:val="left"/>
    </w:pPr>
    <w:rPr>
      <w:rFonts w:ascii="Times New Roman" w:hAnsi="Times New Roman"/>
      <w:kern w:val="26"/>
      <w:sz w:val="28"/>
    </w:rPr>
  </w:style>
  <w:style w:type="paragraph" w:styleId="13">
    <w:name w:val="Normal (Web)"/>
    <w:basedOn w:val="1"/>
    <w:unhideWhenUsed/>
    <w:qFormat/>
    <w:uiPriority w:val="0"/>
    <w:pPr>
      <w:spacing w:beforeAutospacing="1" w:afterAutospacing="1"/>
      <w:jc w:val="left"/>
    </w:pPr>
    <w:rPr>
      <w:rFonts w:ascii="Times New Roman" w:hAnsi="Times New Roman"/>
      <w:kern w:val="0"/>
      <w:sz w:val="24"/>
    </w:rPr>
  </w:style>
  <w:style w:type="paragraph" w:styleId="14">
    <w:name w:val="Title"/>
    <w:basedOn w:val="1"/>
    <w:next w:val="1"/>
    <w:link w:val="31"/>
    <w:qFormat/>
    <w:uiPriority w:val="0"/>
    <w:pPr>
      <w:spacing w:before="240" w:after="60"/>
      <w:jc w:val="center"/>
      <w:outlineLvl w:val="0"/>
    </w:pPr>
    <w:rPr>
      <w:rFonts w:ascii="Cambria" w:hAnsi="Cambria"/>
      <w:b/>
      <w:bCs/>
      <w:sz w:val="32"/>
      <w:szCs w:val="32"/>
    </w:rPr>
  </w:style>
  <w:style w:type="paragraph" w:styleId="15">
    <w:name w:val="Body Text First Indent"/>
    <w:basedOn w:val="7"/>
    <w:next w:val="6"/>
    <w:link w:val="32"/>
    <w:qFormat/>
    <w:uiPriority w:val="0"/>
    <w:pPr>
      <w:ind w:firstLine="420" w:firstLineChars="100"/>
      <w:jc w:val="left"/>
    </w:pPr>
    <w:rPr>
      <w:rFonts w:ascii="Calibri" w:hAnsi="Calibri"/>
      <w:sz w:val="28"/>
      <w:szCs w:val="22"/>
    </w:rPr>
  </w:style>
  <w:style w:type="paragraph" w:styleId="16">
    <w:name w:val="Body Text First Indent 2"/>
    <w:basedOn w:val="8"/>
    <w:link w:val="33"/>
    <w:unhideWhenUsed/>
    <w:qFormat/>
    <w:uiPriority w:val="99"/>
    <w:pPr>
      <w:ind w:firstLine="420" w:firstLineChars="200"/>
    </w:pPr>
  </w:style>
  <w:style w:type="table" w:styleId="1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qFormat/>
    <w:uiPriority w:val="99"/>
    <w:rPr>
      <w:rFonts w:cs="Times New Roman"/>
    </w:rPr>
  </w:style>
  <w:style w:type="character" w:styleId="22">
    <w:name w:val="annotation reference"/>
    <w:unhideWhenUsed/>
    <w:qFormat/>
    <w:uiPriority w:val="99"/>
    <w:rPr>
      <w:sz w:val="21"/>
      <w:szCs w:val="21"/>
    </w:rPr>
  </w:style>
  <w:style w:type="character" w:customStyle="1" w:styleId="23">
    <w:name w:val="标题 1 字符"/>
    <w:basedOn w:val="19"/>
    <w:link w:val="2"/>
    <w:qFormat/>
    <w:uiPriority w:val="0"/>
    <w:rPr>
      <w:rFonts w:cs="Calibri"/>
      <w:b/>
      <w:bCs/>
      <w:kern w:val="44"/>
      <w:sz w:val="44"/>
      <w:szCs w:val="44"/>
    </w:rPr>
  </w:style>
  <w:style w:type="character" w:customStyle="1" w:styleId="24">
    <w:name w:val="标题 4 字符"/>
    <w:basedOn w:val="19"/>
    <w:link w:val="3"/>
    <w:qFormat/>
    <w:uiPriority w:val="0"/>
    <w:rPr>
      <w:rFonts w:ascii="Times New Roman" w:hAnsi="Times New Roman"/>
      <w:b/>
      <w:bCs/>
      <w:kern w:val="2"/>
      <w:sz w:val="30"/>
      <w:szCs w:val="28"/>
    </w:rPr>
  </w:style>
  <w:style w:type="character" w:customStyle="1" w:styleId="25">
    <w:name w:val="标题 6 字符"/>
    <w:basedOn w:val="19"/>
    <w:link w:val="4"/>
    <w:qFormat/>
    <w:uiPriority w:val="99"/>
    <w:rPr>
      <w:rFonts w:ascii="Cambria" w:hAnsi="Cambria" w:cs="Cambria"/>
      <w:b/>
      <w:bCs/>
      <w:kern w:val="2"/>
      <w:sz w:val="21"/>
      <w:szCs w:val="24"/>
    </w:rPr>
  </w:style>
  <w:style w:type="character" w:customStyle="1" w:styleId="26">
    <w:name w:val="批注文字 字符"/>
    <w:basedOn w:val="19"/>
    <w:link w:val="5"/>
    <w:qFormat/>
    <w:uiPriority w:val="99"/>
    <w:rPr>
      <w:rFonts w:ascii="Times New Roman" w:hAnsi="Times New Roman"/>
      <w:kern w:val="2"/>
      <w:sz w:val="21"/>
      <w:szCs w:val="24"/>
    </w:rPr>
  </w:style>
  <w:style w:type="character" w:customStyle="1" w:styleId="27">
    <w:name w:val="正文文本 字符"/>
    <w:basedOn w:val="19"/>
    <w:link w:val="7"/>
    <w:qFormat/>
    <w:uiPriority w:val="99"/>
    <w:rPr>
      <w:rFonts w:ascii="Times New Roman" w:hAnsi="Times New Roman"/>
      <w:kern w:val="2"/>
      <w:sz w:val="21"/>
      <w:szCs w:val="24"/>
    </w:rPr>
  </w:style>
  <w:style w:type="character" w:customStyle="1" w:styleId="28">
    <w:name w:val="正文文本缩进 字符"/>
    <w:basedOn w:val="19"/>
    <w:link w:val="8"/>
    <w:qFormat/>
    <w:uiPriority w:val="99"/>
    <w:rPr>
      <w:rFonts w:ascii="Times New Roman" w:hAnsi="Times New Roman"/>
      <w:kern w:val="2"/>
      <w:sz w:val="21"/>
      <w:szCs w:val="24"/>
    </w:rPr>
  </w:style>
  <w:style w:type="character" w:customStyle="1" w:styleId="29">
    <w:name w:val="批注框文本 字符"/>
    <w:basedOn w:val="19"/>
    <w:link w:val="9"/>
    <w:qFormat/>
    <w:uiPriority w:val="99"/>
    <w:rPr>
      <w:rFonts w:ascii="Times New Roman" w:hAnsi="Times New Roman"/>
      <w:kern w:val="2"/>
      <w:sz w:val="18"/>
      <w:szCs w:val="18"/>
    </w:rPr>
  </w:style>
  <w:style w:type="character" w:customStyle="1" w:styleId="30">
    <w:name w:val="正文文本缩进 3 字符"/>
    <w:basedOn w:val="19"/>
    <w:link w:val="12"/>
    <w:qFormat/>
    <w:uiPriority w:val="0"/>
    <w:rPr>
      <w:rFonts w:ascii="Times New Roman" w:hAnsi="Times New Roman"/>
      <w:kern w:val="26"/>
      <w:sz w:val="28"/>
      <w:szCs w:val="24"/>
    </w:rPr>
  </w:style>
  <w:style w:type="character" w:customStyle="1" w:styleId="31">
    <w:name w:val="标题 字符"/>
    <w:basedOn w:val="19"/>
    <w:link w:val="14"/>
    <w:qFormat/>
    <w:uiPriority w:val="0"/>
    <w:rPr>
      <w:rFonts w:ascii="Cambria" w:hAnsi="Cambria"/>
      <w:b/>
      <w:bCs/>
      <w:kern w:val="2"/>
      <w:sz w:val="32"/>
      <w:szCs w:val="32"/>
    </w:rPr>
  </w:style>
  <w:style w:type="character" w:customStyle="1" w:styleId="32">
    <w:name w:val="正文首行缩进 字符"/>
    <w:basedOn w:val="27"/>
    <w:link w:val="15"/>
    <w:qFormat/>
    <w:uiPriority w:val="0"/>
    <w:rPr>
      <w:rFonts w:ascii="Times New Roman" w:hAnsi="Times New Roman"/>
      <w:kern w:val="2"/>
      <w:sz w:val="28"/>
      <w:szCs w:val="22"/>
    </w:rPr>
  </w:style>
  <w:style w:type="character" w:customStyle="1" w:styleId="33">
    <w:name w:val="正文首行缩进 2 字符"/>
    <w:basedOn w:val="28"/>
    <w:link w:val="16"/>
    <w:qFormat/>
    <w:uiPriority w:val="99"/>
    <w:rPr>
      <w:rFonts w:ascii="Times New Roman" w:hAnsi="Times New Roman"/>
      <w:kern w:val="2"/>
      <w:sz w:val="21"/>
      <w:szCs w:val="24"/>
    </w:rPr>
  </w:style>
  <w:style w:type="table" w:customStyle="1" w:styleId="34">
    <w:name w:val="网格型1"/>
    <w:basedOn w:val="1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页眉 字符"/>
    <w:link w:val="11"/>
    <w:qFormat/>
    <w:uiPriority w:val="99"/>
    <w:rPr>
      <w:kern w:val="2"/>
      <w:sz w:val="18"/>
      <w:szCs w:val="24"/>
    </w:rPr>
  </w:style>
  <w:style w:type="character" w:customStyle="1" w:styleId="36">
    <w:name w:val="页脚 字符"/>
    <w:link w:val="10"/>
    <w:qFormat/>
    <w:uiPriority w:val="99"/>
    <w:rPr>
      <w:kern w:val="2"/>
      <w:sz w:val="18"/>
      <w:szCs w:val="24"/>
    </w:rPr>
  </w:style>
  <w:style w:type="paragraph" w:customStyle="1" w:styleId="37">
    <w:name w:val="Char"/>
    <w:basedOn w:val="1"/>
    <w:semiHidden/>
    <w:qFormat/>
    <w:uiPriority w:val="0"/>
    <w:pPr>
      <w:ind w:firstLine="200" w:firstLineChars="200"/>
    </w:pPr>
    <w:rPr>
      <w:rFonts w:ascii="Times New Roman" w:hAnsi="Times New Roman"/>
      <w:sz w:val="28"/>
      <w:szCs w:val="28"/>
    </w:rPr>
  </w:style>
  <w:style w:type="paragraph" w:styleId="38">
    <w:name w:val="List Paragraph"/>
    <w:basedOn w:val="1"/>
    <w:qFormat/>
    <w:uiPriority w:val="34"/>
    <w:pPr>
      <w:ind w:firstLine="420" w:firstLineChars="200"/>
    </w:pPr>
    <w:rPr>
      <w:rFonts w:ascii="Times New Roman" w:hAnsi="Times New Roman"/>
    </w:rPr>
  </w:style>
  <w:style w:type="paragraph" w:customStyle="1" w:styleId="39">
    <w:name w:val="2-正文"/>
    <w:basedOn w:val="1"/>
    <w:qFormat/>
    <w:uiPriority w:val="0"/>
    <w:pPr>
      <w:spacing w:line="600" w:lineRule="exact"/>
      <w:ind w:firstLine="560" w:firstLineChars="200"/>
    </w:pPr>
    <w:rPr>
      <w:rFonts w:ascii="Times New Roman" w:hAnsi="Times New Roman" w:eastAsia="仿宋_GB2312"/>
      <w:sz w:val="28"/>
      <w:szCs w:val="28"/>
    </w:rPr>
  </w:style>
  <w:style w:type="paragraph" w:customStyle="1" w:styleId="4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81"/>
    <w:qFormat/>
    <w:uiPriority w:val="0"/>
    <w:rPr>
      <w:rFonts w:ascii="仿宋_GB2312" w:eastAsia="仿宋_GB2312" w:cs="仿宋_GB2312"/>
      <w:b/>
      <w:color w:val="000000"/>
      <w:sz w:val="32"/>
      <w:szCs w:val="32"/>
      <w:u w:val="none"/>
    </w:rPr>
  </w:style>
  <w:style w:type="character" w:customStyle="1" w:styleId="42">
    <w:name w:val="font91"/>
    <w:qFormat/>
    <w:uiPriority w:val="0"/>
    <w:rPr>
      <w:rFonts w:hint="default" w:ascii="Nimbus Roman No9 L" w:hAnsi="Nimbus Roman No9 L" w:eastAsia="Nimbus Roman No9 L" w:cs="Nimbus Roman No9 L"/>
      <w:b/>
      <w:color w:val="000000"/>
      <w:sz w:val="32"/>
      <w:szCs w:val="32"/>
      <w:u w:val="none"/>
    </w:rPr>
  </w:style>
  <w:style w:type="character" w:customStyle="1" w:styleId="43">
    <w:name w:val="font01"/>
    <w:qFormat/>
    <w:uiPriority w:val="0"/>
    <w:rPr>
      <w:rFonts w:hint="default" w:ascii="Nimbus Roman No9 L" w:hAnsi="Nimbus Roman No9 L" w:eastAsia="Nimbus Roman No9 L" w:cs="Nimbus Roman No9 L"/>
      <w:color w:val="000000"/>
      <w:sz w:val="20"/>
      <w:szCs w:val="20"/>
      <w:u w:val="none"/>
    </w:rPr>
  </w:style>
  <w:style w:type="character" w:customStyle="1" w:styleId="44">
    <w:name w:val="font51"/>
    <w:qFormat/>
    <w:uiPriority w:val="0"/>
    <w:rPr>
      <w:rFonts w:hint="eastAsia" w:ascii="宋体" w:hAnsi="宋体" w:eastAsia="宋体" w:cs="宋体"/>
      <w:color w:val="000000"/>
      <w:sz w:val="20"/>
      <w:szCs w:val="20"/>
      <w:u w:val="none"/>
    </w:rPr>
  </w:style>
  <w:style w:type="character" w:customStyle="1" w:styleId="45">
    <w:name w:val="font71"/>
    <w:qFormat/>
    <w:uiPriority w:val="0"/>
    <w:rPr>
      <w:rFonts w:hint="eastAsia" w:ascii="仿宋" w:hAnsi="仿宋" w:eastAsia="仿宋" w:cs="仿宋"/>
      <w:b/>
      <w:color w:val="000000"/>
      <w:sz w:val="28"/>
      <w:szCs w:val="28"/>
      <w:u w:val="none"/>
    </w:rPr>
  </w:style>
  <w:style w:type="character" w:customStyle="1" w:styleId="46">
    <w:name w:val="font41"/>
    <w:qFormat/>
    <w:uiPriority w:val="0"/>
    <w:rPr>
      <w:rFonts w:hint="eastAsia" w:ascii="仿宋" w:hAnsi="仿宋" w:eastAsia="仿宋" w:cs="仿宋"/>
      <w:color w:val="000000"/>
      <w:sz w:val="28"/>
      <w:szCs w:val="28"/>
      <w:u w:val="none"/>
    </w:rPr>
  </w:style>
  <w:style w:type="character" w:customStyle="1" w:styleId="47">
    <w:name w:val="font112"/>
    <w:qFormat/>
    <w:uiPriority w:val="0"/>
    <w:rPr>
      <w:rFonts w:ascii="微软雅黑" w:hAnsi="微软雅黑" w:eastAsia="微软雅黑" w:cs="微软雅黑"/>
      <w:color w:val="000000"/>
      <w:sz w:val="28"/>
      <w:szCs w:val="28"/>
      <w:u w:val="none"/>
    </w:rPr>
  </w:style>
  <w:style w:type="character" w:customStyle="1" w:styleId="48">
    <w:name w:val="font101"/>
    <w:qFormat/>
    <w:uiPriority w:val="0"/>
    <w:rPr>
      <w:rFonts w:hint="eastAsia" w:ascii="仿宋" w:hAnsi="仿宋" w:eastAsia="仿宋" w:cs="仿宋"/>
      <w:b/>
      <w:color w:val="000000"/>
      <w:sz w:val="28"/>
      <w:szCs w:val="28"/>
      <w:u w:val="none"/>
    </w:rPr>
  </w:style>
  <w:style w:type="character" w:customStyle="1" w:styleId="49">
    <w:name w:val="font1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7231</Words>
  <Characters>41219</Characters>
  <Lines>343</Lines>
  <Paragraphs>96</Paragraphs>
  <TotalTime>388</TotalTime>
  <ScaleCrop>false</ScaleCrop>
  <LinksUpToDate>false</LinksUpToDate>
  <CharactersWithSpaces>48354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user</cp:lastModifiedBy>
  <cp:lastPrinted>2025-01-02T12:02:00Z</cp:lastPrinted>
  <dcterms:modified xsi:type="dcterms:W3CDTF">2025-01-06T15:19:00Z</dcterms:modified>
  <dc:title>甘 肃 省 自 然 资 源 厅</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