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67" w:rsidRDefault="009F7067" w:rsidP="009F7067">
      <w:pPr>
        <w:widowControl/>
        <w:spacing w:line="560" w:lineRule="exact"/>
        <w:rPr>
          <w:rFonts w:eastAsia="黑体"/>
          <w:color w:val="000000"/>
          <w:sz w:val="32"/>
          <w:szCs w:val="32"/>
        </w:rPr>
      </w:pPr>
      <w:r>
        <w:rPr>
          <w:rFonts w:eastAsia="黑体" w:hint="eastAsia"/>
          <w:color w:val="000000"/>
          <w:sz w:val="32"/>
          <w:szCs w:val="32"/>
        </w:rPr>
        <w:t>附件</w:t>
      </w:r>
      <w:r>
        <w:rPr>
          <w:rFonts w:eastAsia="黑体"/>
          <w:color w:val="000000"/>
          <w:sz w:val="32"/>
          <w:szCs w:val="32"/>
        </w:rPr>
        <w:t>1</w:t>
      </w:r>
    </w:p>
    <w:p w:rsidR="009F7067" w:rsidRDefault="009F7067" w:rsidP="009F7067">
      <w:pPr>
        <w:widowControl/>
        <w:spacing w:line="560" w:lineRule="exact"/>
        <w:rPr>
          <w:color w:val="000000"/>
          <w:sz w:val="24"/>
        </w:rPr>
      </w:pPr>
    </w:p>
    <w:p w:rsidR="009F7067" w:rsidRDefault="009F7067" w:rsidP="009F7067">
      <w:pPr>
        <w:spacing w:line="56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广西壮族自治区生产建设项目</w:t>
      </w:r>
    </w:p>
    <w:p w:rsidR="009F7067" w:rsidRDefault="009F7067" w:rsidP="009F7067">
      <w:pPr>
        <w:spacing w:line="560" w:lineRule="exact"/>
        <w:jc w:val="center"/>
        <w:rPr>
          <w:rFonts w:ascii="方正小标宋简体" w:eastAsia="方正小标宋简体" w:hint="eastAsia"/>
          <w:bCs/>
          <w:color w:val="000000"/>
          <w:sz w:val="44"/>
          <w:szCs w:val="44"/>
        </w:rPr>
      </w:pPr>
      <w:r>
        <w:rPr>
          <w:rFonts w:ascii="方正小标宋简体" w:eastAsia="方正小标宋简体" w:hint="eastAsia"/>
          <w:bCs/>
          <w:color w:val="000000"/>
          <w:sz w:val="44"/>
          <w:szCs w:val="44"/>
        </w:rPr>
        <w:t>土地复垦方案审查评审要点</w:t>
      </w:r>
    </w:p>
    <w:p w:rsidR="009F7067" w:rsidRDefault="009F7067" w:rsidP="009F7067">
      <w:pPr>
        <w:spacing w:line="560" w:lineRule="exact"/>
        <w:jc w:val="center"/>
        <w:rPr>
          <w:rFonts w:hint="eastAsia"/>
          <w:b/>
          <w:bCs/>
          <w:color w:val="000000"/>
          <w:sz w:val="32"/>
          <w:szCs w:val="32"/>
        </w:rPr>
      </w:pPr>
    </w:p>
    <w:p w:rsidR="009F7067" w:rsidRDefault="009F7067" w:rsidP="009F7067">
      <w:pPr>
        <w:spacing w:line="560" w:lineRule="exact"/>
        <w:ind w:leftChars="304" w:left="638"/>
        <w:rPr>
          <w:rFonts w:eastAsia="仿宋_GB2312"/>
          <w:color w:val="000000"/>
          <w:sz w:val="32"/>
          <w:szCs w:val="32"/>
        </w:rPr>
      </w:pPr>
      <w:r>
        <w:rPr>
          <w:rFonts w:eastAsia="黑体" w:hint="eastAsia"/>
          <w:color w:val="000000"/>
          <w:sz w:val="32"/>
          <w:szCs w:val="32"/>
        </w:rPr>
        <w:t>一、审查依据</w:t>
      </w:r>
      <w:r>
        <w:rPr>
          <w:rFonts w:eastAsia="仿宋_GB2312"/>
          <w:color w:val="000000"/>
          <w:sz w:val="32"/>
          <w:szCs w:val="32"/>
        </w:rPr>
        <w:br/>
      </w:r>
      <w:r>
        <w:rPr>
          <w:rFonts w:eastAsia="仿宋_GB2312" w:hint="eastAsia"/>
          <w:color w:val="000000"/>
          <w:sz w:val="32"/>
          <w:szCs w:val="32"/>
        </w:rPr>
        <w:t>（一）《中华人民共和国土地管理法》；</w:t>
      </w:r>
      <w:r>
        <w:rPr>
          <w:rFonts w:eastAsia="仿宋_GB2312"/>
          <w:color w:val="000000"/>
          <w:sz w:val="32"/>
          <w:szCs w:val="32"/>
        </w:rPr>
        <w:br/>
      </w:r>
      <w:r>
        <w:rPr>
          <w:rFonts w:eastAsia="仿宋_GB2312" w:hint="eastAsia"/>
          <w:color w:val="000000"/>
          <w:sz w:val="32"/>
          <w:szCs w:val="32"/>
        </w:rPr>
        <w:t>（二）《中华人民共和国水土保持法》；</w:t>
      </w:r>
      <w:r>
        <w:rPr>
          <w:rFonts w:eastAsia="仿宋_GB2312"/>
          <w:color w:val="000000"/>
          <w:sz w:val="32"/>
          <w:szCs w:val="32"/>
        </w:rPr>
        <w:br/>
      </w:r>
      <w:r>
        <w:rPr>
          <w:rFonts w:eastAsia="仿宋_GB2312" w:hint="eastAsia"/>
          <w:color w:val="000000"/>
          <w:sz w:val="32"/>
          <w:szCs w:val="32"/>
        </w:rPr>
        <w:t>（三）《中华人民共和国环境保护法》；</w:t>
      </w:r>
      <w:r>
        <w:rPr>
          <w:rFonts w:eastAsia="仿宋_GB2312"/>
          <w:color w:val="000000"/>
          <w:sz w:val="32"/>
          <w:szCs w:val="32"/>
        </w:rPr>
        <w:br/>
      </w:r>
      <w:r>
        <w:rPr>
          <w:rFonts w:eastAsia="仿宋_GB2312" w:hint="eastAsia"/>
          <w:color w:val="000000"/>
          <w:sz w:val="32"/>
          <w:szCs w:val="32"/>
        </w:rPr>
        <w:t>（四）《土地复垦条例》（国务院第</w:t>
      </w:r>
      <w:r>
        <w:rPr>
          <w:rFonts w:eastAsia="仿宋_GB2312"/>
          <w:color w:val="000000"/>
          <w:sz w:val="32"/>
          <w:szCs w:val="32"/>
        </w:rPr>
        <w:t>592</w:t>
      </w:r>
      <w:r>
        <w:rPr>
          <w:rFonts w:eastAsia="仿宋_GB2312" w:hint="eastAsia"/>
          <w:color w:val="000000"/>
          <w:sz w:val="32"/>
          <w:szCs w:val="32"/>
        </w:rPr>
        <w:t>号令）；</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（五）《土地复垦条例实施办法》（国土资源部令第</w:t>
      </w:r>
      <w:r>
        <w:rPr>
          <w:rFonts w:eastAsia="仿宋_GB2312"/>
          <w:color w:val="000000"/>
          <w:sz w:val="32"/>
          <w:szCs w:val="32"/>
        </w:rPr>
        <w:t>56</w:t>
      </w:r>
      <w:r>
        <w:rPr>
          <w:rFonts w:eastAsia="仿宋_GB2312" w:hint="eastAsia"/>
          <w:color w:val="000000"/>
          <w:sz w:val="32"/>
          <w:szCs w:val="32"/>
        </w:rPr>
        <w:t>号）；</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（六）《国土资源部关于加强生产建设项目土地复垦管理工作的通知》（</w:t>
      </w:r>
      <w:proofErr w:type="gramStart"/>
      <w:r>
        <w:rPr>
          <w:rFonts w:eastAsia="仿宋_GB2312" w:hint="eastAsia"/>
          <w:color w:val="000000"/>
          <w:sz w:val="32"/>
          <w:szCs w:val="32"/>
        </w:rPr>
        <w:t>国土资发〔</w:t>
      </w:r>
      <w:r>
        <w:rPr>
          <w:rFonts w:eastAsia="仿宋_GB2312"/>
          <w:color w:val="000000"/>
          <w:sz w:val="32"/>
          <w:szCs w:val="32"/>
        </w:rPr>
        <w:t>2006</w:t>
      </w:r>
      <w:r>
        <w:rPr>
          <w:rFonts w:eastAsia="仿宋_GB2312" w:hint="eastAsia"/>
          <w:color w:val="000000"/>
          <w:sz w:val="32"/>
          <w:szCs w:val="32"/>
        </w:rPr>
        <w:t>〕</w:t>
      </w:r>
      <w:proofErr w:type="gramEnd"/>
      <w:r>
        <w:rPr>
          <w:rFonts w:eastAsia="仿宋_GB2312"/>
          <w:color w:val="000000"/>
          <w:sz w:val="32"/>
          <w:szCs w:val="32"/>
        </w:rPr>
        <w:t>225</w:t>
      </w:r>
      <w:r>
        <w:rPr>
          <w:rFonts w:eastAsia="仿宋_GB2312" w:hint="eastAsia"/>
          <w:color w:val="000000"/>
          <w:sz w:val="32"/>
          <w:szCs w:val="32"/>
        </w:rPr>
        <w:t>号）；</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（七）《国土资源部关于组织土地复垦方案编报和审查有关问题的通知》（</w:t>
      </w:r>
      <w:proofErr w:type="gramStart"/>
      <w:r>
        <w:rPr>
          <w:rFonts w:eastAsia="仿宋_GB2312" w:hint="eastAsia"/>
          <w:color w:val="000000"/>
          <w:sz w:val="32"/>
          <w:szCs w:val="32"/>
        </w:rPr>
        <w:t>国土资发〔</w:t>
      </w:r>
      <w:r>
        <w:rPr>
          <w:rFonts w:eastAsia="仿宋_GB2312"/>
          <w:color w:val="000000"/>
          <w:sz w:val="32"/>
          <w:szCs w:val="32"/>
        </w:rPr>
        <w:t>2007</w:t>
      </w:r>
      <w:r>
        <w:rPr>
          <w:rFonts w:eastAsia="仿宋_GB2312" w:hint="eastAsia"/>
          <w:color w:val="000000"/>
          <w:sz w:val="32"/>
          <w:szCs w:val="32"/>
        </w:rPr>
        <w:t>〕</w:t>
      </w:r>
      <w:proofErr w:type="gramEnd"/>
      <w:r>
        <w:rPr>
          <w:rFonts w:eastAsia="仿宋_GB2312"/>
          <w:color w:val="000000"/>
          <w:sz w:val="32"/>
          <w:szCs w:val="32"/>
        </w:rPr>
        <w:t>81</w:t>
      </w:r>
      <w:r>
        <w:rPr>
          <w:rFonts w:eastAsia="仿宋_GB2312" w:hint="eastAsia"/>
          <w:color w:val="000000"/>
          <w:sz w:val="32"/>
          <w:szCs w:val="32"/>
        </w:rPr>
        <w:t>号）；</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（八）《自然资源部</w:t>
      </w:r>
      <w:r>
        <w:rPr>
          <w:rFonts w:eastAsia="仿宋_GB2312"/>
          <w:color w:val="000000"/>
          <w:sz w:val="32"/>
          <w:szCs w:val="32"/>
        </w:rPr>
        <w:t xml:space="preserve"> </w:t>
      </w:r>
      <w:r>
        <w:rPr>
          <w:rFonts w:eastAsia="仿宋_GB2312" w:hint="eastAsia"/>
          <w:color w:val="000000"/>
          <w:sz w:val="32"/>
          <w:szCs w:val="32"/>
        </w:rPr>
        <w:t>农业农村部关于加强和改进永久基本农田保护工作的通知》（自然资</w:t>
      </w:r>
      <w:proofErr w:type="gramStart"/>
      <w:r>
        <w:rPr>
          <w:rFonts w:eastAsia="仿宋_GB2312" w:hint="eastAsia"/>
          <w:color w:val="000000"/>
          <w:sz w:val="32"/>
          <w:szCs w:val="32"/>
        </w:rPr>
        <w:t>规</w:t>
      </w:r>
      <w:proofErr w:type="gramEnd"/>
      <w:r>
        <w:rPr>
          <w:rFonts w:eastAsia="仿宋_GB2312" w:hint="eastAsia"/>
          <w:color w:val="000000"/>
          <w:sz w:val="32"/>
          <w:szCs w:val="32"/>
        </w:rPr>
        <w:t>〔</w:t>
      </w:r>
      <w:r>
        <w:rPr>
          <w:rFonts w:eastAsia="仿宋_GB2312"/>
          <w:color w:val="000000"/>
          <w:sz w:val="32"/>
          <w:szCs w:val="32"/>
        </w:rPr>
        <w:t>2019</w:t>
      </w: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号）</w:t>
      </w:r>
      <w:r>
        <w:rPr>
          <w:rFonts w:eastAsia="仿宋_GB2312"/>
          <w:color w:val="000000"/>
          <w:sz w:val="32"/>
          <w:szCs w:val="32"/>
        </w:rPr>
        <w:t xml:space="preserve">   </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（九）《广西壮族自治区国土资源厅关于加强土地复垦管理工作的通知》（桂</w:t>
      </w:r>
      <w:proofErr w:type="gramStart"/>
      <w:r>
        <w:rPr>
          <w:rFonts w:eastAsia="仿宋_GB2312" w:hint="eastAsia"/>
          <w:color w:val="000000"/>
          <w:sz w:val="32"/>
          <w:szCs w:val="32"/>
        </w:rPr>
        <w:t>国土资发〔</w:t>
      </w:r>
      <w:r>
        <w:rPr>
          <w:rFonts w:eastAsia="仿宋_GB2312"/>
          <w:color w:val="000000"/>
          <w:sz w:val="32"/>
          <w:szCs w:val="32"/>
        </w:rPr>
        <w:t>2013</w:t>
      </w:r>
      <w:r>
        <w:rPr>
          <w:rFonts w:eastAsia="仿宋_GB2312" w:hint="eastAsia"/>
          <w:color w:val="000000"/>
          <w:sz w:val="32"/>
          <w:szCs w:val="32"/>
        </w:rPr>
        <w:t>〕</w:t>
      </w:r>
      <w:proofErr w:type="gramEnd"/>
      <w:r>
        <w:rPr>
          <w:rFonts w:eastAsia="仿宋_GB2312"/>
          <w:color w:val="000000"/>
          <w:sz w:val="32"/>
          <w:szCs w:val="32"/>
        </w:rPr>
        <w:t>91</w:t>
      </w:r>
      <w:r>
        <w:rPr>
          <w:rFonts w:eastAsia="仿宋_GB2312" w:hint="eastAsia"/>
          <w:color w:val="000000"/>
          <w:sz w:val="32"/>
          <w:szCs w:val="32"/>
        </w:rPr>
        <w:t>号）；</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（十）《土地复垦方案编制规程》</w:t>
      </w:r>
      <w:r>
        <w:rPr>
          <w:rFonts w:eastAsia="仿宋_GB2312"/>
          <w:color w:val="000000"/>
          <w:sz w:val="32"/>
          <w:szCs w:val="32"/>
        </w:rPr>
        <w:t>(TD/T1031-2011</w:t>
      </w:r>
      <w:r>
        <w:rPr>
          <w:rFonts w:eastAsia="仿宋_GB2312" w:hint="eastAsia"/>
          <w:color w:val="000000"/>
          <w:sz w:val="32"/>
          <w:szCs w:val="32"/>
        </w:rPr>
        <w:t>）；</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（十一）《土地复垦技术要求与验收规范》（</w:t>
      </w:r>
      <w:r>
        <w:rPr>
          <w:rFonts w:eastAsia="仿宋_GB2312"/>
          <w:color w:val="000000"/>
          <w:sz w:val="32"/>
          <w:szCs w:val="32"/>
        </w:rPr>
        <w:t>DB45/T892-2012</w:t>
      </w:r>
      <w:r>
        <w:rPr>
          <w:rFonts w:eastAsia="仿宋_GB2312" w:hint="eastAsia"/>
          <w:color w:val="000000"/>
          <w:sz w:val="32"/>
          <w:szCs w:val="32"/>
        </w:rPr>
        <w:t>）</w:t>
      </w:r>
      <w:r>
        <w:rPr>
          <w:rFonts w:eastAsia="仿宋_GB2312"/>
          <w:color w:val="000000"/>
          <w:sz w:val="32"/>
          <w:szCs w:val="32"/>
        </w:rPr>
        <w:t>;</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（十二）《广西壮族自治区国土资源厅</w:t>
      </w:r>
      <w:r>
        <w:rPr>
          <w:rFonts w:eastAsia="仿宋_GB2312"/>
          <w:color w:val="000000"/>
          <w:sz w:val="32"/>
          <w:szCs w:val="32"/>
        </w:rPr>
        <w:t xml:space="preserve"> </w:t>
      </w:r>
      <w:r>
        <w:rPr>
          <w:rFonts w:eastAsia="仿宋_GB2312" w:hint="eastAsia"/>
          <w:color w:val="000000"/>
          <w:sz w:val="32"/>
          <w:szCs w:val="32"/>
        </w:rPr>
        <w:t>农业厅</w:t>
      </w:r>
      <w:r>
        <w:rPr>
          <w:rFonts w:eastAsia="仿宋_GB2312"/>
          <w:color w:val="000000"/>
          <w:sz w:val="32"/>
          <w:szCs w:val="32"/>
        </w:rPr>
        <w:t xml:space="preserve"> </w:t>
      </w:r>
      <w:r>
        <w:rPr>
          <w:rFonts w:eastAsia="仿宋_GB2312" w:hint="eastAsia"/>
          <w:color w:val="000000"/>
          <w:sz w:val="32"/>
          <w:szCs w:val="32"/>
        </w:rPr>
        <w:t>财政厅关于</w:t>
      </w:r>
      <w:r>
        <w:rPr>
          <w:rFonts w:eastAsia="仿宋_GB2312" w:hint="eastAsia"/>
          <w:color w:val="000000"/>
          <w:sz w:val="32"/>
          <w:szCs w:val="32"/>
        </w:rPr>
        <w:lastRenderedPageBreak/>
        <w:t>加快推进非农建设占用耕地耕作层土壤剥离利用工作的通知》（桂</w:t>
      </w:r>
      <w:proofErr w:type="gramStart"/>
      <w:r>
        <w:rPr>
          <w:rFonts w:eastAsia="仿宋_GB2312" w:hint="eastAsia"/>
          <w:color w:val="000000"/>
          <w:sz w:val="32"/>
          <w:szCs w:val="32"/>
        </w:rPr>
        <w:t>国土资发〔</w:t>
      </w:r>
      <w:r>
        <w:rPr>
          <w:rFonts w:eastAsia="仿宋_GB2312"/>
          <w:color w:val="000000"/>
          <w:sz w:val="32"/>
          <w:szCs w:val="32"/>
        </w:rPr>
        <w:t>2017</w:t>
      </w:r>
      <w:r>
        <w:rPr>
          <w:rFonts w:eastAsia="仿宋_GB2312" w:hint="eastAsia"/>
          <w:color w:val="000000"/>
          <w:sz w:val="32"/>
          <w:szCs w:val="32"/>
        </w:rPr>
        <w:t>〕</w:t>
      </w:r>
      <w:proofErr w:type="gramEnd"/>
      <w:r>
        <w:rPr>
          <w:rFonts w:eastAsia="仿宋_GB2312"/>
          <w:color w:val="000000"/>
          <w:sz w:val="32"/>
          <w:szCs w:val="32"/>
        </w:rPr>
        <w:t>4</w:t>
      </w:r>
      <w:r>
        <w:rPr>
          <w:rFonts w:eastAsia="仿宋_GB2312" w:hint="eastAsia"/>
          <w:color w:val="000000"/>
          <w:sz w:val="32"/>
          <w:szCs w:val="32"/>
        </w:rPr>
        <w:t>号）；</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（十三）《财政部</w:t>
      </w:r>
      <w:r>
        <w:rPr>
          <w:rFonts w:eastAsia="仿宋_GB2312"/>
          <w:color w:val="000000"/>
          <w:sz w:val="32"/>
          <w:szCs w:val="32"/>
        </w:rPr>
        <w:t xml:space="preserve">  </w:t>
      </w:r>
      <w:r>
        <w:rPr>
          <w:rFonts w:eastAsia="仿宋_GB2312" w:hint="eastAsia"/>
          <w:color w:val="000000"/>
          <w:sz w:val="32"/>
          <w:szCs w:val="32"/>
        </w:rPr>
        <w:t>国土资源部关于印发土地开发整理项目预算定额标准的通知》（财综〔</w:t>
      </w:r>
      <w:r>
        <w:rPr>
          <w:rFonts w:eastAsia="仿宋_GB2312"/>
          <w:color w:val="000000"/>
          <w:sz w:val="32"/>
          <w:szCs w:val="32"/>
        </w:rPr>
        <w:t>2011</w:t>
      </w:r>
      <w:r>
        <w:rPr>
          <w:rFonts w:eastAsia="仿宋_GB2312" w:hint="eastAsia"/>
          <w:color w:val="000000"/>
          <w:sz w:val="32"/>
          <w:szCs w:val="32"/>
        </w:rPr>
        <w:t>〕</w:t>
      </w:r>
      <w:r>
        <w:rPr>
          <w:rFonts w:eastAsia="仿宋_GB2312"/>
          <w:color w:val="000000"/>
          <w:sz w:val="32"/>
          <w:szCs w:val="32"/>
        </w:rPr>
        <w:t>128</w:t>
      </w:r>
      <w:r>
        <w:rPr>
          <w:rFonts w:eastAsia="仿宋_GB2312" w:hint="eastAsia"/>
          <w:color w:val="000000"/>
          <w:sz w:val="32"/>
          <w:szCs w:val="32"/>
        </w:rPr>
        <w:t>号）；</w:t>
      </w:r>
    </w:p>
    <w:p w:rsidR="009F7067" w:rsidRDefault="009F7067" w:rsidP="009F7067">
      <w:pPr>
        <w:spacing w:line="560" w:lineRule="exact"/>
        <w:ind w:firstLineChars="200" w:firstLine="640"/>
        <w:rPr>
          <w:rFonts w:eastAsia="仿宋"/>
          <w:color w:val="000000"/>
          <w:sz w:val="28"/>
          <w:szCs w:val="28"/>
        </w:rPr>
      </w:pPr>
      <w:r>
        <w:rPr>
          <w:rFonts w:eastAsia="仿宋_GB2312" w:hint="eastAsia"/>
          <w:color w:val="000000"/>
          <w:sz w:val="32"/>
          <w:szCs w:val="32"/>
        </w:rPr>
        <w:t>（十四）其他与耕地保护有关的政策法规及满足土地复垦工程需要的工程建设标准和预算定额。</w:t>
      </w:r>
      <w:r>
        <w:rPr>
          <w:rFonts w:eastAsia="仿宋"/>
          <w:color w:val="000000"/>
          <w:sz w:val="28"/>
          <w:szCs w:val="28"/>
        </w:rPr>
        <w:t xml:space="preserve">    </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（十五）国家和自治区现行有关山水林田湖草生态保护修复和国土综合整治规程规范和要求。</w:t>
      </w:r>
    </w:p>
    <w:p w:rsidR="009F7067" w:rsidRDefault="009F7067" w:rsidP="009F7067">
      <w:pPr>
        <w:spacing w:line="560" w:lineRule="exact"/>
        <w:ind w:firstLineChars="200" w:firstLine="640"/>
        <w:rPr>
          <w:rFonts w:eastAsia="仿宋_GB2312"/>
          <w:color w:val="000000"/>
          <w:sz w:val="32"/>
          <w:szCs w:val="32"/>
        </w:rPr>
      </w:pPr>
      <w:r>
        <w:rPr>
          <w:rFonts w:eastAsia="黑体" w:hint="eastAsia"/>
          <w:color w:val="000000"/>
          <w:sz w:val="32"/>
          <w:szCs w:val="32"/>
        </w:rPr>
        <w:t>二、收件审查</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（一）新建项目。</w:t>
      </w:r>
      <w:r>
        <w:rPr>
          <w:rFonts w:eastAsia="仿宋_GB2312"/>
          <w:color w:val="000000"/>
          <w:sz w:val="32"/>
          <w:szCs w:val="32"/>
        </w:rPr>
        <w:br/>
        <w:t xml:space="preserve">    1.</w:t>
      </w:r>
      <w:r>
        <w:rPr>
          <w:rFonts w:eastAsia="仿宋_GB2312" w:hint="eastAsia"/>
          <w:color w:val="000000"/>
          <w:sz w:val="32"/>
          <w:szCs w:val="32"/>
        </w:rPr>
        <w:t>土地复垦方案报告书或土地复垦方案报告表</w:t>
      </w:r>
      <w:r>
        <w:rPr>
          <w:rFonts w:eastAsia="仿宋_GB2312"/>
          <w:color w:val="000000"/>
          <w:sz w:val="32"/>
          <w:szCs w:val="32"/>
        </w:rPr>
        <w:t>6</w:t>
      </w:r>
      <w:r>
        <w:rPr>
          <w:rFonts w:eastAsia="仿宋_GB2312" w:hint="eastAsia"/>
          <w:color w:val="000000"/>
          <w:sz w:val="32"/>
          <w:szCs w:val="32"/>
        </w:rPr>
        <w:t>份（各地可根据实际情况，按参会人数定送审份数）；</w:t>
      </w:r>
      <w:r>
        <w:rPr>
          <w:rFonts w:eastAsia="仿宋_GB2312"/>
          <w:color w:val="000000"/>
          <w:sz w:val="32"/>
          <w:szCs w:val="32"/>
        </w:rPr>
        <w:br/>
        <w:t xml:space="preserve">    2.</w:t>
      </w:r>
      <w:r>
        <w:rPr>
          <w:rFonts w:eastAsia="仿宋_GB2312" w:hint="eastAsia"/>
          <w:color w:val="000000"/>
          <w:sz w:val="32"/>
          <w:szCs w:val="32"/>
        </w:rPr>
        <w:t>土地复垦方案电子文档（光盘）</w:t>
      </w:r>
      <w:r>
        <w:rPr>
          <w:rFonts w:eastAsia="仿宋_GB2312"/>
          <w:color w:val="000000"/>
          <w:sz w:val="32"/>
          <w:szCs w:val="32"/>
        </w:rPr>
        <w:t>1</w:t>
      </w:r>
      <w:r>
        <w:rPr>
          <w:rFonts w:eastAsia="仿宋_GB2312" w:hint="eastAsia"/>
          <w:color w:val="000000"/>
          <w:sz w:val="32"/>
          <w:szCs w:val="32"/>
        </w:rPr>
        <w:t>份；</w:t>
      </w:r>
      <w:r>
        <w:rPr>
          <w:rFonts w:eastAsia="仿宋_GB2312"/>
          <w:color w:val="000000"/>
          <w:sz w:val="32"/>
          <w:szCs w:val="32"/>
        </w:rPr>
        <w:br/>
        <w:t xml:space="preserve">    3.</w:t>
      </w:r>
      <w:r>
        <w:rPr>
          <w:rFonts w:eastAsia="仿宋_GB2312" w:hint="eastAsia"/>
          <w:color w:val="000000"/>
          <w:sz w:val="32"/>
          <w:szCs w:val="32"/>
        </w:rPr>
        <w:t>复垦范围涉及的土地所有权人或使用权人对土地复垦方案的书面意见；</w:t>
      </w:r>
      <w:r>
        <w:rPr>
          <w:rFonts w:eastAsia="仿宋_GB2312"/>
          <w:color w:val="000000"/>
          <w:sz w:val="32"/>
          <w:szCs w:val="32"/>
        </w:rPr>
        <w:br/>
        <w:t xml:space="preserve">    4.</w:t>
      </w:r>
      <w:r>
        <w:rPr>
          <w:rFonts w:eastAsia="仿宋_GB2312" w:hint="eastAsia"/>
          <w:color w:val="000000"/>
          <w:sz w:val="32"/>
          <w:szCs w:val="32"/>
        </w:rPr>
        <w:t>项目所在地县级自然资源主管部门出具的对复垦范围地类、面积、权属、占用耕地质量等别、是否占用永久基本农田、是否符合土地利用总体规划等情况的审查意见；</w:t>
      </w:r>
      <w:r>
        <w:rPr>
          <w:rFonts w:eastAsia="仿宋_GB2312"/>
          <w:color w:val="000000"/>
          <w:sz w:val="32"/>
          <w:szCs w:val="32"/>
        </w:rPr>
        <w:br/>
        <w:t xml:space="preserve">    5.</w:t>
      </w:r>
      <w:r>
        <w:rPr>
          <w:rFonts w:eastAsia="仿宋_GB2312" w:hint="eastAsia"/>
          <w:color w:val="000000"/>
          <w:sz w:val="32"/>
          <w:szCs w:val="32"/>
        </w:rPr>
        <w:t>复垦义务人委托编写单位编制复垦方案委托书及对所送审的土地复垦方案的真实性和方案实施</w:t>
      </w:r>
      <w:proofErr w:type="gramStart"/>
      <w:r>
        <w:rPr>
          <w:rFonts w:eastAsia="仿宋_GB2312" w:hint="eastAsia"/>
          <w:color w:val="000000"/>
          <w:sz w:val="32"/>
          <w:szCs w:val="32"/>
        </w:rPr>
        <w:t>作出</w:t>
      </w:r>
      <w:proofErr w:type="gramEnd"/>
      <w:r>
        <w:rPr>
          <w:rFonts w:eastAsia="仿宋_GB2312" w:hint="eastAsia"/>
          <w:color w:val="000000"/>
          <w:sz w:val="32"/>
          <w:szCs w:val="32"/>
        </w:rPr>
        <w:t>的承诺书；</w:t>
      </w:r>
      <w:r>
        <w:rPr>
          <w:rFonts w:eastAsia="仿宋_GB2312"/>
          <w:color w:val="000000"/>
          <w:sz w:val="32"/>
          <w:szCs w:val="32"/>
        </w:rPr>
        <w:br/>
        <w:t xml:space="preserve">    6.</w:t>
      </w:r>
      <w:r>
        <w:rPr>
          <w:rFonts w:eastAsia="仿宋_GB2312" w:hint="eastAsia"/>
          <w:color w:val="000000"/>
          <w:sz w:val="32"/>
          <w:szCs w:val="32"/>
        </w:rPr>
        <w:t>临时用地范围坐标</w:t>
      </w:r>
      <w:r>
        <w:rPr>
          <w:rFonts w:eastAsia="仿宋_GB2312"/>
          <w:color w:val="000000"/>
          <w:sz w:val="32"/>
          <w:szCs w:val="32"/>
        </w:rPr>
        <w:t>CGCS2000</w:t>
      </w:r>
      <w:r>
        <w:rPr>
          <w:rFonts w:eastAsia="仿宋_GB2312" w:hint="eastAsia"/>
          <w:color w:val="000000"/>
          <w:sz w:val="32"/>
          <w:szCs w:val="32"/>
        </w:rPr>
        <w:t>（</w:t>
      </w:r>
      <w:r>
        <w:rPr>
          <w:rFonts w:eastAsia="仿宋_GB2312"/>
          <w:color w:val="000000"/>
          <w:sz w:val="32"/>
          <w:szCs w:val="32"/>
        </w:rPr>
        <w:t>txt</w:t>
      </w:r>
      <w:r>
        <w:rPr>
          <w:rFonts w:eastAsia="仿宋_GB2312" w:hint="eastAsia"/>
          <w:color w:val="000000"/>
          <w:sz w:val="32"/>
          <w:szCs w:val="32"/>
        </w:rPr>
        <w:t>及</w:t>
      </w:r>
      <w:proofErr w:type="spellStart"/>
      <w:r>
        <w:rPr>
          <w:rFonts w:eastAsia="仿宋_GB2312"/>
          <w:color w:val="000000"/>
          <w:sz w:val="32"/>
          <w:szCs w:val="32"/>
        </w:rPr>
        <w:t>shp</w:t>
      </w:r>
      <w:proofErr w:type="spellEnd"/>
      <w:r>
        <w:rPr>
          <w:rFonts w:eastAsia="仿宋_GB2312" w:hint="eastAsia"/>
          <w:color w:val="000000"/>
          <w:sz w:val="32"/>
          <w:szCs w:val="32"/>
        </w:rPr>
        <w:t>格式）；</w:t>
      </w:r>
    </w:p>
    <w:p w:rsidR="009F7067" w:rsidRDefault="009F7067" w:rsidP="009F7067">
      <w:pPr>
        <w:spacing w:line="560" w:lineRule="exact"/>
        <w:ind w:firstLineChars="200" w:firstLine="640"/>
        <w:rPr>
          <w:rFonts w:eastAsia="仿宋_GB2312"/>
          <w:color w:val="000000"/>
          <w:sz w:val="32"/>
          <w:szCs w:val="32"/>
        </w:rPr>
      </w:pPr>
      <w:r>
        <w:rPr>
          <w:rFonts w:eastAsia="仿宋_GB2312"/>
          <w:color w:val="000000"/>
          <w:sz w:val="32"/>
          <w:szCs w:val="32"/>
        </w:rPr>
        <w:t>7.</w:t>
      </w:r>
      <w:r>
        <w:rPr>
          <w:rFonts w:eastAsia="仿宋_GB2312" w:hint="eastAsia"/>
          <w:color w:val="000000"/>
          <w:sz w:val="32"/>
          <w:szCs w:val="32"/>
        </w:rPr>
        <w:t>土地复垦方案附图：</w:t>
      </w:r>
      <w:r>
        <w:rPr>
          <w:rFonts w:eastAsia="仿宋_GB2312"/>
          <w:color w:val="000000"/>
          <w:sz w:val="32"/>
          <w:szCs w:val="32"/>
        </w:rPr>
        <w:br/>
        <w:t xml:space="preserve">    </w:t>
      </w:r>
      <w:r>
        <w:rPr>
          <w:rFonts w:ascii="宋体" w:hAnsi="宋体" w:cs="宋体" w:hint="eastAsia"/>
          <w:color w:val="000000"/>
          <w:sz w:val="32"/>
          <w:szCs w:val="32"/>
        </w:rPr>
        <w:t>①</w:t>
      </w:r>
      <w:r>
        <w:rPr>
          <w:rFonts w:eastAsia="仿宋_GB2312" w:hint="eastAsia"/>
          <w:color w:val="000000"/>
          <w:sz w:val="32"/>
          <w:szCs w:val="32"/>
        </w:rPr>
        <w:t>标准分幅的土地利用现状图（局部图，图上用色线准确勾</w:t>
      </w:r>
      <w:r>
        <w:rPr>
          <w:rFonts w:eastAsia="仿宋_GB2312" w:hint="eastAsia"/>
          <w:color w:val="000000"/>
          <w:sz w:val="32"/>
          <w:szCs w:val="32"/>
        </w:rPr>
        <w:lastRenderedPageBreak/>
        <w:t>绘生产建设项目用地范围、复垦范围及可能影响区域。项目区内有永久基本农田保护区时，需用不同色线勾出，并加盖当地自然资源主管部门的公章）；</w:t>
      </w:r>
      <w:r>
        <w:rPr>
          <w:rFonts w:eastAsia="仿宋_GB2312"/>
          <w:color w:val="000000"/>
          <w:sz w:val="32"/>
          <w:szCs w:val="32"/>
        </w:rPr>
        <w:br/>
        <w:t xml:space="preserve">    </w:t>
      </w:r>
      <w:r>
        <w:rPr>
          <w:rFonts w:ascii="宋体" w:hAnsi="宋体" w:cs="宋体" w:hint="eastAsia"/>
          <w:color w:val="000000"/>
          <w:sz w:val="32"/>
          <w:szCs w:val="32"/>
        </w:rPr>
        <w:t>②</w:t>
      </w:r>
      <w:r>
        <w:rPr>
          <w:rFonts w:eastAsia="仿宋_GB2312" w:hint="eastAsia"/>
          <w:color w:val="000000"/>
          <w:sz w:val="32"/>
          <w:szCs w:val="32"/>
        </w:rPr>
        <w:t>损毁土地现状及预测分析图（跨县（市、区）的项目以县（市、区）为单位提供本图件，比例尺不小于</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5000</w:t>
      </w:r>
      <w:r>
        <w:rPr>
          <w:rFonts w:eastAsia="仿宋_GB2312" w:hint="eastAsia"/>
          <w:color w:val="000000"/>
          <w:sz w:val="32"/>
          <w:szCs w:val="32"/>
        </w:rPr>
        <w:t>；仅编制方案报告表的，比例尺不小于</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2000</w:t>
      </w:r>
      <w:r>
        <w:rPr>
          <w:rFonts w:eastAsia="仿宋_GB2312" w:hint="eastAsia"/>
          <w:color w:val="000000"/>
          <w:sz w:val="32"/>
          <w:szCs w:val="32"/>
        </w:rPr>
        <w:t>，且图件比例尺应与复垦规划图比例尺一致，图中要有图斑和地形要素，图面内容要反映损毁土地的方式、地类、面积、程度及时段）；</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hint="eastAsia"/>
          <w:sz w:val="32"/>
          <w:szCs w:val="32"/>
        </w:rPr>
        <w:t>③</w:t>
      </w:r>
      <w:r>
        <w:rPr>
          <w:rFonts w:ascii="Times New Roman" w:eastAsia="仿宋_GB2312" w:hAnsi="Times New Roman" w:cs="Times New Roman" w:hint="eastAsia"/>
          <w:sz w:val="32"/>
          <w:szCs w:val="32"/>
        </w:rPr>
        <w:t>土地复垦规划图（体现复垦的责任范围、复垦工程、总体布局及实施计划、工程及阶段投资，比例尺不小于</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5000</w:t>
      </w:r>
      <w:r>
        <w:rPr>
          <w:rFonts w:ascii="Times New Roman" w:eastAsia="仿宋_GB2312" w:hAnsi="Times New Roman" w:cs="Times New Roman" w:hint="eastAsia"/>
          <w:sz w:val="32"/>
          <w:szCs w:val="32"/>
        </w:rPr>
        <w:t>，仅编制报告表时比例尺不小于</w:t>
      </w:r>
      <w:r>
        <w:rPr>
          <w:rFonts w:ascii="Times New Roman" w:eastAsia="仿宋_GB2312" w:hAnsi="Times New Roman" w:cs="Times New Roman"/>
          <w:sz w:val="32"/>
          <w:szCs w:val="32"/>
        </w:rPr>
        <w:t>1:2000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br/>
        <w:t xml:space="preserve">    </w:t>
      </w:r>
      <w:r>
        <w:rPr>
          <w:rFonts w:hint="eastAsia"/>
          <w:sz w:val="32"/>
          <w:szCs w:val="32"/>
        </w:rPr>
        <w:t>④</w:t>
      </w:r>
      <w:r>
        <w:rPr>
          <w:rFonts w:ascii="Times New Roman" w:eastAsia="仿宋_GB2312" w:hAnsi="Times New Roman" w:cs="Times New Roman" w:hint="eastAsia"/>
          <w:sz w:val="32"/>
          <w:szCs w:val="32"/>
        </w:rPr>
        <w:t>建设项目位置图（属于单独选址的线性工程提供；比例尺应符合线性工程建设项目工程设计要求，不能以交通位置示意图代替）；</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hint="eastAsia"/>
          <w:sz w:val="32"/>
          <w:szCs w:val="32"/>
        </w:rPr>
        <w:t>⑤</w:t>
      </w:r>
      <w:r>
        <w:rPr>
          <w:rFonts w:ascii="Times New Roman" w:eastAsia="仿宋_GB2312" w:hAnsi="Times New Roman" w:cs="Times New Roman" w:hint="eastAsia"/>
          <w:sz w:val="32"/>
          <w:szCs w:val="32"/>
        </w:rPr>
        <w:t>主要工程设计图（对临时用地造成原地形地貌发生改变的，主要工程设计应附上平面布置图、剖面图、典型工程设计图，此类图件可结合工程设计说明，也可单独附后）。</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方案要有土地复垦工作计划安排表和土地复垦投资估（概）算汇总表。</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（二）改扩建项目。</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县级以上自然资源主管部门出具的土地复垦任务完成情况证明或缴纳土地复垦费的证明；</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其他要求参照新建项目。</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（三）已投产的生产建设项目。</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无土地复垦方案的要补编土地复垦方案；</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其他要求参照新建项目。</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楷体_GB2312" w:hAnsi="Times New Roman" w:cs="Times New Roman"/>
          <w:b/>
          <w:kern w:val="2"/>
          <w:sz w:val="32"/>
          <w:szCs w:val="32"/>
        </w:rPr>
      </w:pPr>
      <w:r>
        <w:rPr>
          <w:rFonts w:ascii="Times New Roman" w:eastAsia="黑体" w:hAnsi="Times New Roman" w:cs="Times New Roman" w:hint="eastAsia"/>
          <w:kern w:val="2"/>
          <w:sz w:val="32"/>
          <w:szCs w:val="32"/>
        </w:rPr>
        <w:t>四、审查评审要点</w:t>
      </w:r>
      <w:r>
        <w:rPr>
          <w:rFonts w:ascii="Times New Roman" w:eastAsia="仿宋_GB2312" w:hAnsi="Times New Roman" w:cs="Times New Roman"/>
          <w:kern w:val="2"/>
          <w:sz w:val="32"/>
          <w:szCs w:val="32"/>
        </w:rPr>
        <w:br/>
        <w:t xml:space="preserve">   </w:t>
      </w:r>
      <w:r>
        <w:rPr>
          <w:rFonts w:ascii="Times New Roman" w:eastAsia="楷体_GB2312" w:hAnsi="Times New Roman" w:cs="Times New Roman"/>
          <w:b/>
          <w:kern w:val="2"/>
          <w:sz w:val="32"/>
          <w:szCs w:val="32"/>
        </w:rPr>
        <w:t xml:space="preserve"> </w:t>
      </w:r>
      <w:r>
        <w:rPr>
          <w:rFonts w:ascii="Times New Roman" w:eastAsia="楷体_GB2312" w:hAnsi="Times New Roman" w:cs="Times New Roman" w:hint="eastAsia"/>
          <w:b/>
          <w:kern w:val="2"/>
          <w:sz w:val="32"/>
          <w:szCs w:val="32"/>
        </w:rPr>
        <w:t>（一）土地复垦方案的内容和格式要符合《土地复垦方案编制规程》</w:t>
      </w:r>
      <w:r>
        <w:rPr>
          <w:rFonts w:ascii="Times New Roman" w:eastAsia="楷体_GB2312" w:hAnsi="Times New Roman" w:cs="Times New Roman"/>
          <w:b/>
          <w:kern w:val="2"/>
          <w:sz w:val="32"/>
          <w:szCs w:val="32"/>
        </w:rPr>
        <w:t>(TD/T1031-2011</w:t>
      </w:r>
      <w:r>
        <w:rPr>
          <w:rFonts w:ascii="Times New Roman" w:eastAsia="楷体_GB2312" w:hAnsi="Times New Roman" w:cs="Times New Roman" w:hint="eastAsia"/>
          <w:b/>
          <w:kern w:val="2"/>
          <w:sz w:val="32"/>
          <w:szCs w:val="32"/>
        </w:rPr>
        <w:t>）。</w:t>
      </w:r>
    </w:p>
    <w:p w:rsidR="009F7067" w:rsidRDefault="009F7067" w:rsidP="009F7067">
      <w:pPr>
        <w:pStyle w:val="a3"/>
        <w:shd w:val="clear" w:color="auto" w:fill="FFFFFF"/>
        <w:spacing w:before="0" w:beforeAutospacing="0" w:after="0" w:afterAutospacing="0" w:line="560" w:lineRule="exact"/>
        <w:ind w:firstLineChars="200" w:firstLine="643"/>
        <w:rPr>
          <w:rFonts w:ascii="Times New Roman" w:eastAsia="楷体_GB2312" w:hAnsi="Times New Roman" w:cs="Times New Roman"/>
          <w:b/>
          <w:kern w:val="2"/>
          <w:sz w:val="32"/>
          <w:szCs w:val="32"/>
        </w:rPr>
      </w:pPr>
      <w:r>
        <w:rPr>
          <w:rFonts w:ascii="Times New Roman" w:eastAsia="楷体_GB2312" w:hAnsi="Times New Roman" w:cs="Times New Roman" w:hint="eastAsia"/>
          <w:b/>
          <w:kern w:val="2"/>
          <w:sz w:val="32"/>
          <w:szCs w:val="32"/>
        </w:rPr>
        <w:t>（二）土地利用现状明确。</w:t>
      </w:r>
    </w:p>
    <w:p w:rsidR="009F7067" w:rsidRDefault="009F7067" w:rsidP="009F7067">
      <w:pPr>
        <w:pStyle w:val="a3"/>
        <w:shd w:val="clear" w:color="auto" w:fill="FFFFFF"/>
        <w:spacing w:before="0" w:beforeAutospacing="0" w:after="0" w:afterAutospacing="0" w:line="560" w:lineRule="exac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 xml:space="preserve">　　临时用地土地利用类型、范围（界址点坐标）、数量、耕地质量等别、永久基本农田情况明确，权属清晰，具体到行政村或村民小组。土地利用现状分类采用最新土地利用现状分类，明确至二级地类，土地利用现状图应经项目所在地县级自然资源主管部门盖章确认。</w:t>
      </w:r>
    </w:p>
    <w:p w:rsidR="009F7067" w:rsidRDefault="009F7067" w:rsidP="009F7067">
      <w:pPr>
        <w:pStyle w:val="a3"/>
        <w:shd w:val="clear" w:color="auto" w:fill="FFFFFF"/>
        <w:spacing w:before="0" w:beforeAutospacing="0" w:after="0" w:afterAutospacing="0" w:line="560" w:lineRule="exact"/>
        <w:ind w:firstLineChars="200" w:firstLine="643"/>
        <w:rPr>
          <w:rFonts w:ascii="Times New Roman" w:eastAsia="楷体_GB2312" w:hAnsi="Times New Roman" w:cs="Times New Roman"/>
          <w:b/>
          <w:kern w:val="2"/>
          <w:sz w:val="32"/>
          <w:szCs w:val="32"/>
        </w:rPr>
      </w:pPr>
      <w:r>
        <w:rPr>
          <w:rFonts w:ascii="Times New Roman" w:eastAsia="楷体_GB2312" w:hAnsi="Times New Roman" w:cs="Times New Roman" w:hint="eastAsia"/>
          <w:b/>
          <w:kern w:val="2"/>
          <w:sz w:val="32"/>
          <w:szCs w:val="32"/>
        </w:rPr>
        <w:t>（三）损毁土地现状清、拟损毁土地预测科学。</w:t>
      </w:r>
    </w:p>
    <w:p w:rsidR="009F7067" w:rsidRDefault="009F7067" w:rsidP="009F7067">
      <w:pPr>
        <w:pStyle w:val="a3"/>
        <w:shd w:val="clear" w:color="auto" w:fill="FFFFFF"/>
        <w:spacing w:before="0" w:beforeAutospacing="0" w:after="0" w:afterAutospacing="0" w:line="56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明确说明已损毁土地的损毁单元、方式、范围、地</w:t>
      </w:r>
      <w:proofErr w:type="gramStart"/>
      <w:r>
        <w:rPr>
          <w:rFonts w:ascii="Times New Roman" w:eastAsia="仿宋_GB2312" w:hAnsi="Times New Roman" w:cs="Times New Roman" w:hint="eastAsia"/>
          <w:kern w:val="2"/>
          <w:sz w:val="32"/>
          <w:szCs w:val="32"/>
        </w:rPr>
        <w:t>类面积</w:t>
      </w:r>
      <w:proofErr w:type="gramEnd"/>
      <w:r>
        <w:rPr>
          <w:rFonts w:ascii="Times New Roman" w:eastAsia="仿宋_GB2312" w:hAnsi="Times New Roman" w:cs="Times New Roman" w:hint="eastAsia"/>
          <w:kern w:val="2"/>
          <w:sz w:val="32"/>
          <w:szCs w:val="32"/>
        </w:rPr>
        <w:t>及损毁程度；拟损毁土地的预测方法科学，预测土地损毁单元、方式、范围、地</w:t>
      </w:r>
      <w:proofErr w:type="gramStart"/>
      <w:r>
        <w:rPr>
          <w:rFonts w:ascii="Times New Roman" w:eastAsia="仿宋_GB2312" w:hAnsi="Times New Roman" w:cs="Times New Roman" w:hint="eastAsia"/>
          <w:kern w:val="2"/>
          <w:sz w:val="32"/>
          <w:szCs w:val="32"/>
        </w:rPr>
        <w:t>类面积</w:t>
      </w:r>
      <w:proofErr w:type="gramEnd"/>
      <w:r>
        <w:rPr>
          <w:rFonts w:ascii="Times New Roman" w:eastAsia="仿宋_GB2312" w:hAnsi="Times New Roman" w:cs="Times New Roman" w:hint="eastAsia"/>
          <w:kern w:val="2"/>
          <w:sz w:val="32"/>
          <w:szCs w:val="32"/>
        </w:rPr>
        <w:t>准确，损毁程度、时序较准确；复垦责任范围确定正确，并结合对土地利用的影响进行合理分析。</w:t>
      </w:r>
    </w:p>
    <w:p w:rsidR="009F7067" w:rsidRDefault="009F7067" w:rsidP="009F7067">
      <w:pPr>
        <w:pStyle w:val="a3"/>
        <w:shd w:val="clear" w:color="auto" w:fill="FFFFFF"/>
        <w:spacing w:before="0" w:beforeAutospacing="0" w:after="0" w:afterAutospacing="0" w:line="560" w:lineRule="exact"/>
        <w:ind w:firstLineChars="200" w:firstLine="643"/>
        <w:rPr>
          <w:rFonts w:ascii="Times New Roman" w:eastAsia="仿宋_GB2312" w:hAnsi="Times New Roman" w:cs="Times New Roman"/>
          <w:kern w:val="2"/>
          <w:sz w:val="32"/>
          <w:szCs w:val="32"/>
        </w:rPr>
      </w:pPr>
      <w:r>
        <w:rPr>
          <w:rFonts w:ascii="Times New Roman" w:eastAsia="楷体_GB2312" w:hAnsi="Times New Roman" w:cs="Times New Roman" w:hint="eastAsia"/>
          <w:b/>
          <w:kern w:val="2"/>
          <w:sz w:val="32"/>
          <w:szCs w:val="32"/>
        </w:rPr>
        <w:t>（四）土地复垦目标、任务和利用方向合理，措施可行。</w:t>
      </w:r>
    </w:p>
    <w:p w:rsidR="009F7067" w:rsidRDefault="009F7067" w:rsidP="009F7067">
      <w:pPr>
        <w:pStyle w:val="a3"/>
        <w:shd w:val="clear" w:color="auto" w:fill="FFFFFF"/>
        <w:spacing w:before="0" w:beforeAutospacing="0" w:after="0" w:afterAutospacing="0" w:line="560" w:lineRule="exac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 xml:space="preserve">　　土地复垦适宜性评价方法正确，复垦利用方向合理，确定的复垦目标任务明确、可行，符合土地利用总体规划、符合当地自然资源主管部门及土地权利人意愿，坚持因地制宜、综合治理、经济可行、合理利用，坚持耕地复垦数量不减少、质量不降低等</w:t>
      </w:r>
      <w:r>
        <w:rPr>
          <w:rFonts w:ascii="Times New Roman" w:eastAsia="仿宋_GB2312" w:hAnsi="Times New Roman" w:cs="Times New Roman" w:hint="eastAsia"/>
          <w:kern w:val="2"/>
          <w:sz w:val="32"/>
          <w:szCs w:val="32"/>
        </w:rPr>
        <w:lastRenderedPageBreak/>
        <w:t>原则，复垦单元划分合理。复垦</w:t>
      </w:r>
      <w:proofErr w:type="gramStart"/>
      <w:r>
        <w:rPr>
          <w:rFonts w:ascii="Times New Roman" w:eastAsia="仿宋_GB2312" w:hAnsi="Times New Roman" w:cs="Times New Roman" w:hint="eastAsia"/>
          <w:kern w:val="2"/>
          <w:sz w:val="32"/>
          <w:szCs w:val="32"/>
        </w:rPr>
        <w:t>率原则</w:t>
      </w:r>
      <w:proofErr w:type="gramEnd"/>
      <w:r>
        <w:rPr>
          <w:rFonts w:ascii="Times New Roman" w:eastAsia="仿宋_GB2312" w:hAnsi="Times New Roman" w:cs="Times New Roman" w:hint="eastAsia"/>
          <w:kern w:val="2"/>
          <w:sz w:val="32"/>
          <w:szCs w:val="32"/>
        </w:rPr>
        <w:t>要求达到</w:t>
      </w:r>
      <w:r>
        <w:rPr>
          <w:rFonts w:ascii="Times New Roman" w:eastAsia="仿宋_GB2312" w:hAnsi="Times New Roman" w:cs="Times New Roman"/>
          <w:kern w:val="2"/>
          <w:sz w:val="32"/>
          <w:szCs w:val="32"/>
        </w:rPr>
        <w:t>100%</w:t>
      </w:r>
      <w:r>
        <w:rPr>
          <w:rFonts w:ascii="Times New Roman" w:eastAsia="仿宋_GB2312" w:hAnsi="Times New Roman" w:cs="Times New Roman" w:hint="eastAsia"/>
          <w:kern w:val="2"/>
          <w:sz w:val="32"/>
          <w:szCs w:val="32"/>
        </w:rPr>
        <w:t>，如达不到</w:t>
      </w:r>
      <w:r>
        <w:rPr>
          <w:rFonts w:ascii="Times New Roman" w:eastAsia="仿宋_GB2312" w:hAnsi="Times New Roman" w:cs="Times New Roman"/>
          <w:kern w:val="2"/>
          <w:sz w:val="32"/>
          <w:szCs w:val="32"/>
        </w:rPr>
        <w:t>100%</w:t>
      </w:r>
      <w:r>
        <w:rPr>
          <w:rFonts w:ascii="Times New Roman" w:eastAsia="仿宋_GB2312" w:hAnsi="Times New Roman" w:cs="Times New Roman" w:hint="eastAsia"/>
          <w:kern w:val="2"/>
          <w:sz w:val="32"/>
          <w:szCs w:val="32"/>
        </w:rPr>
        <w:t>，应说明理由。</w:t>
      </w:r>
    </w:p>
    <w:p w:rsidR="009F7067" w:rsidRDefault="009F7067" w:rsidP="009F7067">
      <w:pPr>
        <w:pStyle w:val="a3"/>
        <w:shd w:val="clear" w:color="auto" w:fill="FFFFFF"/>
        <w:spacing w:before="0" w:beforeAutospacing="0" w:after="0" w:afterAutospacing="0" w:line="560" w:lineRule="exact"/>
        <w:ind w:firstLine="640"/>
        <w:rPr>
          <w:rFonts w:ascii="Times New Roman" w:eastAsia="楷体_GB2312" w:hAnsi="Times New Roman" w:cs="Times New Roman"/>
          <w:b/>
          <w:kern w:val="2"/>
          <w:sz w:val="32"/>
          <w:szCs w:val="32"/>
        </w:rPr>
      </w:pPr>
      <w:r>
        <w:rPr>
          <w:rFonts w:ascii="Times New Roman" w:eastAsia="楷体_GB2312" w:hAnsi="Times New Roman" w:cs="Times New Roman" w:hint="eastAsia"/>
          <w:b/>
          <w:kern w:val="2"/>
          <w:sz w:val="32"/>
          <w:szCs w:val="32"/>
        </w:rPr>
        <w:t>（五）土地复垦工程措施和设计内容完整科学、合理可行。</w:t>
      </w:r>
    </w:p>
    <w:p w:rsidR="009F7067" w:rsidRDefault="009F7067" w:rsidP="009F7067">
      <w:pPr>
        <w:pStyle w:val="a3"/>
        <w:shd w:val="clear" w:color="auto" w:fill="FFFFFF"/>
        <w:spacing w:before="0" w:beforeAutospacing="0" w:after="0" w:afterAutospacing="0" w:line="560" w:lineRule="exact"/>
        <w:ind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土地复垦工程要按复垦单元设计，应结合当地实际情况，并按照《土地复垦质量控制标准》（</w:t>
      </w:r>
      <w:r>
        <w:rPr>
          <w:rFonts w:ascii="Times New Roman" w:eastAsia="仿宋_GB2312" w:hAnsi="Times New Roman" w:cs="Times New Roman"/>
          <w:kern w:val="2"/>
          <w:sz w:val="32"/>
          <w:szCs w:val="32"/>
        </w:rPr>
        <w:t>TD/T1036-2013</w:t>
      </w:r>
      <w:r>
        <w:rPr>
          <w:rFonts w:ascii="Times New Roman" w:eastAsia="仿宋_GB2312" w:hAnsi="Times New Roman" w:cs="Times New Roman" w:hint="eastAsia"/>
          <w:kern w:val="2"/>
          <w:sz w:val="32"/>
          <w:szCs w:val="32"/>
        </w:rPr>
        <w:t>）和</w:t>
      </w:r>
      <w:r>
        <w:rPr>
          <w:rFonts w:ascii="Times New Roman" w:eastAsia="仿宋_GB2312" w:hAnsi="Times New Roman" w:cs="Times New Roman" w:hint="eastAsia"/>
          <w:sz w:val="32"/>
          <w:szCs w:val="32"/>
        </w:rPr>
        <w:t>《土地复垦技术要求与验收规范》（</w:t>
      </w:r>
      <w:r>
        <w:rPr>
          <w:rFonts w:ascii="Times New Roman" w:eastAsia="仿宋_GB2312" w:hAnsi="Times New Roman" w:cs="Times New Roman"/>
          <w:sz w:val="32"/>
          <w:szCs w:val="32"/>
        </w:rPr>
        <w:t>DB45/T892-2012</w:t>
      </w:r>
      <w:r>
        <w:rPr>
          <w:rFonts w:ascii="Times New Roman" w:eastAsia="仿宋_GB2312" w:hAnsi="Times New Roman" w:cs="Times New Roman" w:hint="eastAsia"/>
          <w:sz w:val="32"/>
          <w:szCs w:val="32"/>
        </w:rPr>
        <w:t>）</w:t>
      </w:r>
      <w:r>
        <w:rPr>
          <w:rFonts w:ascii="Times New Roman" w:eastAsia="仿宋_GB2312" w:hAnsi="Times New Roman" w:cs="Times New Roman" w:hint="eastAsia"/>
          <w:kern w:val="2"/>
          <w:sz w:val="32"/>
          <w:szCs w:val="32"/>
        </w:rPr>
        <w:t>编制；预防控制措施应按照</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保护、预防和控制为主，生产建设与复垦相结合</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的原则，采取切合实际的工程技术措施、生物化学措施、监测措施和管护措施。</w:t>
      </w:r>
    </w:p>
    <w:p w:rsidR="009F7067" w:rsidRDefault="009F7067" w:rsidP="009F7067">
      <w:pPr>
        <w:pStyle w:val="a3"/>
        <w:shd w:val="clear" w:color="auto" w:fill="FFFFFF"/>
        <w:spacing w:before="0" w:beforeAutospacing="0" w:after="0" w:afterAutospacing="0" w:line="560" w:lineRule="exact"/>
        <w:ind w:leftChars="114" w:left="557" w:hangingChars="99" w:hanging="318"/>
        <w:jc w:val="both"/>
        <w:rPr>
          <w:rFonts w:ascii="Times New Roman" w:eastAsia="仿宋_GB2312" w:hAnsi="Times New Roman" w:cs="Times New Roman"/>
          <w:kern w:val="2"/>
          <w:sz w:val="32"/>
          <w:szCs w:val="32"/>
        </w:rPr>
      </w:pPr>
      <w:r>
        <w:rPr>
          <w:rFonts w:ascii="Times New Roman" w:eastAsia="楷体_GB2312" w:hAnsi="Times New Roman" w:cs="Times New Roman" w:hint="eastAsia"/>
          <w:b/>
          <w:kern w:val="2"/>
          <w:sz w:val="32"/>
          <w:szCs w:val="32"/>
        </w:rPr>
        <w:t xml:space="preserve">　（六）土地复垦费用测算合理，预存与使用计划清晰。</w:t>
      </w:r>
    </w:p>
    <w:p w:rsidR="009F7067" w:rsidRDefault="009F7067" w:rsidP="009F7067">
      <w:pPr>
        <w:pStyle w:val="a3"/>
        <w:shd w:val="clear" w:color="auto" w:fill="FFFFFF"/>
        <w:spacing w:before="0" w:beforeAutospacing="0" w:after="0" w:afterAutospacing="0" w:line="560" w:lineRule="exac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 xml:space="preserve">　　工程设计、工程量测算及复垦费用合理，满足复垦工程要求。复垦费用构成包括工程施工费、设备费、其他费用、监测与管护费及预备费。明确复垦资金来源并承诺土地复垦费用预存时间，预存、使用计划清晰、可行。</w:t>
      </w:r>
    </w:p>
    <w:p w:rsidR="009F7067" w:rsidRDefault="009F7067" w:rsidP="009F7067">
      <w:pPr>
        <w:pStyle w:val="a3"/>
        <w:shd w:val="clear" w:color="auto" w:fill="FFFFFF"/>
        <w:spacing w:before="0" w:beforeAutospacing="0" w:after="0" w:afterAutospacing="0" w:line="560" w:lineRule="exact"/>
        <w:ind w:firstLineChars="200" w:firstLine="643"/>
        <w:rPr>
          <w:rFonts w:ascii="Times New Roman" w:eastAsia="楷体_GB2312" w:hAnsi="Times New Roman" w:cs="Times New Roman"/>
          <w:b/>
          <w:kern w:val="2"/>
          <w:sz w:val="32"/>
          <w:szCs w:val="32"/>
        </w:rPr>
      </w:pPr>
      <w:r>
        <w:rPr>
          <w:rFonts w:ascii="Times New Roman" w:eastAsia="楷体_GB2312" w:hAnsi="Times New Roman" w:cs="Times New Roman" w:hint="eastAsia"/>
          <w:b/>
          <w:kern w:val="2"/>
          <w:sz w:val="32"/>
          <w:szCs w:val="32"/>
        </w:rPr>
        <w:t>（七）土地复垦计划安排科学、保障措施可行。</w:t>
      </w:r>
    </w:p>
    <w:p w:rsidR="009F7067" w:rsidRDefault="009F7067" w:rsidP="009F7067">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土地复垦方案服务年限确定合理，阶段土地复垦计划应当明确土地复垦的目标、任务、复垦单元、主要措施、投资概算、工程规划设计等。土地复垦方案服务年限较长的，复垦阶段计划原则上以</w:t>
      </w:r>
      <w:r>
        <w:rPr>
          <w:rFonts w:ascii="Times New Roman" w:eastAsia="仿宋_GB2312" w:hAnsi="Times New Roman" w:cs="Times New Roman"/>
          <w:kern w:val="2"/>
          <w:sz w:val="32"/>
          <w:szCs w:val="32"/>
        </w:rPr>
        <w:t>5</w:t>
      </w:r>
      <w:r>
        <w:rPr>
          <w:rFonts w:ascii="Times New Roman" w:eastAsia="仿宋_GB2312" w:hAnsi="Times New Roman" w:cs="Times New Roman" w:hint="eastAsia"/>
          <w:kern w:val="2"/>
          <w:sz w:val="32"/>
          <w:szCs w:val="32"/>
        </w:rPr>
        <w:t>年为一周期，可根据土地损毁时序适当调整。应详细编制第一阶段土地复垦计划，制定首年土地复垦实施计划。复垦范围跨县级行政区域的生产建设项目以县（市、区）为单位，分区段说明每阶段内土地复垦的目标、任务、计划和投资。</w:t>
      </w:r>
    </w:p>
    <w:p w:rsidR="009F7067" w:rsidRDefault="009F7067" w:rsidP="009F7067">
      <w:pPr>
        <w:pStyle w:val="a3"/>
        <w:shd w:val="clear" w:color="auto" w:fill="FFFFFF"/>
        <w:spacing w:before="0" w:beforeAutospacing="0" w:after="0" w:afterAutospacing="0" w:line="560" w:lineRule="exac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 xml:space="preserve">　　保障措施具体可行，尤其是复垦费用保障，应明确制定复垦费用预存、管理、使用、审计等各环节保障措施，土地复垦义务人应承诺土地复垦方案通过审查后及时与临时用地所在地县级自然资源主管部门在双方约定的银行建立土地复垦费用专门账户，按照土地复垦方案确定的资金数额，在土地复垦费用专门账户中足额预存土地复垦费用。</w:t>
      </w:r>
    </w:p>
    <w:p w:rsidR="009F7067" w:rsidRDefault="009F7067" w:rsidP="009F7067">
      <w:pPr>
        <w:pStyle w:val="a3"/>
        <w:shd w:val="clear" w:color="auto" w:fill="FFFFFF"/>
        <w:spacing w:before="0" w:beforeAutospacing="0" w:after="0" w:afterAutospacing="0" w:line="560" w:lineRule="exact"/>
        <w:ind w:firstLineChars="200" w:firstLine="643"/>
        <w:rPr>
          <w:rFonts w:ascii="Times New Roman" w:eastAsia="楷体_GB2312" w:hAnsi="Times New Roman" w:cs="Times New Roman"/>
          <w:b/>
          <w:kern w:val="2"/>
          <w:sz w:val="32"/>
          <w:szCs w:val="32"/>
        </w:rPr>
      </w:pPr>
      <w:r>
        <w:rPr>
          <w:rFonts w:ascii="Times New Roman" w:eastAsia="楷体_GB2312" w:hAnsi="Times New Roman" w:cs="Times New Roman" w:hint="eastAsia"/>
          <w:b/>
          <w:kern w:val="2"/>
          <w:sz w:val="32"/>
          <w:szCs w:val="32"/>
        </w:rPr>
        <w:t>（八）土地复垦方案已经征求意见并采纳合理建议。</w:t>
      </w:r>
    </w:p>
    <w:p w:rsidR="009F7067" w:rsidRDefault="009F7067" w:rsidP="009F7067">
      <w:pPr>
        <w:pStyle w:val="a3"/>
        <w:shd w:val="clear" w:color="auto" w:fill="FFFFFF"/>
        <w:spacing w:before="0" w:beforeAutospacing="0" w:after="0" w:afterAutospacing="0" w:line="560" w:lineRule="exact"/>
        <w:ind w:firstLine="645"/>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土地复垦方案应体现全程、全面及多种形式公众参与情况。公众参与应征</w:t>
      </w:r>
      <w:proofErr w:type="gramStart"/>
      <w:r>
        <w:rPr>
          <w:rFonts w:ascii="Times New Roman" w:eastAsia="仿宋_GB2312" w:hAnsi="Times New Roman" w:cs="Times New Roman" w:hint="eastAsia"/>
          <w:kern w:val="2"/>
          <w:sz w:val="32"/>
          <w:szCs w:val="32"/>
        </w:rPr>
        <w:t>求包括</w:t>
      </w:r>
      <w:proofErr w:type="gramEnd"/>
      <w:r>
        <w:rPr>
          <w:rFonts w:ascii="Times New Roman" w:eastAsia="仿宋_GB2312" w:hAnsi="Times New Roman" w:cs="Times New Roman" w:hint="eastAsia"/>
          <w:kern w:val="2"/>
          <w:sz w:val="32"/>
          <w:szCs w:val="32"/>
        </w:rPr>
        <w:t>临时用地土地权利人、集体所有者、土地复垦义务人、周边地区受影响的社会公众、自然资源管理部门及相关职能部门等意见，并说明公众意见及采纳情况，</w:t>
      </w:r>
      <w:proofErr w:type="gramStart"/>
      <w:r>
        <w:rPr>
          <w:rFonts w:ascii="Times New Roman" w:eastAsia="仿宋_GB2312" w:hAnsi="Times New Roman" w:cs="Times New Roman" w:hint="eastAsia"/>
          <w:kern w:val="2"/>
          <w:sz w:val="32"/>
          <w:szCs w:val="32"/>
        </w:rPr>
        <w:t>附公众</w:t>
      </w:r>
      <w:proofErr w:type="gramEnd"/>
      <w:r>
        <w:rPr>
          <w:rFonts w:ascii="Times New Roman" w:eastAsia="仿宋_GB2312" w:hAnsi="Times New Roman" w:cs="Times New Roman" w:hint="eastAsia"/>
          <w:kern w:val="2"/>
          <w:sz w:val="32"/>
          <w:szCs w:val="32"/>
        </w:rPr>
        <w:t>参与调查表或相关影像、图片资料。</w:t>
      </w:r>
    </w:p>
    <w:p w:rsidR="009F7067" w:rsidRDefault="009F7067" w:rsidP="009F7067">
      <w:pPr>
        <w:pStyle w:val="a3"/>
        <w:shd w:val="clear" w:color="auto" w:fill="FFFFFF"/>
        <w:spacing w:before="0" w:beforeAutospacing="0" w:after="0" w:afterAutospacing="0" w:line="560" w:lineRule="exact"/>
        <w:ind w:firstLineChars="200" w:firstLine="643"/>
        <w:rPr>
          <w:rFonts w:ascii="Times New Roman" w:eastAsia="楷体_GB2312" w:hAnsi="Times New Roman" w:cs="Times New Roman"/>
          <w:b/>
          <w:kern w:val="2"/>
          <w:sz w:val="32"/>
          <w:szCs w:val="32"/>
        </w:rPr>
      </w:pPr>
      <w:r>
        <w:rPr>
          <w:rFonts w:ascii="Times New Roman" w:eastAsia="楷体_GB2312" w:hAnsi="Times New Roman" w:cs="Times New Roman" w:hint="eastAsia"/>
          <w:b/>
          <w:kern w:val="2"/>
          <w:sz w:val="32"/>
          <w:szCs w:val="32"/>
        </w:rPr>
        <w:t>（九）其他。</w:t>
      </w:r>
    </w:p>
    <w:p w:rsidR="009F7067" w:rsidRDefault="009F7067" w:rsidP="009F7067">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严格保护耕地。临时用地涉及占用耕地的，要采取占用耕地耕作层土壤剥离利用等工程技术措施，减少对耕作层的破坏，并应做到原位置、原地类复垦。占用耕地与复垦耕地必须确保耕地质量和数量相平衡。项目区域内耕地总量若确因客观条件减少的，应制定补充耕地方案，由土地复垦义务人按规定缴纳耕地开垦费，落实耕地占补平衡任务。涉及永久基本农田面积减少的，应拟定永久基本农田补划方案，从已划定的永久基本农田储备区中补划，并更新完善永久基本农田数据库。</w:t>
      </w:r>
    </w:p>
    <w:p w:rsidR="009F7067" w:rsidRDefault="009F7067" w:rsidP="009F7067">
      <w:pPr>
        <w:pStyle w:val="a3"/>
        <w:shd w:val="clear" w:color="auto" w:fill="FFFFFF"/>
        <w:spacing w:before="0" w:beforeAutospacing="0" w:after="0" w:afterAutospacing="0" w:line="560" w:lineRule="exact"/>
        <w:ind w:firstLine="645"/>
        <w:rPr>
          <w:rFonts w:ascii="Times New Roman" w:eastAsia="黑体" w:hAnsi="Times New Roman" w:cs="Times New Roman"/>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复垦地类原则上应按照原地类进行复垦，符合当地群众生产生活习惯和生态保护要求，有利于土地集约使用。</w:t>
      </w:r>
    </w:p>
    <w:p w:rsidR="009F7067" w:rsidRDefault="009F7067" w:rsidP="009F7067">
      <w:pPr>
        <w:widowControl/>
        <w:spacing w:after="240" w:line="384" w:lineRule="atLeast"/>
        <w:rPr>
          <w:rFonts w:eastAsia="黑体"/>
          <w:color w:val="000000"/>
          <w:sz w:val="32"/>
          <w:szCs w:val="32"/>
        </w:rPr>
      </w:pPr>
      <w:r>
        <w:rPr>
          <w:rFonts w:eastAsia="黑体" w:hint="eastAsia"/>
          <w:color w:val="000000"/>
          <w:sz w:val="32"/>
          <w:szCs w:val="32"/>
        </w:rPr>
        <w:lastRenderedPageBreak/>
        <w:t>附件</w:t>
      </w:r>
      <w:r>
        <w:rPr>
          <w:rFonts w:eastAsia="黑体"/>
          <w:color w:val="000000"/>
          <w:sz w:val="32"/>
          <w:szCs w:val="32"/>
        </w:rPr>
        <w:t>2</w:t>
      </w:r>
    </w:p>
    <w:p w:rsidR="009F7067" w:rsidRDefault="009F7067" w:rsidP="009F7067">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土地复垦方案送审及审定备案要求</w:t>
      </w:r>
    </w:p>
    <w:p w:rsidR="009F7067" w:rsidRDefault="009F7067" w:rsidP="009F7067">
      <w:pPr>
        <w:spacing w:line="560" w:lineRule="exact"/>
        <w:jc w:val="center"/>
        <w:rPr>
          <w:rFonts w:eastAsia="华文中宋" w:hint="eastAsia"/>
          <w:color w:val="000000"/>
          <w:sz w:val="36"/>
          <w:szCs w:val="36"/>
        </w:rPr>
      </w:pP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一、送审材料包括复垦方案报告书（表）送审稿及设计图册。</w:t>
      </w:r>
      <w:r>
        <w:rPr>
          <w:rFonts w:eastAsia="仿宋_GB2312"/>
          <w:color w:val="000000"/>
          <w:sz w:val="32"/>
          <w:szCs w:val="32"/>
        </w:rPr>
        <w:t xml:space="preserve">  </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二、送审报告装订要求（装订顺序）：封面、责任签、方案编制信息表、目录、正文、附图、附表、附件、报告内审意见、评审依据（项目建议书或可</w:t>
      </w:r>
      <w:proofErr w:type="gramStart"/>
      <w:r>
        <w:rPr>
          <w:rFonts w:eastAsia="仿宋_GB2312" w:hint="eastAsia"/>
          <w:color w:val="000000"/>
          <w:sz w:val="32"/>
          <w:szCs w:val="32"/>
        </w:rPr>
        <w:t>研</w:t>
      </w:r>
      <w:proofErr w:type="gramEnd"/>
      <w:r>
        <w:rPr>
          <w:rFonts w:eastAsia="仿宋_GB2312" w:hint="eastAsia"/>
          <w:color w:val="000000"/>
          <w:sz w:val="32"/>
          <w:szCs w:val="32"/>
        </w:rPr>
        <w:t>批复文件等）、委托书、承诺书、土地权属人意见均装订</w:t>
      </w:r>
      <w:proofErr w:type="gramStart"/>
      <w:r>
        <w:rPr>
          <w:rFonts w:eastAsia="仿宋_GB2312" w:hint="eastAsia"/>
          <w:color w:val="000000"/>
          <w:sz w:val="32"/>
          <w:szCs w:val="32"/>
        </w:rPr>
        <w:t>入报告</w:t>
      </w:r>
      <w:proofErr w:type="gramEnd"/>
      <w:r>
        <w:rPr>
          <w:rFonts w:eastAsia="仿宋_GB2312" w:hint="eastAsia"/>
          <w:color w:val="000000"/>
          <w:sz w:val="32"/>
          <w:szCs w:val="32"/>
        </w:rPr>
        <w:t>中，报告按原有格式签名盖章。</w:t>
      </w:r>
      <w:r>
        <w:rPr>
          <w:rFonts w:eastAsia="仿宋_GB2312"/>
          <w:color w:val="000000"/>
          <w:sz w:val="32"/>
          <w:szCs w:val="32"/>
        </w:rPr>
        <w:t> </w:t>
      </w:r>
      <w:r>
        <w:rPr>
          <w:rFonts w:eastAsia="仿宋_GB2312"/>
          <w:color w:val="000000"/>
          <w:sz w:val="32"/>
          <w:szCs w:val="32"/>
        </w:rPr>
        <w:t> </w:t>
      </w:r>
      <w:r>
        <w:rPr>
          <w:rFonts w:eastAsia="仿宋_GB2312"/>
          <w:color w:val="000000"/>
          <w:sz w:val="32"/>
          <w:szCs w:val="32"/>
        </w:rPr>
        <w:t> </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三、报告审定稿备案要求</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（一）送审单位须在</w:t>
      </w:r>
      <w:r>
        <w:rPr>
          <w:rFonts w:eastAsia="仿宋_GB2312"/>
          <w:color w:val="000000"/>
          <w:sz w:val="32"/>
          <w:szCs w:val="32"/>
        </w:rPr>
        <w:t>5</w:t>
      </w:r>
      <w:r>
        <w:rPr>
          <w:rFonts w:eastAsia="仿宋_GB2312" w:hint="eastAsia"/>
          <w:color w:val="000000"/>
          <w:sz w:val="32"/>
          <w:szCs w:val="32"/>
        </w:rPr>
        <w:t>个工作日内把修改好的报告报备稿和设计图册（纸质）和光盘送至评审单位备案。</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二）纸质报告报备稿（装订顺序）：封面、责任签、方案编制信息表、专家审查表原件、评估报告登记表原件、评审专家组名单表原件、专家组审查意见原件、专家个人意见原件、报告修改说明表原件（项目负责人签名、单位盖章、专家组长复核并签意见、签名和日期）目录、正文、</w:t>
      </w:r>
      <w:r>
        <w:rPr>
          <w:rFonts w:eastAsia="仿宋_GB2312"/>
          <w:color w:val="000000"/>
          <w:sz w:val="32"/>
          <w:szCs w:val="32"/>
        </w:rPr>
        <w:t xml:space="preserve"> </w:t>
      </w:r>
      <w:r>
        <w:rPr>
          <w:rFonts w:eastAsia="仿宋_GB2312" w:hint="eastAsia"/>
          <w:color w:val="000000"/>
          <w:sz w:val="32"/>
          <w:szCs w:val="32"/>
        </w:rPr>
        <w:t>附图、附表、附件、报告内审意见、评审依据（建议书或可</w:t>
      </w:r>
      <w:proofErr w:type="gramStart"/>
      <w:r>
        <w:rPr>
          <w:rFonts w:eastAsia="仿宋_GB2312" w:hint="eastAsia"/>
          <w:color w:val="000000"/>
          <w:sz w:val="32"/>
          <w:szCs w:val="32"/>
        </w:rPr>
        <w:t>研</w:t>
      </w:r>
      <w:proofErr w:type="gramEnd"/>
      <w:r>
        <w:rPr>
          <w:rFonts w:eastAsia="仿宋_GB2312" w:hint="eastAsia"/>
          <w:color w:val="000000"/>
          <w:sz w:val="32"/>
          <w:szCs w:val="32"/>
        </w:rPr>
        <w:t>）、土地权属人意见均装订</w:t>
      </w:r>
      <w:proofErr w:type="gramStart"/>
      <w:r>
        <w:rPr>
          <w:rFonts w:eastAsia="仿宋_GB2312" w:hint="eastAsia"/>
          <w:color w:val="000000"/>
          <w:sz w:val="32"/>
          <w:szCs w:val="32"/>
        </w:rPr>
        <w:t>入报告</w:t>
      </w:r>
      <w:proofErr w:type="gramEnd"/>
      <w:r>
        <w:rPr>
          <w:rFonts w:eastAsia="仿宋_GB2312" w:hint="eastAsia"/>
          <w:color w:val="000000"/>
          <w:sz w:val="32"/>
          <w:szCs w:val="32"/>
        </w:rPr>
        <w:t>中，报告按原有格式签名盖章。</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（三）刻录光盘，内包括四个文件夹：</w:t>
      </w:r>
    </w:p>
    <w:p w:rsidR="009F7067" w:rsidRDefault="009F7067" w:rsidP="009F7067">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报备稿，按报告顺序及全部内容做一个文件，</w:t>
      </w:r>
      <w:r>
        <w:rPr>
          <w:rFonts w:eastAsia="仿宋_GB2312"/>
          <w:color w:val="000000"/>
          <w:sz w:val="32"/>
          <w:szCs w:val="32"/>
        </w:rPr>
        <w:t>word</w:t>
      </w:r>
      <w:r>
        <w:rPr>
          <w:rFonts w:eastAsia="仿宋_GB2312" w:hint="eastAsia"/>
          <w:color w:val="000000"/>
          <w:sz w:val="32"/>
          <w:szCs w:val="32"/>
        </w:rPr>
        <w:t>、</w:t>
      </w:r>
      <w:r>
        <w:rPr>
          <w:rFonts w:eastAsia="仿宋_GB2312"/>
          <w:color w:val="000000"/>
          <w:sz w:val="32"/>
          <w:szCs w:val="32"/>
        </w:rPr>
        <w:t>PDF</w:t>
      </w:r>
      <w:r>
        <w:rPr>
          <w:rFonts w:eastAsia="仿宋_GB2312" w:hint="eastAsia"/>
          <w:color w:val="000000"/>
          <w:sz w:val="32"/>
          <w:szCs w:val="32"/>
        </w:rPr>
        <w:t>两种格式</w:t>
      </w:r>
      <w:r>
        <w:rPr>
          <w:rFonts w:eastAsia="仿宋_GB2312"/>
          <w:color w:val="000000"/>
          <w:sz w:val="32"/>
          <w:szCs w:val="32"/>
        </w:rPr>
        <w:t xml:space="preserve"> </w:t>
      </w:r>
      <w:r>
        <w:rPr>
          <w:rFonts w:eastAsia="仿宋_GB2312" w:hint="eastAsia"/>
          <w:color w:val="000000"/>
          <w:sz w:val="32"/>
          <w:szCs w:val="32"/>
        </w:rPr>
        <w:t>；</w:t>
      </w:r>
      <w:r>
        <w:rPr>
          <w:rFonts w:eastAsia="仿宋_GB2312"/>
          <w:color w:val="000000"/>
          <w:sz w:val="32"/>
          <w:szCs w:val="32"/>
        </w:rPr>
        <w:t xml:space="preserve"> </w:t>
      </w:r>
    </w:p>
    <w:p w:rsidR="009F7067" w:rsidRDefault="009F7067" w:rsidP="009F7067">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附图，包括</w:t>
      </w:r>
      <w:r>
        <w:rPr>
          <w:rFonts w:eastAsia="仿宋_GB2312"/>
          <w:color w:val="000000"/>
          <w:sz w:val="32"/>
          <w:szCs w:val="32"/>
        </w:rPr>
        <w:t>CAD</w:t>
      </w:r>
      <w:r>
        <w:rPr>
          <w:rFonts w:eastAsia="仿宋_GB2312" w:hint="eastAsia"/>
          <w:color w:val="000000"/>
          <w:sz w:val="32"/>
          <w:szCs w:val="32"/>
        </w:rPr>
        <w:t>（或</w:t>
      </w:r>
      <w:proofErr w:type="spellStart"/>
      <w:r>
        <w:rPr>
          <w:rFonts w:eastAsia="仿宋_GB2312"/>
          <w:color w:val="000000"/>
          <w:sz w:val="32"/>
          <w:szCs w:val="32"/>
        </w:rPr>
        <w:t>mapgis</w:t>
      </w:r>
      <w:proofErr w:type="spellEnd"/>
      <w:r>
        <w:rPr>
          <w:rFonts w:eastAsia="仿宋_GB2312" w:hint="eastAsia"/>
          <w:color w:val="000000"/>
          <w:sz w:val="32"/>
          <w:szCs w:val="32"/>
        </w:rPr>
        <w:t>等原编辑格式）和</w:t>
      </w:r>
      <w:r>
        <w:rPr>
          <w:rFonts w:eastAsia="仿宋_GB2312"/>
          <w:color w:val="000000"/>
          <w:sz w:val="32"/>
          <w:szCs w:val="32"/>
        </w:rPr>
        <w:t>PDF</w:t>
      </w:r>
      <w:r>
        <w:rPr>
          <w:rFonts w:eastAsia="仿宋_GB2312" w:hint="eastAsia"/>
          <w:color w:val="000000"/>
          <w:sz w:val="32"/>
          <w:szCs w:val="32"/>
        </w:rPr>
        <w:t>两种</w:t>
      </w:r>
      <w:r>
        <w:rPr>
          <w:rFonts w:eastAsia="仿宋_GB2312" w:hint="eastAsia"/>
          <w:color w:val="000000"/>
          <w:sz w:val="32"/>
          <w:szCs w:val="32"/>
        </w:rPr>
        <w:lastRenderedPageBreak/>
        <w:t>格式文件。</w:t>
      </w:r>
    </w:p>
    <w:p w:rsidR="009F7067" w:rsidRDefault="009F7067" w:rsidP="009F7067">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评审材料，</w:t>
      </w:r>
      <w:r>
        <w:rPr>
          <w:rFonts w:eastAsia="仿宋_GB2312"/>
          <w:color w:val="000000"/>
          <w:sz w:val="32"/>
          <w:szCs w:val="32"/>
        </w:rPr>
        <w:t>PDF</w:t>
      </w:r>
      <w:r>
        <w:rPr>
          <w:rFonts w:eastAsia="仿宋_GB2312" w:hint="eastAsia"/>
          <w:color w:val="000000"/>
          <w:sz w:val="32"/>
          <w:szCs w:val="32"/>
        </w:rPr>
        <w:t>格式文件，包括专家审查表、评估报告登记表、评审专家组名单、专家组审查意见、专家个人意见、报告修改说明表。</w:t>
      </w:r>
    </w:p>
    <w:p w:rsidR="009F7067" w:rsidRDefault="009F7067" w:rsidP="009F7067">
      <w:pPr>
        <w:spacing w:line="560" w:lineRule="exact"/>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项目临时用地的坐标（</w:t>
      </w:r>
      <w:r>
        <w:rPr>
          <w:rFonts w:eastAsia="仿宋_GB2312"/>
          <w:color w:val="000000"/>
          <w:sz w:val="32"/>
          <w:szCs w:val="32"/>
        </w:rPr>
        <w:t>2000</w:t>
      </w:r>
      <w:r>
        <w:rPr>
          <w:rFonts w:eastAsia="仿宋_GB2312" w:hint="eastAsia"/>
          <w:color w:val="000000"/>
          <w:sz w:val="32"/>
          <w:szCs w:val="32"/>
        </w:rPr>
        <w:t>坐标</w:t>
      </w:r>
      <w:r>
        <w:rPr>
          <w:rFonts w:eastAsia="仿宋_GB2312"/>
          <w:color w:val="000000"/>
          <w:sz w:val="32"/>
          <w:szCs w:val="32"/>
        </w:rPr>
        <w:t>/TXT</w:t>
      </w:r>
      <w:r>
        <w:rPr>
          <w:rFonts w:eastAsia="仿宋_GB2312" w:hint="eastAsia"/>
          <w:color w:val="000000"/>
          <w:sz w:val="32"/>
          <w:szCs w:val="32"/>
        </w:rPr>
        <w:t>及</w:t>
      </w:r>
      <w:proofErr w:type="spellStart"/>
      <w:r>
        <w:rPr>
          <w:rFonts w:eastAsia="仿宋_GB2312"/>
          <w:color w:val="000000"/>
          <w:sz w:val="32"/>
          <w:szCs w:val="32"/>
        </w:rPr>
        <w:t>shp</w:t>
      </w:r>
      <w:proofErr w:type="spellEnd"/>
      <w:r>
        <w:rPr>
          <w:rFonts w:eastAsia="仿宋_GB2312" w:hint="eastAsia"/>
          <w:color w:val="000000"/>
          <w:sz w:val="32"/>
          <w:szCs w:val="32"/>
        </w:rPr>
        <w:t>格式）。</w:t>
      </w:r>
    </w:p>
    <w:p w:rsidR="009F7067" w:rsidRDefault="009F7067" w:rsidP="009F7067">
      <w:pPr>
        <w:spacing w:line="560" w:lineRule="exact"/>
        <w:ind w:firstLineChars="200" w:firstLine="640"/>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涉及基本农田临时用地坐标（</w:t>
      </w:r>
      <w:r>
        <w:rPr>
          <w:rFonts w:eastAsia="仿宋_GB2312"/>
          <w:color w:val="000000"/>
          <w:sz w:val="32"/>
          <w:szCs w:val="32"/>
        </w:rPr>
        <w:t>2000</w:t>
      </w:r>
      <w:r>
        <w:rPr>
          <w:rFonts w:eastAsia="仿宋_GB2312" w:hint="eastAsia"/>
          <w:color w:val="000000"/>
          <w:sz w:val="32"/>
          <w:szCs w:val="32"/>
        </w:rPr>
        <w:t>坐标</w:t>
      </w:r>
      <w:r>
        <w:rPr>
          <w:rFonts w:eastAsia="仿宋_GB2312"/>
          <w:color w:val="000000"/>
          <w:sz w:val="32"/>
          <w:szCs w:val="32"/>
        </w:rPr>
        <w:t>/TXT</w:t>
      </w:r>
      <w:r>
        <w:rPr>
          <w:rFonts w:eastAsia="仿宋_GB2312" w:hint="eastAsia"/>
          <w:color w:val="000000"/>
          <w:sz w:val="32"/>
          <w:szCs w:val="32"/>
        </w:rPr>
        <w:t>及</w:t>
      </w:r>
      <w:proofErr w:type="spellStart"/>
      <w:r>
        <w:rPr>
          <w:rFonts w:eastAsia="仿宋_GB2312"/>
          <w:color w:val="000000"/>
          <w:sz w:val="32"/>
          <w:szCs w:val="32"/>
        </w:rPr>
        <w:t>shp</w:t>
      </w:r>
      <w:proofErr w:type="spellEnd"/>
      <w:r>
        <w:rPr>
          <w:rFonts w:eastAsia="仿宋_GB2312" w:hint="eastAsia"/>
          <w:color w:val="000000"/>
          <w:sz w:val="32"/>
          <w:szCs w:val="32"/>
        </w:rPr>
        <w:t>格式）。</w:t>
      </w:r>
    </w:p>
    <w:p w:rsidR="009F7067" w:rsidRDefault="009F7067" w:rsidP="009F7067">
      <w:pPr>
        <w:spacing w:line="560" w:lineRule="exact"/>
        <w:ind w:firstLineChars="200" w:firstLine="640"/>
        <w:rPr>
          <w:rFonts w:eastAsia="仿宋_GB2312"/>
          <w:color w:val="000000"/>
          <w:sz w:val="32"/>
          <w:szCs w:val="32"/>
        </w:rPr>
      </w:pPr>
      <w:r>
        <w:rPr>
          <w:rFonts w:eastAsia="仿宋_GB2312" w:hint="eastAsia"/>
          <w:color w:val="000000"/>
          <w:sz w:val="32"/>
          <w:szCs w:val="32"/>
        </w:rPr>
        <w:t>（四）县（市）级自然资源主管部门审查批准的复垦方案报告书（表）成果，按规定报设区</w:t>
      </w:r>
      <w:r>
        <w:rPr>
          <w:rFonts w:eastAsia="仿宋_GB2312" w:hint="eastAsia"/>
          <w:color w:val="000000"/>
          <w:sz w:val="32"/>
          <w:szCs w:val="32"/>
          <w:shd w:val="clear" w:color="auto" w:fill="FFFFFF"/>
        </w:rPr>
        <w:t>市自然资源主管部门备案。</w:t>
      </w:r>
    </w:p>
    <w:p w:rsidR="009F7067" w:rsidRDefault="009F7067" w:rsidP="009F7067">
      <w:pPr>
        <w:widowControl/>
        <w:spacing w:beforeAutospacing="1" w:afterAutospacing="1"/>
        <w:jc w:val="left"/>
        <w:rPr>
          <w:rFonts w:eastAsia="仿宋_GB2312"/>
          <w:color w:val="000000"/>
          <w:sz w:val="32"/>
          <w:szCs w:val="32"/>
        </w:rPr>
        <w:sectPr w:rsidR="009F7067">
          <w:pgSz w:w="11906" w:h="16838"/>
          <w:pgMar w:top="1814" w:right="1474" w:bottom="1985" w:left="1588" w:header="0" w:footer="1588" w:gutter="0"/>
          <w:cols w:space="720"/>
          <w:docGrid w:type="lines" w:linePitch="312"/>
        </w:sectPr>
      </w:pPr>
    </w:p>
    <w:p w:rsidR="009F7067" w:rsidRDefault="009F7067" w:rsidP="009F7067">
      <w:pPr>
        <w:widowControl/>
        <w:spacing w:after="240" w:line="384" w:lineRule="atLeast"/>
        <w:rPr>
          <w:rFonts w:eastAsia="黑体"/>
          <w:color w:val="000000"/>
          <w:sz w:val="32"/>
          <w:szCs w:val="32"/>
        </w:rPr>
      </w:pPr>
      <w:r>
        <w:rPr>
          <w:rFonts w:eastAsia="黑体" w:hint="eastAsia"/>
          <w:color w:val="000000"/>
          <w:sz w:val="32"/>
          <w:szCs w:val="32"/>
        </w:rPr>
        <w:lastRenderedPageBreak/>
        <w:t>附件</w:t>
      </w:r>
      <w:r>
        <w:rPr>
          <w:rFonts w:eastAsia="黑体"/>
          <w:color w:val="000000"/>
          <w:sz w:val="32"/>
          <w:szCs w:val="32"/>
        </w:rPr>
        <w:t>3</w:t>
      </w:r>
    </w:p>
    <w:p w:rsidR="009F7067" w:rsidRDefault="009F7067" w:rsidP="009F7067">
      <w:pPr>
        <w:spacing w:afterLines="100" w:after="312"/>
        <w:jc w:val="center"/>
        <w:rPr>
          <w:rFonts w:ascii="方正小标宋简体" w:eastAsia="方正小标宋简体"/>
          <w:color w:val="000000"/>
          <w:sz w:val="44"/>
          <w:szCs w:val="44"/>
        </w:rPr>
      </w:pPr>
      <w:r>
        <w:rPr>
          <w:rFonts w:ascii="方正小标宋简体" w:eastAsia="方正小标宋简体" w:hint="eastAsia"/>
          <w:color w:val="000000"/>
          <w:sz w:val="44"/>
          <w:szCs w:val="44"/>
        </w:rPr>
        <w:t>______市</w:t>
      </w:r>
      <w:r>
        <w:rPr>
          <w:rFonts w:ascii="方正小标宋简体" w:eastAsia="方正小标宋简体" w:hint="eastAsia"/>
          <w:color w:val="000000"/>
          <w:sz w:val="44"/>
          <w:szCs w:val="44"/>
        </w:rPr>
        <w:softHyphen/>
      </w:r>
      <w:r>
        <w:rPr>
          <w:rFonts w:ascii="方正小标宋简体" w:eastAsia="方正小标宋简体" w:hint="eastAsia"/>
          <w:color w:val="000000"/>
          <w:sz w:val="44"/>
          <w:szCs w:val="44"/>
        </w:rPr>
        <w:softHyphen/>
      </w:r>
      <w:r>
        <w:rPr>
          <w:rFonts w:ascii="方正小标宋简体" w:eastAsia="方正小标宋简体" w:hint="eastAsia"/>
          <w:color w:val="000000"/>
          <w:sz w:val="44"/>
          <w:szCs w:val="44"/>
        </w:rPr>
        <w:softHyphen/>
        <w:t>____年度土地复垦方案评审</w:t>
      </w:r>
      <w:proofErr w:type="gramStart"/>
      <w:r>
        <w:rPr>
          <w:rFonts w:ascii="方正小标宋简体" w:eastAsia="方正小标宋简体" w:hint="eastAsia"/>
          <w:color w:val="000000"/>
          <w:sz w:val="44"/>
          <w:szCs w:val="44"/>
        </w:rPr>
        <w:t>备案台</w:t>
      </w:r>
      <w:proofErr w:type="gramEnd"/>
      <w:r>
        <w:rPr>
          <w:rFonts w:ascii="方正小标宋简体" w:eastAsia="方正小标宋简体" w:hint="eastAsia"/>
          <w:color w:val="000000"/>
          <w:sz w:val="44"/>
          <w:szCs w:val="44"/>
        </w:rPr>
        <w:t>账</w:t>
      </w:r>
    </w:p>
    <w:p w:rsidR="009F7067" w:rsidRDefault="009F7067" w:rsidP="009F7067">
      <w:pPr>
        <w:jc w:val="left"/>
        <w:rPr>
          <w:rFonts w:hint="eastAsia"/>
          <w:color w:val="000000"/>
          <w:sz w:val="24"/>
        </w:rPr>
      </w:pPr>
      <w:r>
        <w:rPr>
          <w:color w:val="000000"/>
          <w:sz w:val="24"/>
        </w:rPr>
        <w:t xml:space="preserve">                                                                                                     </w:t>
      </w:r>
      <w:r>
        <w:rPr>
          <w:rFonts w:hint="eastAsia"/>
          <w:color w:val="000000"/>
          <w:sz w:val="24"/>
        </w:rPr>
        <w:t>单位：公顷、万元</w:t>
      </w: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961"/>
        <w:gridCol w:w="1560"/>
        <w:gridCol w:w="1417"/>
        <w:gridCol w:w="1418"/>
        <w:gridCol w:w="1134"/>
        <w:gridCol w:w="1134"/>
        <w:gridCol w:w="1134"/>
        <w:gridCol w:w="1134"/>
        <w:gridCol w:w="992"/>
        <w:gridCol w:w="992"/>
        <w:gridCol w:w="780"/>
        <w:gridCol w:w="779"/>
        <w:gridCol w:w="567"/>
      </w:tblGrid>
      <w:tr w:rsidR="009F7067" w:rsidTr="009F7067">
        <w:trPr>
          <w:trHeight w:val="2263"/>
          <w:jc w:val="center"/>
        </w:trPr>
        <w:tc>
          <w:tcPr>
            <w:tcW w:w="848"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序号</w:t>
            </w:r>
          </w:p>
        </w:tc>
        <w:tc>
          <w:tcPr>
            <w:tcW w:w="961"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县（市、区）</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项目名称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损毁土地面积（按地类分别统计、耕地要注明质量等别）</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拟复垦土地面积（按地类分别统计、耕地要注明质量等别）</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占永久基本农田面积（旱地、水田分别统计）</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土地复垦动态投资</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亩均动态投资</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复垦责任单位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编制单位</w:t>
            </w:r>
          </w:p>
        </w:tc>
        <w:tc>
          <w:tcPr>
            <w:tcW w:w="992"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复垦方案有效期（</w:t>
            </w:r>
            <w:r>
              <w:rPr>
                <w:color w:val="000000"/>
                <w:sz w:val="24"/>
              </w:rPr>
              <w:t>×</w:t>
            </w:r>
            <w:r>
              <w:rPr>
                <w:rFonts w:hint="eastAsia"/>
                <w:color w:val="000000"/>
                <w:sz w:val="24"/>
              </w:rPr>
              <w:t>年</w:t>
            </w:r>
            <w:r>
              <w:rPr>
                <w:color w:val="000000"/>
                <w:sz w:val="24"/>
              </w:rPr>
              <w:t>-×</w:t>
            </w:r>
            <w:r>
              <w:rPr>
                <w:rFonts w:hint="eastAsia"/>
                <w:color w:val="000000"/>
                <w:sz w:val="24"/>
              </w:rPr>
              <w:t>年）</w:t>
            </w:r>
          </w:p>
        </w:tc>
        <w:tc>
          <w:tcPr>
            <w:tcW w:w="780"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复垦工作计划开始时间</w:t>
            </w:r>
          </w:p>
        </w:tc>
        <w:tc>
          <w:tcPr>
            <w:tcW w:w="779"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备案日期</w:t>
            </w:r>
          </w:p>
        </w:tc>
        <w:tc>
          <w:tcPr>
            <w:tcW w:w="567" w:type="dxa"/>
            <w:tcBorders>
              <w:top w:val="single" w:sz="4" w:space="0" w:color="auto"/>
              <w:left w:val="single" w:sz="4" w:space="0" w:color="auto"/>
              <w:bottom w:val="single" w:sz="4" w:space="0" w:color="auto"/>
              <w:right w:val="single" w:sz="4" w:space="0" w:color="auto"/>
            </w:tcBorders>
            <w:vAlign w:val="center"/>
            <w:hideMark/>
          </w:tcPr>
          <w:p w:rsidR="009F7067" w:rsidRDefault="009F7067">
            <w:pPr>
              <w:jc w:val="center"/>
              <w:rPr>
                <w:color w:val="000000"/>
                <w:sz w:val="24"/>
              </w:rPr>
            </w:pPr>
            <w:r>
              <w:rPr>
                <w:rFonts w:hint="eastAsia"/>
                <w:color w:val="000000"/>
                <w:sz w:val="24"/>
              </w:rPr>
              <w:t>备注</w:t>
            </w:r>
          </w:p>
        </w:tc>
      </w:tr>
      <w:tr w:rsidR="009F7067" w:rsidTr="009F7067">
        <w:trPr>
          <w:trHeight w:val="634"/>
          <w:jc w:val="center"/>
        </w:trPr>
        <w:tc>
          <w:tcPr>
            <w:tcW w:w="84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61"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56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8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79"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r>
      <w:tr w:rsidR="009F7067" w:rsidTr="009F7067">
        <w:trPr>
          <w:trHeight w:val="615"/>
          <w:jc w:val="center"/>
        </w:trPr>
        <w:tc>
          <w:tcPr>
            <w:tcW w:w="84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61"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56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8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79"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r>
      <w:tr w:rsidR="009F7067" w:rsidTr="009F7067">
        <w:trPr>
          <w:trHeight w:val="617"/>
          <w:jc w:val="center"/>
        </w:trPr>
        <w:tc>
          <w:tcPr>
            <w:tcW w:w="84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61"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56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8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79"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r>
      <w:tr w:rsidR="009F7067" w:rsidTr="009F7067">
        <w:trPr>
          <w:trHeight w:val="605"/>
          <w:jc w:val="center"/>
        </w:trPr>
        <w:tc>
          <w:tcPr>
            <w:tcW w:w="84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61"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56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8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79"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r>
      <w:tr w:rsidR="009F7067" w:rsidTr="009F7067">
        <w:trPr>
          <w:trHeight w:val="605"/>
          <w:jc w:val="center"/>
        </w:trPr>
        <w:tc>
          <w:tcPr>
            <w:tcW w:w="84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61"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56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418"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1134"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80"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779"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c>
          <w:tcPr>
            <w:tcW w:w="567" w:type="dxa"/>
            <w:tcBorders>
              <w:top w:val="single" w:sz="4" w:space="0" w:color="auto"/>
              <w:left w:val="single" w:sz="4" w:space="0" w:color="auto"/>
              <w:bottom w:val="single" w:sz="4" w:space="0" w:color="auto"/>
              <w:right w:val="single" w:sz="4" w:space="0" w:color="auto"/>
            </w:tcBorders>
          </w:tcPr>
          <w:p w:rsidR="009F7067" w:rsidRDefault="009F7067">
            <w:pPr>
              <w:rPr>
                <w:color w:val="000000"/>
              </w:rPr>
            </w:pPr>
          </w:p>
        </w:tc>
      </w:tr>
    </w:tbl>
    <w:p w:rsidR="009F7067" w:rsidRPr="009F7067" w:rsidRDefault="009F7067" w:rsidP="009F7067">
      <w:pPr>
        <w:jc w:val="left"/>
        <w:rPr>
          <w:color w:val="000000"/>
          <w:sz w:val="24"/>
        </w:rPr>
        <w:sectPr w:rsidR="009F7067" w:rsidRPr="009F7067">
          <w:pgSz w:w="16838" w:h="11906" w:orient="landscape"/>
          <w:pgMar w:top="1588" w:right="1814" w:bottom="1474" w:left="1985" w:header="0" w:footer="1588" w:gutter="0"/>
          <w:cols w:space="720"/>
          <w:docGrid w:type="linesAndChars" w:linePitch="312"/>
        </w:sectPr>
      </w:pPr>
      <w:r>
        <w:rPr>
          <w:color w:val="000000"/>
          <w:sz w:val="24"/>
        </w:rPr>
        <w:t xml:space="preserve">                                      </w:t>
      </w:r>
      <w:bookmarkStart w:id="0" w:name="_GoBack"/>
      <w:bookmarkEnd w:id="0"/>
    </w:p>
    <w:p w:rsidR="00FC1F02" w:rsidRDefault="00FC1F02"/>
    <w:sectPr w:rsidR="00FC1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67"/>
    <w:rsid w:val="009F7067"/>
    <w:rsid w:val="00FC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F7067"/>
    <w:pPr>
      <w:widowControl/>
      <w:spacing w:before="100" w:beforeAutospacing="1" w:after="100" w:afterAutospacing="1"/>
      <w:jc w:val="left"/>
    </w:pPr>
    <w:rPr>
      <w:rFonts w:ascii="宋体" w:hAnsi="宋体" w:cs="宋体"/>
      <w:color w:val="000000"/>
      <w:kern w:val="0"/>
      <w:sz w:val="24"/>
    </w:rPr>
  </w:style>
  <w:style w:type="paragraph" w:styleId="a4">
    <w:name w:val="Balloon Text"/>
    <w:basedOn w:val="a"/>
    <w:link w:val="Char"/>
    <w:uiPriority w:val="99"/>
    <w:semiHidden/>
    <w:unhideWhenUsed/>
    <w:rsid w:val="009F7067"/>
    <w:rPr>
      <w:sz w:val="18"/>
      <w:szCs w:val="18"/>
    </w:rPr>
  </w:style>
  <w:style w:type="character" w:customStyle="1" w:styleId="Char">
    <w:name w:val="批注框文本 Char"/>
    <w:basedOn w:val="a0"/>
    <w:link w:val="a4"/>
    <w:uiPriority w:val="99"/>
    <w:semiHidden/>
    <w:rsid w:val="009F706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F7067"/>
    <w:pPr>
      <w:widowControl/>
      <w:spacing w:before="100" w:beforeAutospacing="1" w:after="100" w:afterAutospacing="1"/>
      <w:jc w:val="left"/>
    </w:pPr>
    <w:rPr>
      <w:rFonts w:ascii="宋体" w:hAnsi="宋体" w:cs="宋体"/>
      <w:color w:val="000000"/>
      <w:kern w:val="0"/>
      <w:sz w:val="24"/>
    </w:rPr>
  </w:style>
  <w:style w:type="paragraph" w:styleId="a4">
    <w:name w:val="Balloon Text"/>
    <w:basedOn w:val="a"/>
    <w:link w:val="Char"/>
    <w:uiPriority w:val="99"/>
    <w:semiHidden/>
    <w:unhideWhenUsed/>
    <w:rsid w:val="009F7067"/>
    <w:rPr>
      <w:sz w:val="18"/>
      <w:szCs w:val="18"/>
    </w:rPr>
  </w:style>
  <w:style w:type="character" w:customStyle="1" w:styleId="Char">
    <w:name w:val="批注框文本 Char"/>
    <w:basedOn w:val="a0"/>
    <w:link w:val="a4"/>
    <w:uiPriority w:val="99"/>
    <w:semiHidden/>
    <w:rsid w:val="009F70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632</Words>
  <Characters>3608</Characters>
  <Application>Microsoft Office Word</Application>
  <DocSecurity>0</DocSecurity>
  <Lines>30</Lines>
  <Paragraphs>8</Paragraphs>
  <ScaleCrop>false</ScaleCrop>
  <Company>微软中国</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1</cp:revision>
  <dcterms:created xsi:type="dcterms:W3CDTF">2019-11-26T07:41:00Z</dcterms:created>
  <dcterms:modified xsi:type="dcterms:W3CDTF">2019-11-26T07:42:00Z</dcterms:modified>
</cp:coreProperties>
</file>