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ascii="仿宋_GB2312" w:eastAsia="仿宋_GB2312"/>
          <w:b/>
          <w:color w:val="000000"/>
          <w:sz w:val="36"/>
          <w:szCs w:val="36"/>
        </w:rPr>
      </w:pPr>
      <w:r>
        <w:rPr>
          <w:rFonts w:hint="eastAsia" w:ascii="仿宋_GB2312" w:eastAsia="仿宋_GB2312"/>
          <w:sz w:val="32"/>
          <w:szCs w:val="32"/>
        </w:rPr>
        <w:t>附件3</w:t>
      </w:r>
    </w:p>
    <w:p>
      <w:pPr>
        <w:adjustRightInd w:val="0"/>
        <w:snapToGrid w:val="0"/>
        <w:spacing w:line="204" w:lineRule="auto"/>
        <w:jc w:val="center"/>
        <w:rPr>
          <w:rFonts w:ascii="宋体" w:hAnsi="宋体"/>
          <w:b/>
          <w:color w:val="000000"/>
          <w:sz w:val="44"/>
          <w:szCs w:val="44"/>
        </w:rPr>
      </w:pPr>
      <w:r>
        <w:rPr>
          <w:rFonts w:hint="eastAsia" w:ascii="宋体" w:hAnsi="宋体"/>
          <w:b/>
          <w:color w:val="000000"/>
          <w:sz w:val="44"/>
          <w:szCs w:val="44"/>
        </w:rPr>
        <w:t>路外停车场机动车停放服务收费标准</w:t>
      </w:r>
    </w:p>
    <w:p>
      <w:pPr>
        <w:adjustRightInd w:val="0"/>
        <w:snapToGrid w:val="0"/>
        <w:spacing w:line="204" w:lineRule="auto"/>
        <w:ind w:right="720"/>
        <w:jc w:val="right"/>
        <w:rPr>
          <w:rFonts w:ascii="仿宋_GB2312" w:eastAsia="仿宋_GB2312"/>
          <w:b/>
          <w:color w:val="000000"/>
          <w:sz w:val="24"/>
        </w:rPr>
      </w:pPr>
      <w:r>
        <w:rPr>
          <w:rFonts w:hint="eastAsia" w:ascii="仿宋_GB2312" w:eastAsia="仿宋_GB2312"/>
          <w:color w:val="000000"/>
          <w:sz w:val="24"/>
        </w:rPr>
        <w:t>单位：元</w:t>
      </w:r>
      <w:r>
        <w:rPr>
          <w:rFonts w:hint="eastAsia" w:ascii="仿宋_GB2312" w:eastAsia="仿宋_GB2312"/>
          <w:b/>
          <w:color w:val="000000"/>
          <w:sz w:val="24"/>
        </w:rPr>
        <w:t xml:space="preserve"> </w:t>
      </w:r>
    </w:p>
    <w:tbl>
      <w:tblPr>
        <w:tblStyle w:val="3"/>
        <w:tblW w:w="15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38"/>
        <w:gridCol w:w="1824"/>
        <w:gridCol w:w="1359"/>
        <w:gridCol w:w="1450"/>
        <w:gridCol w:w="1456"/>
        <w:gridCol w:w="1335"/>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停车场类型</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计费方式</w:t>
            </w:r>
          </w:p>
        </w:tc>
        <w:tc>
          <w:tcPr>
            <w:tcW w:w="1824" w:type="dxa"/>
            <w:tcBorders>
              <w:top w:val="single" w:color="auto" w:sz="4" w:space="0"/>
              <w:left w:val="single" w:color="auto" w:sz="4" w:space="0"/>
              <w:bottom w:val="single" w:color="auto" w:sz="4" w:space="0"/>
              <w:right w:val="single" w:color="auto" w:sz="4" w:space="0"/>
            </w:tcBorders>
            <w:vAlign w:val="center"/>
          </w:tcPr>
          <w:p>
            <w:pPr>
              <w:ind w:firstLine="972" w:firstLineChars="486"/>
              <w:rPr>
                <w:rFonts w:ascii="仿宋_GB2312" w:eastAsia="仿宋_GB2312"/>
                <w:b/>
                <w:color w:val="000000"/>
                <w:kern w:val="2"/>
                <w:sz w:val="21"/>
                <w:szCs w:val="21"/>
              </w:rPr>
            </w:pPr>
            <w:r>
              <w:rPr>
                <w:kern w:val="0"/>
                <w:sz w:val="20"/>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-6350</wp:posOffset>
                      </wp:positionV>
                      <wp:extent cx="571500" cy="594360"/>
                      <wp:effectExtent l="3175" t="3175" r="15875" b="12065"/>
                      <wp:wrapNone/>
                      <wp:docPr id="1" name="直接连接符 1"/>
                      <wp:cNvGraphicFramePr/>
                      <a:graphic xmlns:a="http://schemas.openxmlformats.org/drawingml/2006/main">
                        <a:graphicData uri="http://schemas.microsoft.com/office/word/2010/wordprocessingShape">
                          <wps:wsp>
                            <wps:cNvSpPr/>
                            <wps:spPr>
                              <a:xfrm flipH="1" flipV="1">
                                <a:off x="0" y="0"/>
                                <a:ext cx="57150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0.8pt;margin-top:-0.5pt;height:46.8pt;width:45pt;z-index:251658240;mso-width-relative:page;mso-height-relative:page;" coordsize="21600,21600" o:gfxdata="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tLHzDSAAAA&#10;CAEAAA8AAAAAAAAAAQAgAAAAIgAAAGRycy9kb3ducmV2LnhtbFBLAQIUABQAAAAIAIdO4kCqZtn4&#10;6gEAAK4DAAAOAAAAAAAAAAEAIAAAACEBAABkcnMvZTJvRG9jLnhtbFBLBQYAAAAABgAGAFkBAAB9&#10;BQAAAAA=&#10;">
                      <v:path arrowok="t"/>
                      <v:fill focussize="0,0"/>
                      <v:stroke/>
                      <v:imagedata o:title=""/>
                      <o:lock v:ext="edit"/>
                    </v:line>
                  </w:pict>
                </mc:Fallback>
              </mc:AlternateContent>
            </w:r>
            <w:r>
              <w:rPr>
                <w:rFonts w:hint="eastAsia" w:ascii="仿宋_GB2312" w:eastAsia="仿宋_GB2312"/>
                <w:b/>
                <w:color w:val="000000"/>
                <w:kern w:val="0"/>
                <w:sz w:val="20"/>
                <w:szCs w:val="21"/>
              </w:rPr>
              <w:t>车型</w:t>
            </w:r>
          </w:p>
          <w:p>
            <w:pPr>
              <w:ind w:firstLine="98" w:firstLineChars="49"/>
              <w:rPr>
                <w:rFonts w:ascii="仿宋_GB2312" w:eastAsia="仿宋_GB2312"/>
                <w:b/>
                <w:color w:val="000000"/>
                <w:kern w:val="0"/>
                <w:sz w:val="20"/>
                <w:szCs w:val="21"/>
              </w:rPr>
            </w:pPr>
            <w:r>
              <w:rPr>
                <w:kern w:val="0"/>
                <w:sz w:val="20"/>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90805</wp:posOffset>
                      </wp:positionV>
                      <wp:extent cx="1144270" cy="299085"/>
                      <wp:effectExtent l="1270" t="4445" r="16510" b="20320"/>
                      <wp:wrapNone/>
                      <wp:docPr id="2" name="直接连接符 2"/>
                      <wp:cNvGraphicFramePr/>
                      <a:graphic xmlns:a="http://schemas.openxmlformats.org/drawingml/2006/main">
                        <a:graphicData uri="http://schemas.microsoft.com/office/word/2010/wordprocessingShape">
                          <wps:wsp>
                            <wps:cNvSpPr/>
                            <wps:spPr>
                              <a:xfrm flipH="1" flipV="1">
                                <a:off x="0" y="0"/>
                                <a:ext cx="1144270" cy="299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pt;margin-top:7.15pt;height:23.55pt;width:90.1pt;z-index:251658240;mso-width-relative:page;mso-height-relative:page;" coordsize="21600,21600" o:gfxdata="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glcqtQA&#10;AAAIAQAADwAAAAAAAAABACAAAAAiAAAAZHJzL2Rvd25yZXYueG1sUEsBAhQAFAAAAAgAh07iQKwE&#10;pIbqAQAArwMAAA4AAAAAAAAAAQAgAAAAIwEAAGRycy9lMm9Eb2MueG1sUEsFBgAAAAAGAAYAWQEA&#10;AH8FAAAAAA==&#10;">
                      <v:path arrowok="t"/>
                      <v:fill focussize="0,0"/>
                      <v:stroke/>
                      <v:imagedata o:title=""/>
                      <o:lock v:ext="edit"/>
                    </v:line>
                  </w:pict>
                </mc:Fallback>
              </mc:AlternateContent>
            </w:r>
            <w:r>
              <w:rPr>
                <w:rFonts w:hint="eastAsia" w:ascii="仿宋_GB2312" w:eastAsia="仿宋_GB2312"/>
                <w:b/>
                <w:color w:val="000000"/>
                <w:kern w:val="0"/>
                <w:sz w:val="20"/>
                <w:szCs w:val="21"/>
              </w:rPr>
              <w:t>收费标准</w:t>
            </w:r>
          </w:p>
          <w:p>
            <w:pPr>
              <w:rPr>
                <w:rFonts w:ascii="仿宋_GB2312" w:eastAsia="仿宋_GB2312"/>
                <w:b/>
                <w:color w:val="000000"/>
                <w:kern w:val="2"/>
                <w:sz w:val="21"/>
                <w:szCs w:val="21"/>
              </w:rPr>
            </w:pPr>
            <w:r>
              <w:rPr>
                <w:rFonts w:hint="eastAsia" w:ascii="仿宋_GB2312" w:eastAsia="仿宋_GB2312"/>
                <w:b/>
                <w:color w:val="000000"/>
                <w:kern w:val="0"/>
                <w:sz w:val="20"/>
                <w:szCs w:val="21"/>
              </w:rPr>
              <w:t>时间</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小型车</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中型车</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大型车</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特大型车</w:t>
            </w:r>
          </w:p>
        </w:tc>
        <w:tc>
          <w:tcPr>
            <w:tcW w:w="62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公共停车场</w:t>
            </w: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计时收费</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前2小时</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5</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6</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8</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10</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color w:val="000000"/>
                <w:kern w:val="2"/>
                <w:sz w:val="21"/>
                <w:szCs w:val="21"/>
              </w:rPr>
            </w:pPr>
            <w:r>
              <w:rPr>
                <w:rFonts w:hint="eastAsia" w:ascii="仿宋_GB2312" w:eastAsia="仿宋_GB2312"/>
                <w:color w:val="000000"/>
                <w:kern w:val="0"/>
                <w:sz w:val="20"/>
                <w:szCs w:val="21"/>
              </w:rPr>
              <w:t>1、公共停车场主要包括机场、车站、码头配套停车场，政府投资建设的停车场，举办大型活动设置的临时停车场，公共场馆停车场以及对外开放的医院、福利院等公益、公用单位停车场，游览参观点配套停车场，交通事故、故障和违法车辆专用停车场以及各类市场主要用于乘用车停放的配套停车场。</w:t>
            </w:r>
          </w:p>
          <w:p>
            <w:pPr>
              <w:adjustRightInd w:val="0"/>
              <w:snapToGrid w:val="0"/>
              <w:rPr>
                <w:rFonts w:ascii="仿宋_GB2312" w:eastAsia="仿宋_GB2312"/>
                <w:color w:val="000000"/>
                <w:kern w:val="0"/>
                <w:sz w:val="20"/>
                <w:szCs w:val="21"/>
              </w:rPr>
            </w:pPr>
            <w:r>
              <w:rPr>
                <w:rFonts w:hint="eastAsia" w:ascii="仿宋_GB2312" w:eastAsia="仿宋_GB2312"/>
                <w:color w:val="000000"/>
                <w:kern w:val="0"/>
                <w:sz w:val="20"/>
                <w:szCs w:val="21"/>
              </w:rPr>
              <w:t>2、专用停车场是指机关事业单位专供本单位车辆停放的场所。</w:t>
            </w:r>
          </w:p>
          <w:p>
            <w:pPr>
              <w:adjustRightInd w:val="0"/>
              <w:snapToGrid w:val="0"/>
              <w:rPr>
                <w:rFonts w:ascii="仿宋_GB2312" w:eastAsia="仿宋_GB2312"/>
                <w:color w:val="000000"/>
                <w:kern w:val="0"/>
                <w:sz w:val="20"/>
                <w:szCs w:val="21"/>
              </w:rPr>
            </w:pPr>
            <w:r>
              <w:rPr>
                <w:rFonts w:hint="eastAsia" w:ascii="仿宋_GB2312" w:eastAsia="仿宋_GB2312"/>
                <w:color w:val="000000"/>
                <w:kern w:val="0"/>
                <w:sz w:val="20"/>
                <w:szCs w:val="21"/>
              </w:rPr>
              <w:t>3、停车场免费措施和本单位员工（或业主）车辆停放的优惠便民措施由停车场管理单位自行制定。</w:t>
            </w:r>
          </w:p>
          <w:p>
            <w:pPr>
              <w:adjustRightInd w:val="0"/>
              <w:snapToGrid w:val="0"/>
              <w:rPr>
                <w:rFonts w:ascii="仿宋_GB2312" w:eastAsia="仿宋_GB2312"/>
                <w:color w:val="000000"/>
                <w:kern w:val="0"/>
                <w:sz w:val="20"/>
                <w:szCs w:val="21"/>
              </w:rPr>
            </w:pPr>
            <w:r>
              <w:rPr>
                <w:rFonts w:hint="eastAsia" w:ascii="仿宋_GB2312" w:eastAsia="仿宋_GB2312"/>
                <w:color w:val="000000"/>
                <w:kern w:val="0"/>
                <w:sz w:val="20"/>
                <w:szCs w:val="21"/>
              </w:rPr>
              <w:t>4、计时收费的，前2小时不足2小时按2小时计，2小时之后不足1小时按1小时计。</w:t>
            </w:r>
          </w:p>
          <w:p>
            <w:pPr>
              <w:adjustRightInd w:val="0"/>
              <w:snapToGrid w:val="0"/>
              <w:rPr>
                <w:rFonts w:ascii="仿宋_GB2312" w:eastAsia="仿宋_GB2312"/>
                <w:color w:val="000000"/>
                <w:kern w:val="0"/>
                <w:sz w:val="20"/>
                <w:szCs w:val="21"/>
              </w:rPr>
            </w:pPr>
            <w:r>
              <w:rPr>
                <w:rFonts w:hint="eastAsia" w:ascii="仿宋_GB2312" w:eastAsia="仿宋_GB2312"/>
                <w:color w:val="000000"/>
                <w:kern w:val="0"/>
                <w:sz w:val="20"/>
                <w:szCs w:val="21"/>
              </w:rPr>
              <w:t>5、白天时段指8:00至22:00（含），夜间时段指22:00至次日8:00（含）。</w:t>
            </w:r>
          </w:p>
          <w:p>
            <w:pPr>
              <w:adjustRightInd w:val="0"/>
              <w:snapToGrid w:val="0"/>
              <w:rPr>
                <w:rFonts w:ascii="仿宋_GB2312" w:eastAsia="仿宋_GB2312"/>
                <w:color w:val="000000"/>
                <w:kern w:val="0"/>
                <w:sz w:val="20"/>
                <w:szCs w:val="21"/>
              </w:rPr>
            </w:pPr>
            <w:r>
              <w:rPr>
                <w:rFonts w:hint="eastAsia" w:ascii="仿宋_GB2312" w:eastAsia="仿宋_GB2312"/>
                <w:color w:val="000000"/>
                <w:kern w:val="0"/>
                <w:sz w:val="20"/>
                <w:szCs w:val="21"/>
              </w:rPr>
              <w:t>6、计次收费的，连续停放每24小时（含24小时）只可计收一次停放服务费，跨时段停放按标准高的时段收费，不能两个时段累加收费。</w:t>
            </w:r>
          </w:p>
          <w:p>
            <w:pPr>
              <w:adjustRightInd w:val="0"/>
              <w:snapToGrid w:val="0"/>
              <w:rPr>
                <w:rFonts w:ascii="仿宋_GB2312" w:eastAsia="仿宋_GB2312"/>
                <w:color w:val="000000"/>
                <w:kern w:val="2"/>
                <w:sz w:val="21"/>
                <w:szCs w:val="21"/>
              </w:rPr>
            </w:pPr>
            <w:r>
              <w:rPr>
                <w:rFonts w:hint="eastAsia" w:ascii="仿宋_GB2312" w:eastAsia="仿宋_GB2312"/>
                <w:color w:val="000000"/>
                <w:kern w:val="0"/>
                <w:sz w:val="20"/>
                <w:szCs w:val="21"/>
              </w:rPr>
              <w:t>7、小型车指9座及以下客车，2t及以下货车；中型车指10座以上（含10座）、20座以下客车，2t以上、10t以下（含10t）货车；大型车指20座以上（含20座）客车、40座以下客车，10t以上、40t以下（含40t）货车和挂车；特大型车指40座以上（含40座）客车，40t以上或车长18米以上的货车和挂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之后每小时</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24小时最高限价</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20</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25</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30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35</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计次收费</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白天</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5</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7</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15</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夜间</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10</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12</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15</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20</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2"/>
                <w:sz w:val="21"/>
                <w:szCs w:val="21"/>
              </w:rPr>
            </w:pPr>
            <w:r>
              <w:rPr>
                <w:rFonts w:hint="eastAsia" w:ascii="仿宋_GB2312" w:eastAsia="仿宋_GB2312"/>
                <w:b/>
                <w:color w:val="000000"/>
                <w:kern w:val="0"/>
                <w:sz w:val="20"/>
                <w:szCs w:val="21"/>
              </w:rPr>
              <w:t>专用停车场</w:t>
            </w: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计时收费</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前2小时</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5</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6</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8</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color w:val="000000"/>
                <w:kern w:val="0"/>
                <w:sz w:val="20"/>
                <w:szCs w:val="21"/>
              </w:rPr>
              <w:t>10</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之后每小时</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24小时最高限价</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10</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15</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25</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计次收费</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白天</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5</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7</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15</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color w:val="000000"/>
                <w:kern w:val="2"/>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2"/>
                <w:sz w:val="21"/>
                <w:szCs w:val="21"/>
              </w:rPr>
            </w:pPr>
            <w:r>
              <w:rPr>
                <w:rFonts w:hint="eastAsia" w:ascii="仿宋_GB2312" w:eastAsia="仿宋_GB2312"/>
                <w:color w:val="000000"/>
                <w:kern w:val="0"/>
                <w:sz w:val="20"/>
                <w:szCs w:val="21"/>
              </w:rPr>
              <w:t>夜间</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7</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10</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15</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2"/>
                <w:sz w:val="21"/>
                <w:szCs w:val="21"/>
              </w:rPr>
            </w:pPr>
            <w:r>
              <w:rPr>
                <w:rFonts w:eastAsia="仿宋_GB2312"/>
                <w:color w:val="000000"/>
                <w:kern w:val="0"/>
                <w:sz w:val="20"/>
                <w:szCs w:val="21"/>
              </w:rPr>
              <w:t>20</w:t>
            </w: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2"/>
                <w:sz w:val="21"/>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60C99"/>
    <w:rsid w:val="6E66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2019-05-30T08:35:00Z</dcterms:created>
  <dc:creator>Clown1385111583</dc:creator>
  <cp:lastModifiedBy>Clown1385111583</cp:lastModifiedBy>
  <dcterms:modified xsi:type="dcterms:W3CDTF">2019-05-30T08:35:53Z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