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4" w:lineRule="auto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adjustRightInd w:val="0"/>
        <w:snapToGrid w:val="0"/>
        <w:spacing w:after="100" w:afterAutospacing="1" w:line="204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住宅小区机动车停放服务收费标准</w:t>
      </w:r>
    </w:p>
    <w:tbl>
      <w:tblPr>
        <w:tblStyle w:val="2"/>
        <w:tblW w:w="16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28"/>
        <w:gridCol w:w="720"/>
        <w:gridCol w:w="1167"/>
        <w:gridCol w:w="720"/>
        <w:gridCol w:w="1440"/>
        <w:gridCol w:w="720"/>
        <w:gridCol w:w="1533"/>
        <w:gridCol w:w="900"/>
        <w:gridCol w:w="900"/>
        <w:gridCol w:w="1080"/>
        <w:gridCol w:w="900"/>
        <w:gridCol w:w="900"/>
        <w:gridCol w:w="1080"/>
        <w:gridCol w:w="2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停车场等级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临时停放最高收费标准（元/辆·次）</w:t>
            </w:r>
          </w:p>
        </w:tc>
        <w:tc>
          <w:tcPr>
            <w:tcW w:w="5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月票（元/辆·月）</w:t>
            </w:r>
          </w:p>
        </w:tc>
        <w:tc>
          <w:tcPr>
            <w:tcW w:w="2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等级条件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7时-20时（含）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20时-次日7时（含）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室外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室内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（含架空层）</w:t>
            </w:r>
          </w:p>
        </w:tc>
        <w:tc>
          <w:tcPr>
            <w:tcW w:w="2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室外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室内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（含架空层）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室外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室内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（含架空层）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基准价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上下浮动幅度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浮动范围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基准价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上下浮动幅度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浮动范围</w:t>
            </w:r>
          </w:p>
        </w:tc>
        <w:tc>
          <w:tcPr>
            <w:tcW w:w="2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车辆停放服务费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不分  等级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小型汽车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中、大型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汽车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车位租赁费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小型车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①除配备基本设施设备（照明、消防、抽排水等）外，还必须配备有监控、IC卡道闸等设备，并确保所有设施设备能正常运转和使用；②地面铺设有地坪漆（或类似材料），车行引导线清晰，在显著位置设置有出入口、电梯引导、车库限高、限速、禁火、禁停等标志；③停车场所整洁，地面无积水，无杂物堆积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中、大型车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小型车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7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达不到一级条件的均按二级收费标准执行。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中、大型车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～</w:t>
            </w:r>
            <w:r>
              <w:rPr>
                <w:rFonts w:eastAsia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7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60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840" w:hanging="840" w:hangingChars="4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注：1、住宅小区停车收费包括车辆停放服务费和车位租赁费，均实行政府指导价管理。</w:t>
            </w:r>
          </w:p>
          <w:p>
            <w:pPr>
              <w:widowControl/>
              <w:ind w:left="840" w:leftChars="200" w:hanging="420" w:hangingChars="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2、公共停车位（含人防车位）和室外产权车位一律按车辆停放服务费收费标准执行。</w:t>
            </w:r>
          </w:p>
          <w:p>
            <w:pPr>
              <w:widowControl/>
              <w:ind w:left="840" w:hanging="840" w:hangingChars="4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3、业主有办理车辆停放服务月票或车位租赁月票要求的，物业服务企业应给予办理月票。</w:t>
            </w:r>
          </w:p>
          <w:p>
            <w:pPr>
              <w:widowControl/>
              <w:ind w:left="840" w:hanging="840" w:hangingChars="4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4、车主对车辆有保管要求的，车主和物业服务企业另行签订保管合同。                                                                                                           </w:t>
            </w:r>
          </w:p>
          <w:p>
            <w:pPr>
              <w:widowControl/>
              <w:ind w:left="840" w:hanging="840" w:hangingChars="4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5、车辆停放一次的时间在24小时内（含24小时），只可计收一次车辆停放服务费或车位租赁费；跨时段停放的，按标准高的时段收费，不能两个时段累加收费。</w:t>
            </w:r>
          </w:p>
          <w:p>
            <w:pPr>
              <w:widowControl/>
              <w:ind w:left="840" w:hanging="840" w:hangingChars="4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6、车辆临时停放1小时（含1小时）内不得收费。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E24D2"/>
    <w:rsid w:val="325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Clown1385111583</dc:creator>
  <cp:lastModifiedBy>Clown1385111583</cp:lastModifiedBy>
  <dcterms:modified xsi:type="dcterms:W3CDTF">2019-05-30T08:33:25Z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