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深圳市财政局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国家税务总局深圳市税务局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前海深港现代服务业合作区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个人所得税优惠政策实施办法》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方正小标宋简体" w:eastAsia="方正小标宋简体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前海管理局、国家税务总局深圳市前海深港现代服务业合作区税务局、国家税务总局深圳市宝安区税务局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5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现将《前海深港现代服务业合作区个人所得税优惠政策实施办法》印发给你们，请遵照执行。执行中如有问题，请径向市财政局、深圳市税务局反映。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深圳市财政局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国家税务总局深圳市税务局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371"/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firstLine="3200" w:firstLineChars="1000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0" w:afterLines="0" w:line="600" w:lineRule="exact"/>
      </w:pPr>
    </w:p>
    <w:p>
      <w:pPr>
        <w:spacing w:beforeLines="0" w:afterLines="0" w:line="600" w:lineRule="exact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both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前海深港现代服务业合作区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个人所得税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优惠政策实施办法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第一章 总则</w:t>
      </w:r>
    </w:p>
    <w:p>
      <w:pPr>
        <w:pStyle w:val="8"/>
        <w:widowControl w:val="0"/>
        <w:spacing w:before="0" w:beforeLines="0" w:beforeAutospacing="0" w:after="0" w:afterLines="0" w:afterAutospacing="0" w:line="579" w:lineRule="exact"/>
        <w:ind w:firstLine="643" w:firstLineChars="200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为落实</w:t>
      </w:r>
      <w:r>
        <w:rPr>
          <w:rStyle w:val="10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《前海深港现代服务业合作区总体发展规划》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有关要求，根据《财政部 税务总局关于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前海深港现代服务业合作区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个人所得税优惠政策的通知》（财税〔202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有关规定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，制定本办法。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在《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前海深港现代服务业合作区总体发展规划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划定的前海深港现代服务业合作区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（以下简称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“前海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）内，对香港居民实施个人所得税优惠政策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，适用本办法。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对在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工作的香港居民，其个人所得税税负超过香港税负的部分予以免征。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个人所得税减免税额计算，以一个纳税年度为准。纳税年度，自公历一月一日起至十二月三十一日止。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在同一纳税年度内，同时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本办法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个人所得税优惠与粤港澳大湾区境外高端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人才和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紧缺人才个人所得税优惠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条件的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自行选择享受其中一项优惠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，不得同时享受两项优惠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第二章 减免条件和范围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享受本办法优惠的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同时具备下列条件：</w:t>
      </w:r>
    </w:p>
    <w:p>
      <w:pPr>
        <w:pStyle w:val="11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79" w:lineRule="exact"/>
        <w:ind w:firstLine="640" w:firstLineChars="200"/>
        <w:jc w:val="both"/>
        <w:textAlignment w:val="auto"/>
        <w:rPr>
          <w:rStyle w:val="10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纳税人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具有香港居民身份；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纳税年度内在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注册的实质性运营企业或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其他机构任职、受雇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且实际工作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，或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提供独立个人劳务，或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从事生产、经营活动，并在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依法缴纳个人所得税；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（三）遵守法律法规，在享受本办法优惠政策前三年内，没有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重大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税收违法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失信行为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在纳税年度内，纳税人因取得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身份而符合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本办法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第六条规定的，自取得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身份次月起，享受本办法优惠政策。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在纳税年度内，纳税人因丧失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身份不再符合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本办法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第六条规定的，自丧失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身份次月起，不再享受本办法优惠政策。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享受优惠的个人所得具体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（一）来源于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的综合所得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包括：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1.工资薪金所得，是指个人因在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任职、受雇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从该任职受雇单位取得的工资、薪金、奖金、年终加薪、劳动分红、津贴、补贴以及与任职、受雇有关的其他所得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2.劳务报酬所得，是指个人因在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从事劳务从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取得的所得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3.稿酬所得，是指个人因其作品以图书、报刊等形式出版、发表，从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取得的所得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4.特许权使用费所得，是指个人因提供专利权、商标权、著作权、非专利技术以及其他特许权的使用权，从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取得的所得；提供著作权的使用权取得的所得，不包括稿酬所得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（二）来源于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的经营所得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，具体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是指在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事生产、经营活动取得的所得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入选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深圳市前海管理局、南山区、宝安区区级以上政府或者政府工作部门、直属机构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人才工程或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者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人才项目获得的人才补贴性所得。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本条款的所得不含稽查查补所得、纳税评估调增所得。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减免税额的计算根据本办法第八条的个人所得项目，按照分项计算（综合所得进行综合计算）、合并减免的方式进行。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取得本办法第八条的个人所得，根据税法规定应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办理汇算清缴的，其个人所得税应纳税额应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以年度汇算清缴确定的全年应纳税额为准。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79" w:lineRule="exact"/>
        <w:textAlignment w:val="auto"/>
        <w:rPr>
          <w:rStyle w:val="10"/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第三章 征收管理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个人所得享受本办法规定优惠的，在个人所得税年度汇算清缴时申请办理退税。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自主选择下列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其中一种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办理减免税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（一）自行办理；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（二）通过任职受雇单位（含按累计预扣法预扣预缴其劳务报酬所得个人所得税的单位）代为办理；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（三）委托涉税专业服务机构或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其他单位及个人办理，纳税人与受托人需签订授权书。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香港居民办理减免手续的，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向其在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前海合作区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的个人所得税主管税务机关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国家税务总局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前海深港现代服务业合作区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税务局、国家税务总局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宝安区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税务局应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及时发布申报指南，明确申报对象、申报方式、申报时间、应提交的资料、申报程序等内容，最大程度方便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申报办理。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可以根据中国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内地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与香港签订的避免双重征税安排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及财政部、税务总局有关规定享受税收安排待遇，也可以选择不享受税收安排待遇计算纳税。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对于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虚假纳税申报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</w:rPr>
        <w:t>不缴或少缴应纳税款的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，一经查实，依据《中华人民共和国税收征收管理法》等法律法规予以处理，构成犯罪的，依法追究刑事责任。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黑体" w:hAnsi="黑体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jc w:val="center"/>
        <w:textAlignment w:val="auto"/>
        <w:rPr>
          <w:rStyle w:val="10"/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第四章 附则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3" w:firstLineChars="200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第十六条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 xml:space="preserve"> 本办法自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2024年5月27日起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施行，有效期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年1月1日起至本办法施行前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，在前海合作区工作的香港居民个人所得税符合本办法规定的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照本办法执行。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79" w:lineRule="exact"/>
        <w:ind w:firstLine="640" w:firstLineChars="200"/>
        <w:textAlignment w:val="auto"/>
        <w:rPr>
          <w:rStyle w:val="10"/>
          <w:rFonts w:hint="eastAsia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香港居民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申请享受本办法优惠的个人所得所属纳税年度在本办法有效期内的，适用本办法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spacing w:before="0" w:beforeLines="0" w:afterLines="0" w:line="579" w:lineRule="exact"/>
      </w:pPr>
    </w:p>
    <w:p>
      <w:pPr>
        <w:pStyle w:val="6"/>
        <w:spacing w:beforeLines="0" w:afterLines="0" w:line="579" w:lineRule="exact"/>
      </w:pPr>
    </w:p>
    <w:p>
      <w:pPr>
        <w:pStyle w:val="5"/>
        <w:keepNext w:val="0"/>
        <w:keepLines w:val="0"/>
        <w:spacing w:before="0"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579" w:lineRule="exact"/>
      </w:pPr>
    </w:p>
    <w:p>
      <w:pPr>
        <w:spacing w:beforeLines="0" w:afterLines="0" w:line="1000" w:lineRule="exact"/>
      </w:pPr>
    </w:p>
    <w:p>
      <w:pPr>
        <w:spacing w:line="579" w:lineRule="exact"/>
        <w:ind w:left="-3" w:leftChars="0" w:firstLine="3" w:firstLineChars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信息公开选项：主动公开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280" w:firstLineChars="100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深圳市财政局办公室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2024年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日印发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6"/>
    <w:next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页脚_0"/>
    <w:basedOn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2024-06-03T08:43:42Z</dcterms:created>
  <dc:creator>fwyj</dc:creator>
  <cp:lastModifiedBy>袁婧</cp:lastModifiedBy>
  <dcterms:modified xsi:type="dcterms:W3CDTF">2024-06-03T08:43:49Z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