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640" w:firstLineChars="200"/>
        <w:jc w:val="both"/>
        <w:rPr>
          <w:rFonts w:hint="eastAsia" w:ascii="黑体" w:hAnsi="黑体" w:eastAsia="黑体" w:cs="黑体"/>
          <w:b w:val="0"/>
          <w:bCs/>
          <w:color w:val="000000"/>
          <w:sz w:val="32"/>
          <w:szCs w:val="32"/>
          <w:lang w:bidi="ar-SA"/>
        </w:rPr>
      </w:pPr>
      <w:r>
        <w:rPr>
          <w:rFonts w:hint="eastAsia" w:ascii="黑体" w:hAnsi="黑体" w:eastAsia="黑体" w:cs="黑体"/>
          <w:b w:val="0"/>
          <w:bCs/>
          <w:color w:val="000000"/>
          <w:sz w:val="32"/>
          <w:szCs w:val="32"/>
          <w:lang w:bidi="ar-SA"/>
        </w:rPr>
        <w:t>附录一  名词解</w:t>
      </w:r>
      <w:bookmarkStart w:id="0" w:name="_GoBack"/>
      <w:bookmarkEnd w:id="0"/>
      <w:r>
        <w:rPr>
          <w:rFonts w:hint="eastAsia" w:ascii="黑体" w:hAnsi="黑体" w:eastAsia="黑体" w:cs="黑体"/>
          <w:b w:val="0"/>
          <w:bCs/>
          <w:color w:val="000000"/>
          <w:sz w:val="32"/>
          <w:szCs w:val="32"/>
          <w:lang w:bidi="ar-SA"/>
        </w:rPr>
        <w:t>释</w:t>
      </w:r>
    </w:p>
    <w:p>
      <w:pPr>
        <w:spacing w:line="56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居住建筑</w:t>
      </w:r>
    </w:p>
    <w:p>
      <w:pPr>
        <w:spacing w:line="56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指住宅、宿舍、休（疗）养院住宿楼等供居住使用的建筑。</w:t>
      </w:r>
    </w:p>
    <w:p>
      <w:pPr>
        <w:spacing w:line="56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2.</w:t>
      </w:r>
      <w:r>
        <w:rPr>
          <w:rFonts w:hint="eastAsia" w:ascii="仿宋_GB2312" w:hAnsi="Times New Roman" w:eastAsia="仿宋_GB2312" w:cs="仿宋_GB2312"/>
          <w:color w:val="000000"/>
          <w:kern w:val="2"/>
          <w:sz w:val="32"/>
          <w:szCs w:val="32"/>
          <w:lang w:bidi="ar-SA"/>
        </w:rPr>
        <w:t>主采光面</w:t>
      </w:r>
    </w:p>
    <w:p>
      <w:pPr>
        <w:spacing w:line="56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开设有起居室（厅）、卧室、办公、客房等主要房间门、窗的外墙面，以及宽度大于16米的外墙面。</w:t>
      </w:r>
    </w:p>
    <w:p>
      <w:pPr>
        <w:spacing w:line="56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宽度小于或等于16米的外墙设计有槽口，且槽口内开设有起居室（厅）、卧室、办公、客房等主要房间门、窗的，其建筑外墙面视为主采光面。</w:t>
      </w:r>
    </w:p>
    <w:p>
      <w:pPr>
        <w:spacing w:line="56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宽度小于或等于16米的外墙设计有阳台，且与起居室（厅）、卧室、办公、客房等主要房间相连的，其建筑外墙面视为主采光面。</w:t>
      </w:r>
    </w:p>
    <w:p>
      <w:pPr>
        <w:keepNext w:val="0"/>
        <w:keepLines w:val="0"/>
        <w:widowControl w:val="0"/>
        <w:spacing w:before="260" w:after="260" w:line="415" w:lineRule="auto"/>
        <w:ind w:left="0" w:right="0"/>
        <w:jc w:val="center"/>
        <w:outlineLvl w:val="1"/>
        <w:rPr>
          <w:rFonts w:hint="eastAsia" w:ascii="Cambria" w:hAnsi="Cambria" w:eastAsia="宋体" w:cs="Times New Roman"/>
          <w:b/>
          <w:color w:val="000000"/>
          <w:kern w:val="2"/>
          <w:sz w:val="32"/>
          <w:szCs w:val="32"/>
          <w:lang w:val="en-US" w:eastAsia="zh-CN" w:bidi="ar-SA"/>
        </w:rPr>
      </w:pPr>
      <w:r>
        <w:rPr>
          <w:rFonts w:ascii="Cambria" w:hAnsi="Cambria" w:eastAsia="宋体" w:cs="Times New Roman"/>
          <w:b/>
          <w:color w:val="000000"/>
          <w:kern w:val="2"/>
          <w:sz w:val="32"/>
          <w:szCs w:val="32"/>
          <w:lang w:val="en-US" w:eastAsia="zh-CN" w:bidi="ar-SA"/>
        </w:rPr>
        <w:drawing>
          <wp:inline distT="0" distB="0" distL="85090" distR="85090">
            <wp:extent cx="2972435" cy="1751330"/>
            <wp:effectExtent l="0" t="0" r="14605" b="1270"/>
            <wp:docPr id="12" name="图片"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descr="222"/>
                    <pic:cNvPicPr>
                      <a:picLocks noChangeAspect="1"/>
                    </pic:cNvPicPr>
                  </pic:nvPicPr>
                  <pic:blipFill>
                    <a:blip r:embed="rId6"/>
                    <a:stretch>
                      <a:fillRect/>
                    </a:stretch>
                  </pic:blipFill>
                  <pic:spPr>
                    <a:xfrm>
                      <a:off x="0" y="0"/>
                      <a:ext cx="2972511" cy="1751405"/>
                    </a:xfrm>
                    <a:prstGeom prst="rect">
                      <a:avLst/>
                    </a:prstGeom>
                    <a:noFill/>
                    <a:ln w="9525" cap="flat" cmpd="sng">
                      <a:noFill/>
                      <a:prstDash val="solid"/>
                      <a:miter/>
                    </a:ln>
                  </pic:spPr>
                </pic:pic>
              </a:graphicData>
            </a:graphic>
          </wp:inline>
        </w:drawing>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3.</w:t>
      </w:r>
      <w:r>
        <w:rPr>
          <w:rFonts w:hint="eastAsia" w:ascii="仿宋_GB2312" w:hAnsi="Times New Roman" w:eastAsia="仿宋_GB2312" w:cs="仿宋_GB2312"/>
          <w:color w:val="000000"/>
          <w:kern w:val="2"/>
          <w:sz w:val="32"/>
          <w:szCs w:val="32"/>
          <w:lang w:bidi="ar-SA"/>
        </w:rPr>
        <w:t>山墙</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端墙宽度小于或等于16米，未开门、窗或仅开设公共走道、厨房、卫生间窗的外墙。</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居住建筑山墙上可设与厨房相连的生活阳台。</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4.</w:t>
      </w:r>
      <w:r>
        <w:rPr>
          <w:rFonts w:hint="eastAsia" w:ascii="仿宋_GB2312" w:hAnsi="Times New Roman" w:eastAsia="仿宋_GB2312" w:cs="仿宋_GB2312"/>
          <w:color w:val="000000"/>
          <w:kern w:val="2"/>
          <w:sz w:val="32"/>
          <w:szCs w:val="32"/>
          <w:lang w:bidi="ar-SA"/>
        </w:rPr>
        <w:t>地下建筑、地上建筑</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建筑楼面标高不高于室外场地最低点标高1米的，该楼面以下部分为地下建筑。</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除地下建筑以外的建筑均为地上建筑。</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建设项目规划设计应结合地形，与城市道路标高合理衔接。以不合理堆土形成掩埋的建筑，不视为地下建筑。</w:t>
      </w:r>
    </w:p>
    <w:p>
      <w:pPr>
        <w:jc w:val="center"/>
        <w:rPr>
          <w:rFonts w:hint="eastAsia" w:ascii="仿宋" w:hAnsi="Times New Roman" w:eastAsia="仿宋" w:cs="仿宋"/>
          <w:color w:val="000000"/>
          <w:kern w:val="2"/>
          <w:sz w:val="28"/>
          <w:szCs w:val="28"/>
          <w:lang w:bidi="ar-SA"/>
        </w:rPr>
      </w:pPr>
      <w:r>
        <w:rPr>
          <w:rFonts w:ascii="仿宋" w:hAnsi="Times New Roman" w:eastAsia="仿宋" w:cs="仿宋"/>
          <w:color w:val="000000"/>
          <w:kern w:val="2"/>
          <w:sz w:val="28"/>
          <w:szCs w:val="28"/>
          <w:lang w:bidi="ar-SA"/>
        </w:rPr>
        <w:drawing>
          <wp:inline distT="0" distB="0" distL="85090" distR="85090">
            <wp:extent cx="4072890" cy="2401570"/>
            <wp:effectExtent l="0" t="0" r="11430" b="6350"/>
            <wp:docPr id="15"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pic:cNvPicPr>
                      <a:picLocks noChangeAspect="1"/>
                    </pic:cNvPicPr>
                  </pic:nvPicPr>
                  <pic:blipFill>
                    <a:blip r:embed="rId7"/>
                    <a:stretch>
                      <a:fillRect/>
                    </a:stretch>
                  </pic:blipFill>
                  <pic:spPr>
                    <a:xfrm>
                      <a:off x="0" y="0"/>
                      <a:ext cx="4072953" cy="2401722"/>
                    </a:xfrm>
                    <a:prstGeom prst="rect">
                      <a:avLst/>
                    </a:prstGeom>
                    <a:solidFill>
                      <a:srgbClr val="FFFFFF"/>
                    </a:solidFill>
                    <a:ln w="9525" cap="flat" cmpd="sng">
                      <a:noFill/>
                      <a:prstDash val="solid"/>
                      <a:miter/>
                    </a:ln>
                  </pic:spPr>
                </pic:pic>
              </a:graphicData>
            </a:graphic>
          </wp:inline>
        </w:drawing>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5.</w:t>
      </w:r>
      <w:r>
        <w:rPr>
          <w:rFonts w:hint="eastAsia" w:ascii="仿宋_GB2312" w:hAnsi="Times New Roman" w:eastAsia="仿宋_GB2312" w:cs="仿宋_GB2312"/>
          <w:color w:val="000000"/>
          <w:kern w:val="2"/>
          <w:sz w:val="32"/>
          <w:szCs w:val="32"/>
          <w:lang w:bidi="ar-SA"/>
        </w:rPr>
        <w:t>架空层</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 xml:space="preserve">指在建筑物底层或塔楼首层设置的建筑净高大于2.4米的，无任何围护结构和围护设施的建筑层，架空层只能设置能自由、便捷直接进入的绿地、休闲空间。 </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6.</w:t>
      </w:r>
      <w:r>
        <w:rPr>
          <w:rFonts w:hint="eastAsia" w:ascii="仿宋_GB2312" w:hAnsi="Times New Roman" w:eastAsia="仿宋_GB2312" w:cs="仿宋_GB2312"/>
          <w:color w:val="000000"/>
          <w:kern w:val="2"/>
          <w:sz w:val="32"/>
          <w:szCs w:val="32"/>
          <w:lang w:bidi="ar-SA"/>
        </w:rPr>
        <w:t>结构（设备）转换层</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指建筑物某楼层的上部与下部因平面使用功能不同，该楼层上部与下部采用不同结构（设备）类型，并通过该楼层进行结构（设备）转换，则该楼层称为结构（设备）转换层。单独设置结构（设备）转换层时，层高应小于2.2米。</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7.</w:t>
      </w:r>
      <w:r>
        <w:rPr>
          <w:rFonts w:hint="eastAsia" w:ascii="仿宋_GB2312" w:hAnsi="Times New Roman" w:eastAsia="仿宋_GB2312" w:cs="仿宋_GB2312"/>
          <w:color w:val="000000"/>
          <w:kern w:val="2"/>
          <w:sz w:val="32"/>
          <w:szCs w:val="32"/>
          <w:lang w:bidi="ar-SA"/>
        </w:rPr>
        <w:t>避难层</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建筑高度超过100米的高层建筑</w:t>
      </w:r>
      <w:r>
        <w:rPr>
          <w:rFonts w:hint="eastAsia" w:ascii="仿宋_GB2312" w:hAnsi="Times New Roman" w:eastAsia="仿宋_GB2312" w:cs="仿宋_GB2312"/>
          <w:color w:val="000000"/>
          <w:kern w:val="2"/>
          <w:sz w:val="32"/>
          <w:szCs w:val="32"/>
          <w:lang w:val="en-US" w:eastAsia="zh-CN" w:bidi="ar-SA"/>
        </w:rPr>
        <w:t>内，用于人员暂时躲避火灾及其烟气危害的楼层</w:t>
      </w:r>
      <w:r>
        <w:rPr>
          <w:rFonts w:hint="eastAsia" w:ascii="仿宋_GB2312" w:hAnsi="Times New Roman" w:eastAsia="仿宋_GB2312" w:cs="仿宋_GB2312"/>
          <w:color w:val="000000"/>
          <w:kern w:val="2"/>
          <w:sz w:val="32"/>
          <w:szCs w:val="32"/>
          <w:lang w:bidi="ar-SA"/>
        </w:rPr>
        <w:t>。</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8.</w:t>
      </w:r>
      <w:r>
        <w:rPr>
          <w:rFonts w:hint="eastAsia" w:ascii="仿宋_GB2312" w:hAnsi="Times New Roman" w:eastAsia="仿宋_GB2312" w:cs="仿宋_GB2312"/>
          <w:color w:val="000000"/>
          <w:kern w:val="2"/>
          <w:sz w:val="32"/>
          <w:szCs w:val="32"/>
          <w:lang w:bidi="ar-SA"/>
        </w:rPr>
        <w:t>道路红线</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指规划道路横断面的两条控制线。</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9.</w:t>
      </w:r>
      <w:r>
        <w:rPr>
          <w:rFonts w:hint="eastAsia" w:ascii="仿宋_GB2312" w:hAnsi="Times New Roman" w:eastAsia="仿宋_GB2312" w:cs="仿宋_GB2312"/>
          <w:color w:val="000000"/>
          <w:kern w:val="2"/>
          <w:sz w:val="32"/>
          <w:szCs w:val="32"/>
          <w:lang w:bidi="ar-SA"/>
        </w:rPr>
        <w:t>建筑面宽</w:t>
      </w:r>
    </w:p>
    <w:p>
      <w:pPr>
        <w:spacing w:line="480" w:lineRule="exact"/>
        <w:ind w:firstLine="623"/>
        <w:rPr>
          <w:rFonts w:hint="eastAsia" w:ascii="仿宋_GB2312" w:hAnsi="Times New Roman" w:eastAsia="仿宋_GB2312" w:cs="仿宋_GB2312"/>
          <w:color w:val="000000"/>
          <w:kern w:val="2"/>
          <w:sz w:val="28"/>
          <w:szCs w:val="28"/>
          <w:lang w:bidi="ar-SA"/>
        </w:rPr>
      </w:pPr>
      <w:r>
        <w:rPr>
          <w:rFonts w:hint="eastAsia" w:ascii="仿宋_GB2312" w:hAnsi="Times New Roman" w:eastAsia="仿宋_GB2312" w:cs="仿宋_GB2312"/>
          <w:color w:val="000000"/>
          <w:kern w:val="2"/>
          <w:sz w:val="32"/>
          <w:szCs w:val="32"/>
          <w:lang w:bidi="ar-SA"/>
        </w:rPr>
        <w:t>指建筑物最外轮廓的正投影长度。</w:t>
      </w:r>
    </w:p>
    <w:p>
      <w:pPr>
        <w:jc w:val="center"/>
        <w:rPr>
          <w:rFonts w:hint="eastAsia" w:ascii="仿宋" w:hAnsi="Times New Roman" w:eastAsia="仿宋" w:cs="仿宋"/>
          <w:color w:val="000000"/>
          <w:kern w:val="2"/>
          <w:sz w:val="28"/>
          <w:szCs w:val="28"/>
          <w:lang w:bidi="ar-SA"/>
        </w:rPr>
      </w:pPr>
    </w:p>
    <w:p>
      <w:pPr>
        <w:jc w:val="both"/>
        <w:rPr>
          <w:rFonts w:hint="eastAsia" w:ascii="仿宋" w:hAnsi="Times New Roman" w:eastAsia="仿宋" w:cs="仿宋"/>
          <w:color w:val="000000"/>
          <w:kern w:val="2"/>
          <w:sz w:val="28"/>
          <w:szCs w:val="28"/>
          <w:lang w:bidi="ar-SA"/>
        </w:rPr>
      </w:pPr>
      <w:r>
        <w:rPr>
          <w:rFonts w:ascii="仿宋" w:hAnsi="Times New Roman" w:eastAsia="仿宋" w:cs="仿宋"/>
          <w:color w:val="000000"/>
          <w:kern w:val="2"/>
          <w:sz w:val="28"/>
          <w:szCs w:val="28"/>
          <w:lang w:bidi="ar-SA"/>
        </w:rPr>
        <w:drawing>
          <wp:inline distT="0" distB="0" distL="85090" distR="85090">
            <wp:extent cx="3757930" cy="3206750"/>
            <wp:effectExtent l="0" t="0" r="6350" b="8890"/>
            <wp:docPr id="5"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pic:cNvPicPr>
                      <a:picLocks noChangeAspect="1"/>
                    </pic:cNvPicPr>
                  </pic:nvPicPr>
                  <pic:blipFill>
                    <a:blip r:embed="rId8"/>
                    <a:srcRect l="8785" t="7442" r="9188" b="9225"/>
                    <a:stretch>
                      <a:fillRect/>
                    </a:stretch>
                  </pic:blipFill>
                  <pic:spPr>
                    <a:xfrm>
                      <a:off x="0" y="0"/>
                      <a:ext cx="3758466" cy="3207052"/>
                    </a:xfrm>
                    <a:prstGeom prst="rect">
                      <a:avLst/>
                    </a:prstGeom>
                    <a:solidFill>
                      <a:srgbClr val="FFFFFF"/>
                    </a:solidFill>
                    <a:ln w="9525" cap="flat" cmpd="sng">
                      <a:noFill/>
                      <a:prstDash val="solid"/>
                      <a:miter/>
                    </a:ln>
                    <a:effectLst/>
                  </pic:spPr>
                </pic:pic>
              </a:graphicData>
            </a:graphic>
          </wp:inline>
        </w:drawing>
      </w:r>
    </w:p>
    <w:p>
      <w:pPr>
        <w:keepNext/>
        <w:keepLines/>
        <w:widowControl w:val="0"/>
        <w:spacing w:before="260" w:after="260" w:line="415" w:lineRule="auto"/>
        <w:ind w:left="0" w:right="0"/>
        <w:jc w:val="both"/>
        <w:outlineLvl w:val="1"/>
        <w:rPr>
          <w:rFonts w:hint="eastAsia" w:ascii="仿宋" w:hAnsi="Cambria" w:eastAsia="仿宋" w:cs="仿宋"/>
          <w:b/>
          <w:color w:val="000000"/>
          <w:kern w:val="2"/>
          <w:sz w:val="28"/>
          <w:szCs w:val="28"/>
          <w:lang w:val="en-US" w:eastAsia="zh-CN" w:bidi="ar-SA"/>
        </w:rPr>
      </w:pPr>
      <w:r>
        <w:rPr>
          <w:rFonts w:hint="eastAsia" w:ascii="Cambria" w:hAnsi="Cambria" w:eastAsia="宋体" w:cs="Times New Roman"/>
          <w:b/>
          <w:color w:val="000000"/>
          <w:kern w:val="2"/>
          <w:sz w:val="32"/>
          <w:szCs w:val="32"/>
          <w:lang w:val="en-US" w:eastAsia="zh-CN" w:bidi="ar-SA"/>
        </w:rPr>
        <w:t xml:space="preserve">   </w:t>
      </w:r>
      <w:r>
        <w:rPr>
          <w:rFonts w:hint="eastAsia" w:ascii="Cambria" w:hAnsi="Cambria" w:eastAsia="宋体" w:cs="Times New Roman"/>
          <w:b/>
          <w:kern w:val="2"/>
          <w:sz w:val="32"/>
          <w:szCs w:val="32"/>
          <w:lang w:val="en-US" w:eastAsia="zh-CN" w:bidi="ar-SA"/>
        </w:rPr>
        <w:t xml:space="preserve">   </w:t>
      </w:r>
      <w:r>
        <w:rPr>
          <w:rFonts w:ascii="仿宋" w:hAnsi="Cambria" w:eastAsia="仿宋" w:cs="仿宋"/>
          <w:b/>
          <w:kern w:val="2"/>
          <w:sz w:val="28"/>
          <w:szCs w:val="28"/>
          <w:lang w:val="en-US" w:eastAsia="zh-CN" w:bidi="ar-SA"/>
        </w:rPr>
        <w:drawing>
          <wp:inline distT="0" distB="0" distL="85090" distR="85090">
            <wp:extent cx="2475230" cy="1614805"/>
            <wp:effectExtent l="0" t="0" r="8890" b="635"/>
            <wp:docPr id="21" name="图片" descr="7024716221b630a4679c333f4c3d0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descr="7024716221b630a4679c333f4c3d09c"/>
                    <pic:cNvPicPr>
                      <a:picLocks noChangeAspect="1"/>
                    </pic:cNvPicPr>
                  </pic:nvPicPr>
                  <pic:blipFill>
                    <a:blip r:embed="rId9"/>
                    <a:srcRect l="6850" t="12845" r="11378" b="11705"/>
                    <a:stretch>
                      <a:fillRect/>
                    </a:stretch>
                  </pic:blipFill>
                  <pic:spPr>
                    <a:xfrm>
                      <a:off x="0" y="0"/>
                      <a:ext cx="2475256" cy="1614829"/>
                    </a:xfrm>
                    <a:prstGeom prst="rect">
                      <a:avLst/>
                    </a:prstGeom>
                    <a:noFill/>
                    <a:ln w="9525" cap="flat" cmpd="sng">
                      <a:noFill/>
                      <a:prstDash val="solid"/>
                      <a:miter/>
                    </a:ln>
                  </pic:spPr>
                </pic:pic>
              </a:graphicData>
            </a:graphic>
          </wp:inline>
        </w:drawing>
      </w:r>
      <w:r>
        <w:rPr>
          <w:rFonts w:ascii="仿宋" w:hAnsi="Cambria" w:eastAsia="仿宋" w:cs="仿宋"/>
          <w:b/>
          <w:kern w:val="2"/>
          <w:sz w:val="28"/>
          <w:szCs w:val="28"/>
          <w:lang w:val="en-US" w:eastAsia="zh-CN" w:bidi="ar-SA"/>
        </w:rPr>
        <w:drawing>
          <wp:inline distT="0" distB="0" distL="85090" distR="85090">
            <wp:extent cx="2665730" cy="1520190"/>
            <wp:effectExtent l="0" t="0" r="1270" b="3810"/>
            <wp:docPr id="24" name="图片" descr="d73f4c16d0731f95e2dda9a60a5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descr="d73f4c16d0731f95e2dda9a60a52957"/>
                    <pic:cNvPicPr>
                      <a:picLocks noChangeAspect="1"/>
                    </pic:cNvPicPr>
                  </pic:nvPicPr>
                  <pic:blipFill>
                    <a:blip r:embed="rId10"/>
                    <a:srcRect l="7409" t="15071" r="8767" b="17336"/>
                    <a:stretch>
                      <a:fillRect/>
                    </a:stretch>
                  </pic:blipFill>
                  <pic:spPr>
                    <a:xfrm>
                      <a:off x="0" y="0"/>
                      <a:ext cx="2666356" cy="1520264"/>
                    </a:xfrm>
                    <a:prstGeom prst="rect">
                      <a:avLst/>
                    </a:prstGeom>
                    <a:noFill/>
                    <a:ln w="9525" cap="flat" cmpd="sng">
                      <a:noFill/>
                      <a:prstDash val="solid"/>
                      <a:miter/>
                    </a:ln>
                  </pic:spPr>
                </pic:pic>
              </a:graphicData>
            </a:graphic>
          </wp:inline>
        </w:drawing>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0.</w:t>
      </w:r>
      <w:r>
        <w:rPr>
          <w:rFonts w:hint="eastAsia" w:ascii="仿宋_GB2312" w:hAnsi="Times New Roman" w:eastAsia="仿宋_GB2312" w:cs="仿宋_GB2312"/>
          <w:color w:val="000000"/>
          <w:kern w:val="2"/>
          <w:sz w:val="32"/>
          <w:szCs w:val="32"/>
          <w:lang w:bidi="ar-SA"/>
        </w:rPr>
        <w:t>设备层</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建筑物中专为设置暖通、空调、给水排水和配变电等的设备和管道且供人员进入操作用的空间层。</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1.</w:t>
      </w:r>
      <w:r>
        <w:rPr>
          <w:rFonts w:hint="eastAsia" w:ascii="仿宋_GB2312" w:hAnsi="Times New Roman" w:eastAsia="仿宋_GB2312" w:cs="仿宋_GB2312"/>
          <w:color w:val="000000"/>
          <w:kern w:val="2"/>
          <w:sz w:val="32"/>
          <w:szCs w:val="32"/>
          <w:lang w:bidi="ar-SA"/>
        </w:rPr>
        <w:t>建筑间距</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指相邻建筑物最外轮廓（含阳台、外廊、</w:t>
      </w:r>
      <w:r>
        <w:rPr>
          <w:rFonts w:hint="eastAsia" w:ascii="仿宋_GB2312" w:hAnsi="Times New Roman" w:eastAsia="仿宋_GB2312" w:cs="仿宋_GB2312"/>
          <w:color w:val="000000"/>
          <w:kern w:val="2"/>
          <w:sz w:val="32"/>
          <w:szCs w:val="32"/>
          <w:lang w:eastAsia="zh-CN" w:bidi="ar-SA"/>
        </w:rPr>
        <w:t>露台、</w:t>
      </w:r>
      <w:r>
        <w:rPr>
          <w:rFonts w:hint="eastAsia" w:ascii="仿宋_GB2312" w:hAnsi="Times New Roman" w:eastAsia="仿宋_GB2312" w:cs="仿宋_GB2312"/>
          <w:color w:val="000000"/>
          <w:kern w:val="2"/>
          <w:sz w:val="32"/>
          <w:szCs w:val="32"/>
          <w:lang w:bidi="ar-SA"/>
        </w:rPr>
        <w:t>飘窗）投影线最近点之间的水平距离。本规定建筑间距为相邻建筑物半间距之和。</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2.</w:t>
      </w:r>
      <w:r>
        <w:rPr>
          <w:rFonts w:hint="eastAsia" w:ascii="仿宋_GB2312" w:hAnsi="Times New Roman" w:eastAsia="仿宋_GB2312" w:cs="仿宋_GB2312"/>
          <w:color w:val="000000"/>
          <w:kern w:val="2"/>
          <w:sz w:val="32"/>
          <w:szCs w:val="32"/>
          <w:lang w:bidi="ar-SA"/>
        </w:rPr>
        <w:t>建筑半间距</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指相邻建筑物最外轮廓（含阳台、外廊、</w:t>
      </w:r>
      <w:r>
        <w:rPr>
          <w:rFonts w:hint="eastAsia" w:ascii="仿宋_GB2312" w:hAnsi="Times New Roman" w:eastAsia="仿宋_GB2312" w:cs="仿宋_GB2312"/>
          <w:color w:val="000000"/>
          <w:kern w:val="2"/>
          <w:sz w:val="32"/>
          <w:szCs w:val="32"/>
          <w:lang w:eastAsia="zh-CN" w:bidi="ar-SA"/>
        </w:rPr>
        <w:t>露台、</w:t>
      </w:r>
      <w:r>
        <w:rPr>
          <w:rFonts w:hint="eastAsia" w:ascii="仿宋_GB2312" w:hAnsi="Times New Roman" w:eastAsia="仿宋_GB2312" w:cs="仿宋_GB2312"/>
          <w:color w:val="000000"/>
          <w:kern w:val="2"/>
          <w:sz w:val="32"/>
          <w:szCs w:val="32"/>
          <w:lang w:bidi="ar-SA"/>
        </w:rPr>
        <w:t>飘窗）各自应当退让的水平距离，其中建筑的裙房与塔楼分别计算各自的半间距。</w:t>
      </w:r>
    </w:p>
    <w:p>
      <w:pPr>
        <w:jc w:val="center"/>
        <w:rPr>
          <w:rFonts w:hint="eastAsia" w:ascii="仿宋" w:hAnsi="Times New Roman" w:eastAsia="仿宋" w:cs="仿宋"/>
          <w:color w:val="000000"/>
          <w:kern w:val="2"/>
          <w:sz w:val="28"/>
          <w:szCs w:val="28"/>
          <w:lang w:bidi="ar-SA"/>
        </w:rPr>
      </w:pPr>
      <w:r>
        <w:rPr>
          <w:rFonts w:ascii="仿宋" w:hAnsi="Times New Roman" w:eastAsia="仿宋" w:cs="仿宋"/>
          <w:color w:val="000000"/>
          <w:kern w:val="2"/>
          <w:sz w:val="28"/>
          <w:szCs w:val="28"/>
          <w:lang w:bidi="ar-SA"/>
        </w:rPr>
        <w:drawing>
          <wp:inline distT="0" distB="0" distL="85090" distR="85090">
            <wp:extent cx="2731770" cy="3599180"/>
            <wp:effectExtent l="0" t="0" r="11430" b="12700"/>
            <wp:docPr id="2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pic:cNvPicPr>
                      <a:picLocks noChangeAspect="1"/>
                    </pic:cNvPicPr>
                  </pic:nvPicPr>
                  <pic:blipFill>
                    <a:blip r:embed="rId11"/>
                    <a:stretch>
                      <a:fillRect/>
                    </a:stretch>
                  </pic:blipFill>
                  <pic:spPr>
                    <a:xfrm>
                      <a:off x="0" y="0"/>
                      <a:ext cx="2731775" cy="3599304"/>
                    </a:xfrm>
                    <a:prstGeom prst="rect">
                      <a:avLst/>
                    </a:prstGeom>
                    <a:solidFill>
                      <a:srgbClr val="FFFFFF"/>
                    </a:solidFill>
                    <a:ln w="9525" cap="flat" cmpd="sng">
                      <a:noFill/>
                      <a:prstDash val="solid"/>
                      <a:miter/>
                    </a:ln>
                  </pic:spPr>
                </pic:pic>
              </a:graphicData>
            </a:graphic>
          </wp:inline>
        </w:drawing>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3.</w:t>
      </w:r>
      <w:r>
        <w:rPr>
          <w:rFonts w:hint="eastAsia" w:ascii="仿宋_GB2312" w:hAnsi="Times New Roman" w:eastAsia="仿宋_GB2312" w:cs="仿宋_GB2312"/>
          <w:color w:val="000000"/>
          <w:kern w:val="2"/>
          <w:sz w:val="32"/>
          <w:szCs w:val="32"/>
          <w:lang w:bidi="ar-SA"/>
        </w:rPr>
        <w:t>相对高度</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指相邻布置的两栋建筑在计算建筑间距时所使用的立面计算高度。同一裙楼屋面上的建筑相对高度为相邻外墙面所在的裙房屋顶结构层上表面至各自屋顶结构层上表面的垂直距离。</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4.</w:t>
      </w:r>
      <w:r>
        <w:rPr>
          <w:rFonts w:hint="eastAsia" w:ascii="仿宋_GB2312" w:hAnsi="Times New Roman" w:eastAsia="仿宋_GB2312" w:cs="仿宋_GB2312"/>
          <w:color w:val="000000"/>
          <w:kern w:val="2"/>
          <w:sz w:val="32"/>
          <w:szCs w:val="32"/>
          <w:lang w:bidi="ar-SA"/>
        </w:rPr>
        <w:t>建筑计算高度</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平屋顶建筑的建筑计算高度指各立面对应的室外设计地坪标高至屋面面层的高度。</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屋顶上的水箱间、电梯机房、楼梯间、瞭望塔、烟囱等辅助用房占屋面面积不大于1/4者，可不计入建筑计算高度。</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5.</w:t>
      </w:r>
      <w:r>
        <w:rPr>
          <w:rFonts w:hint="eastAsia" w:ascii="仿宋_GB2312" w:hAnsi="Times New Roman" w:eastAsia="仿宋_GB2312" w:cs="仿宋_GB2312"/>
          <w:color w:val="000000"/>
          <w:kern w:val="2"/>
          <w:sz w:val="32"/>
          <w:szCs w:val="32"/>
          <w:lang w:bidi="ar-SA"/>
        </w:rPr>
        <w:t>相对布置</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建筑外墙面（含阳台、外廊、</w:t>
      </w:r>
      <w:r>
        <w:rPr>
          <w:rFonts w:hint="eastAsia" w:ascii="仿宋_GB2312" w:hAnsi="Times New Roman" w:eastAsia="仿宋_GB2312" w:cs="仿宋_GB2312"/>
          <w:color w:val="000000"/>
          <w:kern w:val="2"/>
          <w:sz w:val="32"/>
          <w:szCs w:val="32"/>
          <w:lang w:eastAsia="zh-CN" w:bidi="ar-SA"/>
        </w:rPr>
        <w:t>露台、</w:t>
      </w:r>
      <w:r>
        <w:rPr>
          <w:rFonts w:hint="eastAsia" w:ascii="仿宋_GB2312" w:hAnsi="Times New Roman" w:eastAsia="仿宋_GB2312" w:cs="仿宋_GB2312"/>
          <w:color w:val="000000"/>
          <w:kern w:val="2"/>
          <w:sz w:val="32"/>
          <w:szCs w:val="32"/>
          <w:lang w:bidi="ar-SA"/>
        </w:rPr>
        <w:t>飘窗）的正投影面与相邻建筑的外墙面（含阳台、外廊、</w:t>
      </w:r>
      <w:r>
        <w:rPr>
          <w:rFonts w:hint="eastAsia" w:ascii="仿宋_GB2312" w:hAnsi="Times New Roman" w:eastAsia="仿宋_GB2312" w:cs="仿宋_GB2312"/>
          <w:color w:val="000000"/>
          <w:kern w:val="2"/>
          <w:sz w:val="32"/>
          <w:szCs w:val="32"/>
          <w:lang w:eastAsia="zh-CN" w:bidi="ar-SA"/>
        </w:rPr>
        <w:t>露台、</w:t>
      </w:r>
      <w:r>
        <w:rPr>
          <w:rFonts w:hint="eastAsia" w:ascii="仿宋_GB2312" w:hAnsi="Times New Roman" w:eastAsia="仿宋_GB2312" w:cs="仿宋_GB2312"/>
          <w:color w:val="000000"/>
          <w:kern w:val="2"/>
          <w:sz w:val="32"/>
          <w:szCs w:val="32"/>
          <w:lang w:bidi="ar-SA"/>
        </w:rPr>
        <w:t>飘窗）相交的，为相对布置。</w:t>
      </w:r>
    </w:p>
    <w:p>
      <w:pPr>
        <w:rPr>
          <w:rFonts w:hint="eastAsia" w:ascii="仿宋" w:hAnsi="Times New Roman" w:eastAsia="仿宋" w:cs="仿宋"/>
          <w:color w:val="000000"/>
          <w:kern w:val="2"/>
          <w:sz w:val="28"/>
          <w:szCs w:val="28"/>
          <w:lang w:bidi="ar-SA"/>
        </w:rPr>
      </w:pPr>
      <w:r>
        <w:rPr>
          <w:rFonts w:ascii="仿宋" w:hAnsi="Times New Roman" w:eastAsia="仿宋" w:cs="仿宋"/>
          <w:color w:val="000000"/>
          <w:kern w:val="2"/>
          <w:sz w:val="28"/>
          <w:szCs w:val="28"/>
          <w:lang w:bidi="ar-SA"/>
        </w:rPr>
        <w:drawing>
          <wp:inline distT="0" distB="0" distL="85090" distR="85090">
            <wp:extent cx="5417820" cy="1992630"/>
            <wp:effectExtent l="0" t="0" r="7620" b="3810"/>
            <wp:docPr id="3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pic:cNvPicPr>
                      <a:picLocks noChangeAspect="1"/>
                    </pic:cNvPicPr>
                  </pic:nvPicPr>
                  <pic:blipFill>
                    <a:blip r:embed="rId12"/>
                    <a:stretch>
                      <a:fillRect/>
                    </a:stretch>
                  </pic:blipFill>
                  <pic:spPr>
                    <a:xfrm>
                      <a:off x="0" y="0"/>
                      <a:ext cx="5418062" cy="1992915"/>
                    </a:xfrm>
                    <a:prstGeom prst="rect">
                      <a:avLst/>
                    </a:prstGeom>
                    <a:solidFill>
                      <a:srgbClr val="FFFFFF"/>
                    </a:solidFill>
                    <a:ln w="9525" cap="flat" cmpd="sng">
                      <a:noFill/>
                      <a:prstDash val="solid"/>
                      <a:miter/>
                    </a:ln>
                  </pic:spPr>
                </pic:pic>
              </a:graphicData>
            </a:graphic>
          </wp:inline>
        </w:drawing>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6.</w:t>
      </w:r>
      <w:r>
        <w:rPr>
          <w:rFonts w:hint="eastAsia" w:ascii="仿宋_GB2312" w:hAnsi="Times New Roman" w:eastAsia="仿宋_GB2312" w:cs="仿宋_GB2312"/>
          <w:color w:val="000000"/>
          <w:kern w:val="2"/>
          <w:sz w:val="32"/>
          <w:szCs w:val="32"/>
          <w:lang w:bidi="ar-SA"/>
        </w:rPr>
        <w:t>错位布置</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建筑外墙面（含阳台、外廊、</w:t>
      </w:r>
      <w:r>
        <w:rPr>
          <w:rFonts w:hint="eastAsia" w:ascii="仿宋_GB2312" w:hAnsi="Times New Roman" w:eastAsia="仿宋_GB2312" w:cs="仿宋_GB2312"/>
          <w:color w:val="000000"/>
          <w:kern w:val="2"/>
          <w:sz w:val="32"/>
          <w:szCs w:val="32"/>
          <w:lang w:eastAsia="zh-CN" w:bidi="ar-SA"/>
        </w:rPr>
        <w:t>露台、</w:t>
      </w:r>
      <w:r>
        <w:rPr>
          <w:rFonts w:hint="eastAsia" w:ascii="仿宋_GB2312" w:hAnsi="Times New Roman" w:eastAsia="仿宋_GB2312" w:cs="仿宋_GB2312"/>
          <w:color w:val="000000"/>
          <w:kern w:val="2"/>
          <w:sz w:val="32"/>
          <w:szCs w:val="32"/>
          <w:lang w:bidi="ar-SA"/>
        </w:rPr>
        <w:t>飘窗）的正投影面与相邻建筑的外墙面（含阳台、外廊、</w:t>
      </w:r>
      <w:r>
        <w:rPr>
          <w:rFonts w:hint="eastAsia" w:ascii="仿宋_GB2312" w:hAnsi="Times New Roman" w:eastAsia="仿宋_GB2312" w:cs="仿宋_GB2312"/>
          <w:color w:val="000000"/>
          <w:kern w:val="2"/>
          <w:sz w:val="32"/>
          <w:szCs w:val="32"/>
          <w:lang w:eastAsia="zh-CN" w:bidi="ar-SA"/>
        </w:rPr>
        <w:t>露台、</w:t>
      </w:r>
      <w:r>
        <w:rPr>
          <w:rFonts w:hint="eastAsia" w:ascii="仿宋_GB2312" w:hAnsi="Times New Roman" w:eastAsia="仿宋_GB2312" w:cs="仿宋_GB2312"/>
          <w:color w:val="000000"/>
          <w:kern w:val="2"/>
          <w:sz w:val="32"/>
          <w:szCs w:val="32"/>
          <w:lang w:bidi="ar-SA"/>
        </w:rPr>
        <w:t>飘窗）均不相交的，为错位布置。</w:t>
      </w:r>
    </w:p>
    <w:p>
      <w:pPr>
        <w:jc w:val="center"/>
        <w:rPr>
          <w:rFonts w:hint="eastAsia" w:ascii="仿宋" w:hAnsi="Times New Roman" w:eastAsia="仿宋" w:cs="仿宋"/>
          <w:color w:val="000000"/>
          <w:kern w:val="2"/>
          <w:sz w:val="28"/>
          <w:szCs w:val="28"/>
          <w:lang w:bidi="ar-SA"/>
        </w:rPr>
      </w:pPr>
      <w:r>
        <w:rPr>
          <w:rFonts w:ascii="仿宋" w:hAnsi="Times New Roman" w:eastAsia="仿宋" w:cs="仿宋"/>
          <w:color w:val="000000"/>
          <w:kern w:val="2"/>
          <w:sz w:val="28"/>
          <w:szCs w:val="28"/>
          <w:lang w:bidi="ar-SA"/>
        </w:rPr>
        <w:drawing>
          <wp:inline distT="0" distB="0" distL="85090" distR="85090">
            <wp:extent cx="3749040" cy="2030730"/>
            <wp:effectExtent l="0" t="0" r="0" b="11430"/>
            <wp:docPr id="3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pic:cNvPicPr>
                      <a:picLocks noChangeAspect="1"/>
                    </pic:cNvPicPr>
                  </pic:nvPicPr>
                  <pic:blipFill>
                    <a:blip r:embed="rId13"/>
                    <a:stretch>
                      <a:fillRect/>
                    </a:stretch>
                  </pic:blipFill>
                  <pic:spPr>
                    <a:xfrm>
                      <a:off x="0" y="0"/>
                      <a:ext cx="3749500" cy="2030761"/>
                    </a:xfrm>
                    <a:prstGeom prst="rect">
                      <a:avLst/>
                    </a:prstGeom>
                    <a:solidFill>
                      <a:srgbClr val="FFFFFF"/>
                    </a:solidFill>
                    <a:ln w="9525" cap="flat" cmpd="sng">
                      <a:noFill/>
                      <a:prstDash val="solid"/>
                      <a:miter/>
                    </a:ln>
                  </pic:spPr>
                </pic:pic>
              </a:graphicData>
            </a:graphic>
          </wp:inline>
        </w:drawing>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7.</w:t>
      </w:r>
      <w:r>
        <w:rPr>
          <w:rFonts w:hint="eastAsia" w:ascii="仿宋_GB2312" w:hAnsi="Times New Roman" w:eastAsia="仿宋_GB2312" w:cs="仿宋_GB2312"/>
          <w:color w:val="000000"/>
          <w:kern w:val="2"/>
          <w:sz w:val="32"/>
          <w:szCs w:val="32"/>
          <w:lang w:bidi="ar-SA"/>
        </w:rPr>
        <w:t>建筑相对面</w:t>
      </w:r>
    </w:p>
    <w:p>
      <w:pPr>
        <w:spacing w:line="480" w:lineRule="exact"/>
        <w:ind w:firstLine="623"/>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建筑相对布置时，产生相对关系的面。若A建筑A1面的正投影面与B建筑的两个或者以上面（即：B1面、B2面……）相交，则B1面、B2面……中与A1面夹角小于或者等于60度的为A1面的相对面，与A1面夹角大于60度的，视为与A1面不产生相对关系，不是A1面的相对面。</w:t>
      </w:r>
    </w:p>
    <w:p>
      <w:pPr>
        <w:jc w:val="center"/>
        <w:rPr>
          <w:rFonts w:hint="eastAsia" w:ascii="仿宋" w:hAnsi="Times New Roman" w:eastAsia="仿宋" w:cs="仿宋"/>
          <w:color w:val="000000"/>
          <w:kern w:val="2"/>
          <w:sz w:val="28"/>
          <w:szCs w:val="28"/>
          <w:lang w:bidi="ar-SA"/>
        </w:rPr>
      </w:pPr>
      <w:r>
        <w:rPr>
          <w:rFonts w:ascii="仿宋" w:hAnsi="Times New Roman" w:eastAsia="仿宋" w:cs="仿宋"/>
          <w:color w:val="000000"/>
          <w:kern w:val="2"/>
          <w:sz w:val="28"/>
          <w:szCs w:val="28"/>
          <w:lang w:bidi="ar-SA"/>
        </w:rPr>
        <w:drawing>
          <wp:inline distT="0" distB="0" distL="85090" distR="85090">
            <wp:extent cx="5323840" cy="4033520"/>
            <wp:effectExtent l="0" t="0" r="10160" b="5080"/>
            <wp:docPr id="3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pic:cNvPicPr>
                      <a:picLocks noChangeAspect="1"/>
                    </pic:cNvPicPr>
                  </pic:nvPicPr>
                  <pic:blipFill>
                    <a:blip r:embed="rId14"/>
                    <a:stretch>
                      <a:fillRect/>
                    </a:stretch>
                  </pic:blipFill>
                  <pic:spPr>
                    <a:xfrm>
                      <a:off x="0" y="0"/>
                      <a:ext cx="5324015" cy="4033767"/>
                    </a:xfrm>
                    <a:prstGeom prst="rect">
                      <a:avLst/>
                    </a:prstGeom>
                    <a:solidFill>
                      <a:srgbClr val="FFFFFF"/>
                    </a:solidFill>
                    <a:ln w="9525" cap="flat" cmpd="sng">
                      <a:noFill/>
                      <a:prstDash val="solid"/>
                      <a:miter/>
                    </a:ln>
                  </pic:spPr>
                </pic:pic>
              </a:graphicData>
            </a:graphic>
          </wp:inline>
        </w:drawing>
      </w:r>
    </w:p>
    <w:p>
      <w:pPr>
        <w:spacing w:line="560" w:lineRule="exact"/>
        <w:ind w:firstLine="640" w:firstLineChars="200"/>
        <w:rPr>
          <w:rFonts w:hint="eastAsia" w:ascii="仿宋_GB2312" w:hAnsi="Times New Roman" w:eastAsia="仿宋_GB2312" w:cs="仿宋_GB2312"/>
          <w:color w:val="000000"/>
          <w:sz w:val="32"/>
          <w:szCs w:val="32"/>
          <w:highlight w:val="none"/>
          <w:lang w:bidi="ar-SA"/>
        </w:rPr>
      </w:pPr>
      <w:r>
        <w:rPr>
          <w:rFonts w:hint="eastAsia" w:ascii="仿宋_GB2312" w:hAnsi="Times New Roman" w:eastAsia="仿宋_GB2312" w:cs="仿宋_GB2312"/>
          <w:color w:val="000000"/>
          <w:sz w:val="32"/>
          <w:szCs w:val="32"/>
          <w:highlight w:val="none"/>
          <w:lang w:val="en-US" w:eastAsia="zh-CN" w:bidi="ar-SA"/>
        </w:rPr>
        <w:t>18.</w:t>
      </w:r>
      <w:r>
        <w:rPr>
          <w:rFonts w:hint="eastAsia" w:ascii="仿宋_GB2312" w:hAnsi="Times New Roman" w:eastAsia="仿宋_GB2312" w:cs="仿宋_GB2312"/>
          <w:color w:val="000000"/>
          <w:sz w:val="32"/>
          <w:szCs w:val="32"/>
          <w:highlight w:val="none"/>
          <w:lang w:bidi="ar-SA"/>
        </w:rPr>
        <w:t>建筑容积率（容积率）：一定地块内，计容总建筑面积与建设用地面积的比值。表达公式为：</w:t>
      </w:r>
    </w:p>
    <w:p>
      <w:pPr>
        <w:spacing w:line="560" w:lineRule="exact"/>
        <w:ind w:firstLine="640" w:firstLineChars="200"/>
        <w:rPr>
          <w:rFonts w:hint="eastAsia" w:ascii="仿宋_GB2312" w:hAnsi="Times New Roman" w:eastAsia="仿宋_GB2312" w:cs="仿宋_GB2312"/>
          <w:color w:val="000000"/>
          <w:sz w:val="32"/>
          <w:szCs w:val="32"/>
          <w:highlight w:val="none"/>
          <w:lang w:bidi="ar-SA"/>
        </w:rPr>
      </w:pPr>
      <w:r>
        <w:rPr>
          <w:rFonts w:hint="eastAsia" w:ascii="仿宋_GB2312" w:hAnsi="Times New Roman" w:eastAsia="仿宋_GB2312" w:cs="仿宋_GB2312"/>
          <w:color w:val="000000"/>
          <w:sz w:val="32"/>
          <w:szCs w:val="32"/>
          <w:highlight w:val="none"/>
          <w:lang w:bidi="ar-SA"/>
        </w:rPr>
        <w:t>容积率=计容总建筑面积÷建设用地面积</w:t>
      </w:r>
    </w:p>
    <w:p>
      <w:pPr>
        <w:spacing w:line="560" w:lineRule="exact"/>
        <w:ind w:firstLine="640" w:firstLineChars="200"/>
        <w:rPr>
          <w:rFonts w:hint="eastAsia" w:ascii="仿宋_GB2312" w:hAnsi="Times New Roman" w:eastAsia="仿宋_GB2312" w:cs="仿宋_GB2312"/>
          <w:color w:val="000000"/>
          <w:sz w:val="32"/>
          <w:szCs w:val="32"/>
          <w:highlight w:val="none"/>
          <w:lang w:bidi="ar-SA"/>
        </w:rPr>
      </w:pPr>
      <w:r>
        <w:rPr>
          <w:rFonts w:hint="eastAsia" w:ascii="仿宋_GB2312" w:hAnsi="Times New Roman" w:eastAsia="仿宋_GB2312" w:cs="仿宋_GB2312"/>
          <w:color w:val="000000"/>
          <w:sz w:val="32"/>
          <w:szCs w:val="32"/>
          <w:highlight w:val="none"/>
          <w:lang w:bidi="ar-SA"/>
        </w:rPr>
        <w:t>容积率计算按照以下规定执行：</w:t>
      </w:r>
    </w:p>
    <w:p>
      <w:pPr>
        <w:spacing w:line="560" w:lineRule="exact"/>
        <w:ind w:firstLine="640" w:firstLineChars="200"/>
        <w:rPr>
          <w:rFonts w:hint="eastAsia" w:ascii="仿宋_GB2312" w:hAnsi="Times New Roman" w:eastAsia="仿宋_GB2312" w:cs="仿宋_GB2312"/>
          <w:color w:val="000000"/>
          <w:sz w:val="32"/>
          <w:szCs w:val="32"/>
          <w:highlight w:val="none"/>
          <w:lang w:bidi="ar-SA"/>
        </w:rPr>
      </w:pPr>
      <w:r>
        <w:rPr>
          <w:rFonts w:hint="eastAsia" w:ascii="仿宋_GB2312" w:hAnsi="Times New Roman" w:eastAsia="仿宋_GB2312" w:cs="仿宋_GB2312"/>
          <w:color w:val="000000"/>
          <w:sz w:val="32"/>
          <w:szCs w:val="32"/>
          <w:highlight w:val="none"/>
          <w:lang w:bidi="ar-SA"/>
        </w:rPr>
        <w:t>（1）地上建筑应当纳入容积率计算，地下建筑不纳入容积率计算；</w:t>
      </w:r>
    </w:p>
    <w:p>
      <w:pPr>
        <w:spacing w:line="560" w:lineRule="exact"/>
        <w:ind w:firstLine="640" w:firstLineChars="200"/>
        <w:rPr>
          <w:rFonts w:hint="eastAsia" w:ascii="仿宋_GB2312" w:hAnsi="Times New Roman" w:eastAsia="仿宋_GB2312" w:cs="仿宋_GB2312"/>
          <w:color w:val="000000"/>
          <w:sz w:val="32"/>
          <w:szCs w:val="32"/>
          <w:highlight w:val="none"/>
          <w:lang w:bidi="ar-SA"/>
        </w:rPr>
      </w:pPr>
      <w:r>
        <w:rPr>
          <w:rFonts w:hint="eastAsia" w:ascii="仿宋_GB2312" w:hAnsi="Times New Roman" w:eastAsia="仿宋_GB2312" w:cs="仿宋_GB2312"/>
          <w:color w:val="000000"/>
          <w:sz w:val="32"/>
          <w:szCs w:val="32"/>
          <w:highlight w:val="none"/>
          <w:lang w:bidi="ar-SA"/>
        </w:rPr>
        <w:t>（2）地上建筑局部被室外地坪掩埋的楼层，其被掩埋外墙长度占该层外墙周长（局部凹凸不计入）比例大于或者等于40%的，除集中车库和设备用房外，均应纳入容积率计算；小于40%的，均应纳入容积率计算；</w:t>
      </w:r>
    </w:p>
    <w:p>
      <w:pPr>
        <w:spacing w:line="560" w:lineRule="exact"/>
        <w:ind w:firstLine="640" w:firstLineChars="200"/>
        <w:rPr>
          <w:rFonts w:hint="eastAsia" w:ascii="仿宋_GB2312" w:hAnsi="Times New Roman" w:eastAsia="仿宋_GB2312" w:cs="仿宋_GB2312"/>
          <w:color w:val="000000"/>
          <w:sz w:val="32"/>
          <w:szCs w:val="32"/>
          <w:highlight w:val="yellow"/>
          <w:lang w:bidi="ar-SA"/>
        </w:rPr>
      </w:pPr>
      <w:r>
        <w:rPr>
          <w:rFonts w:hint="eastAsia" w:ascii="仿宋_GB2312" w:hAnsi="Times New Roman" w:eastAsia="仿宋_GB2312" w:cs="仿宋_GB2312"/>
          <w:color w:val="000000"/>
          <w:sz w:val="32"/>
          <w:szCs w:val="32"/>
          <w:highlight w:val="none"/>
          <w:lang w:bidi="ar-SA"/>
        </w:rPr>
        <w:t>（3）超出建设项目停车位配建标准增配的地上集中停车库，不纳入容积率计算。</w:t>
      </w:r>
    </w:p>
    <w:p>
      <w:pPr>
        <w:spacing w:line="460" w:lineRule="exact"/>
        <w:ind w:firstLine="624"/>
        <w:rPr>
          <w:rFonts w:hint="eastAsia" w:ascii="仿宋_GB2312" w:hAnsi="Times New Roman" w:eastAsia="仿宋_GB2312" w:cs="仿宋_GB2312"/>
          <w:color w:val="000000"/>
          <w:kern w:val="2"/>
          <w:sz w:val="32"/>
          <w:szCs w:val="32"/>
          <w:u w:val="none"/>
          <w:lang w:eastAsia="zh-CN" w:bidi="ar-SA"/>
        </w:rPr>
      </w:pPr>
      <w:r>
        <w:rPr>
          <w:rFonts w:hint="eastAsia" w:ascii="仿宋_GB2312" w:hAnsi="Times New Roman" w:eastAsia="仿宋_GB2312" w:cs="仿宋_GB2312"/>
          <w:color w:val="000000"/>
          <w:kern w:val="2"/>
          <w:sz w:val="32"/>
          <w:szCs w:val="32"/>
          <w:u w:val="none"/>
          <w:lang w:val="en-US" w:eastAsia="zh-CN" w:bidi="ar-SA"/>
        </w:rPr>
        <w:t>19.</w:t>
      </w:r>
      <w:r>
        <w:rPr>
          <w:rFonts w:hint="eastAsia" w:ascii="仿宋_GB2312" w:hAnsi="Times New Roman" w:eastAsia="仿宋_GB2312" w:cs="仿宋_GB2312"/>
          <w:color w:val="000000"/>
          <w:kern w:val="2"/>
          <w:sz w:val="32"/>
          <w:szCs w:val="32"/>
          <w:u w:val="none"/>
          <w:lang w:eastAsia="zh-CN" w:bidi="ar-SA"/>
        </w:rPr>
        <w:t>建筑密度：指一定地块内，地上建筑的水平投影总面积占建设用地面积的百分比。计算公式为：</w:t>
      </w:r>
    </w:p>
    <w:p>
      <w:pPr>
        <w:spacing w:line="460" w:lineRule="exact"/>
        <w:ind w:firstLine="624"/>
        <w:rPr>
          <w:rFonts w:hint="eastAsia" w:ascii="仿宋_GB2312" w:hAnsi="Times New Roman" w:eastAsia="仿宋_GB2312" w:cs="仿宋_GB2312"/>
          <w:color w:val="000000"/>
          <w:kern w:val="2"/>
          <w:sz w:val="32"/>
          <w:szCs w:val="32"/>
          <w:u w:val="none"/>
          <w:lang w:eastAsia="zh-CN" w:bidi="ar-SA"/>
        </w:rPr>
      </w:pPr>
      <w:r>
        <w:rPr>
          <w:rFonts w:hint="eastAsia" w:ascii="仿宋_GB2312" w:hAnsi="Times New Roman" w:eastAsia="仿宋_GB2312" w:cs="仿宋_GB2312"/>
          <w:color w:val="000000"/>
          <w:kern w:val="2"/>
          <w:sz w:val="32"/>
          <w:szCs w:val="32"/>
          <w:u w:val="none"/>
          <w:lang w:eastAsia="zh-CN" w:bidi="ar-SA"/>
        </w:rPr>
        <w:t>建筑密度=地上建筑水平投影总面积÷建设用地面积×100%</w:t>
      </w:r>
    </w:p>
    <w:p>
      <w:pPr>
        <w:spacing w:line="460" w:lineRule="exact"/>
        <w:ind w:firstLine="624"/>
        <w:rPr>
          <w:rFonts w:hint="eastAsia" w:ascii="仿宋_GB2312" w:hAnsi="Times New Roman" w:eastAsia="仿宋_GB2312" w:cs="仿宋_GB2312"/>
          <w:color w:val="000000"/>
          <w:kern w:val="2"/>
          <w:sz w:val="32"/>
          <w:szCs w:val="32"/>
          <w:u w:val="none"/>
          <w:lang w:eastAsia="zh-CN" w:bidi="ar-SA"/>
        </w:rPr>
      </w:pPr>
      <w:r>
        <w:rPr>
          <w:rFonts w:hint="eastAsia" w:ascii="仿宋_GB2312" w:hAnsi="Times New Roman" w:eastAsia="仿宋_GB2312" w:cs="仿宋_GB2312"/>
          <w:color w:val="000000"/>
          <w:kern w:val="2"/>
          <w:sz w:val="32"/>
          <w:szCs w:val="32"/>
          <w:u w:val="none"/>
          <w:lang w:eastAsia="zh-CN" w:bidi="ar-SA"/>
        </w:rPr>
        <w:t>地上建筑水平投影总面积为以下两部分水平投影面积之和（叠加部分不重复计算）：</w:t>
      </w:r>
    </w:p>
    <w:p>
      <w:pPr>
        <w:spacing w:line="460" w:lineRule="exact"/>
        <w:ind w:firstLine="624"/>
        <w:rPr>
          <w:rFonts w:hint="eastAsia" w:ascii="仿宋_GB2312" w:hAnsi="Times New Roman" w:eastAsia="仿宋_GB2312" w:cs="仿宋_GB2312"/>
          <w:color w:val="000000"/>
          <w:kern w:val="2"/>
          <w:sz w:val="32"/>
          <w:szCs w:val="32"/>
          <w:u w:val="none"/>
          <w:lang w:eastAsia="zh-CN" w:bidi="ar-SA"/>
        </w:rPr>
      </w:pPr>
      <w:r>
        <w:rPr>
          <w:rFonts w:hint="eastAsia" w:ascii="仿宋_GB2312" w:hAnsi="Times New Roman" w:eastAsia="仿宋_GB2312" w:cs="仿宋_GB2312"/>
          <w:color w:val="000000"/>
          <w:kern w:val="2"/>
          <w:sz w:val="32"/>
          <w:szCs w:val="32"/>
          <w:u w:val="none"/>
          <w:lang w:eastAsia="zh-CN" w:bidi="ar-SA"/>
        </w:rPr>
        <w:t>（一）四周均未被室外地坪掩埋的地上建筑；</w:t>
      </w:r>
    </w:p>
    <w:p>
      <w:pPr>
        <w:spacing w:line="460" w:lineRule="exact"/>
        <w:ind w:firstLine="624"/>
        <w:rPr>
          <w:rFonts w:hint="eastAsia" w:ascii="仿宋_GB2312" w:hAnsi="Times New Roman" w:eastAsia="仿宋_GB2312" w:cs="仿宋_GB2312"/>
          <w:color w:val="000000"/>
          <w:kern w:val="2"/>
          <w:sz w:val="32"/>
          <w:szCs w:val="32"/>
          <w:u w:val="none"/>
          <w:lang w:eastAsia="zh-CN" w:bidi="ar-SA"/>
        </w:rPr>
      </w:pPr>
      <w:r>
        <w:rPr>
          <w:rFonts w:hint="eastAsia" w:ascii="仿宋_GB2312" w:hAnsi="Times New Roman" w:eastAsia="仿宋_GB2312" w:cs="仿宋_GB2312"/>
          <w:color w:val="000000"/>
          <w:kern w:val="2"/>
          <w:sz w:val="32"/>
          <w:szCs w:val="32"/>
          <w:u w:val="none"/>
          <w:lang w:eastAsia="zh-CN" w:bidi="ar-SA"/>
        </w:rPr>
        <w:t>（二）局部被室外地坪掩埋的地上建筑，其非掩埋外墙对应的 16米进深部分；进深不足16米的，据实计入。</w:t>
      </w:r>
    </w:p>
    <w:p>
      <w:pPr>
        <w:spacing w:line="460" w:lineRule="exact"/>
        <w:ind w:firstLine="624"/>
        <w:rPr>
          <w:rFonts w:hint="eastAsia" w:ascii="仿宋_GB2312" w:hAnsi="Times New Roman" w:eastAsia="仿宋_GB2312" w:cs="仿宋_GB2312"/>
          <w:color w:val="000000"/>
          <w:kern w:val="2"/>
          <w:sz w:val="32"/>
          <w:szCs w:val="32"/>
          <w:u w:val="none"/>
          <w:lang w:eastAsia="zh-CN" w:bidi="ar-SA"/>
        </w:rPr>
      </w:pPr>
      <w:r>
        <w:rPr>
          <w:rFonts w:hint="eastAsia" w:ascii="仿宋_GB2312" w:hAnsi="Times New Roman" w:eastAsia="仿宋_GB2312" w:cs="仿宋_GB2312"/>
          <w:color w:val="000000"/>
          <w:kern w:val="2"/>
          <w:sz w:val="32"/>
          <w:szCs w:val="32"/>
          <w:u w:val="none"/>
          <w:lang w:eastAsia="zh-CN" w:bidi="ar-SA"/>
        </w:rPr>
        <w:t>除雨篷、挑檐、构架之外的建筑各部分的水平投影面积，均计入地上建筑水平投影总面积</w:t>
      </w:r>
    </w:p>
    <w:p>
      <w:pPr>
        <w:spacing w:line="460" w:lineRule="exact"/>
        <w:ind w:left="64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20.</w:t>
      </w:r>
      <w:r>
        <w:rPr>
          <w:rFonts w:hint="eastAsia" w:ascii="仿宋_GB2312" w:hAnsi="Times New Roman" w:eastAsia="仿宋_GB2312" w:cs="仿宋_GB2312"/>
          <w:color w:val="000000"/>
          <w:kern w:val="2"/>
          <w:sz w:val="32"/>
          <w:szCs w:val="32"/>
          <w:lang w:bidi="ar-SA"/>
        </w:rPr>
        <w:t>快速路</w:t>
      </w:r>
    </w:p>
    <w:p>
      <w:pPr>
        <w:spacing w:line="460" w:lineRule="exact"/>
        <w:ind w:left="0"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专为车速高、行程长的汽车交通连续通行设置的重要交通干路。城市人口200万以上的大城市内、带形城市或组团城市内</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应设置快速路</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并与城市出入口道路和市际高速公路有便捷的联系。设计行车速度要求达到60～80km/h。</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w:t>
      </w:r>
      <w:r>
        <w:rPr>
          <w:rFonts w:hint="eastAsia" w:ascii="仿宋_GB2312" w:hAnsi="Times New Roman" w:eastAsia="仿宋_GB2312" w:cs="仿宋_GB2312"/>
          <w:color w:val="000000"/>
          <w:kern w:val="2"/>
          <w:sz w:val="32"/>
          <w:szCs w:val="32"/>
          <w:lang w:val="en-US" w:eastAsia="zh-CN" w:bidi="ar-SA"/>
        </w:rPr>
        <w:t>1.</w:t>
      </w:r>
      <w:r>
        <w:rPr>
          <w:rFonts w:hint="eastAsia" w:ascii="仿宋_GB2312" w:hAnsi="Times New Roman" w:eastAsia="仿宋_GB2312" w:cs="仿宋_GB2312"/>
          <w:color w:val="000000"/>
          <w:kern w:val="2"/>
          <w:sz w:val="32"/>
          <w:szCs w:val="32"/>
          <w:lang w:bidi="ar-SA"/>
        </w:rPr>
        <w:t>主干路</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城市道路网的骨架</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是连接城市各主要分区的交通干路</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以交通功能为主</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它与快速路共同分担城市的主要客、货车流</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形成重要的交通走廊。设计行车速度为30～60km/h。</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w:t>
      </w:r>
      <w:r>
        <w:rPr>
          <w:rFonts w:hint="eastAsia" w:ascii="仿宋_GB2312" w:hAnsi="Times New Roman" w:eastAsia="仿宋_GB2312" w:cs="仿宋_GB2312"/>
          <w:color w:val="000000"/>
          <w:kern w:val="2"/>
          <w:sz w:val="32"/>
          <w:szCs w:val="32"/>
          <w:lang w:val="en-US" w:eastAsia="zh-CN" w:bidi="ar-SA"/>
        </w:rPr>
        <w:t>2.</w:t>
      </w:r>
      <w:r>
        <w:rPr>
          <w:rFonts w:hint="eastAsia" w:ascii="仿宋_GB2312" w:hAnsi="Times New Roman" w:eastAsia="仿宋_GB2312" w:cs="仿宋_GB2312"/>
          <w:color w:val="000000"/>
          <w:kern w:val="2"/>
          <w:sz w:val="32"/>
          <w:szCs w:val="32"/>
          <w:lang w:bidi="ar-SA"/>
        </w:rPr>
        <w:t>次干路</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城市主干路与支路间的车、人流主要交通集散道路</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应设置大量公共交通线路</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广泛联系城市各地。设计行车速度为20～50km/h。</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w:t>
      </w:r>
      <w:r>
        <w:rPr>
          <w:rFonts w:hint="eastAsia" w:ascii="仿宋_GB2312" w:hAnsi="Times New Roman" w:eastAsia="仿宋_GB2312" w:cs="仿宋_GB2312"/>
          <w:color w:val="000000"/>
          <w:kern w:val="2"/>
          <w:sz w:val="32"/>
          <w:szCs w:val="32"/>
          <w:lang w:val="en-US" w:eastAsia="zh-CN" w:bidi="ar-SA"/>
        </w:rPr>
        <w:t>3.</w:t>
      </w:r>
      <w:r>
        <w:rPr>
          <w:rFonts w:hint="eastAsia" w:ascii="仿宋_GB2312" w:hAnsi="Times New Roman" w:eastAsia="仿宋_GB2312" w:cs="仿宋_GB2312"/>
          <w:color w:val="000000"/>
          <w:kern w:val="2"/>
          <w:sz w:val="32"/>
          <w:szCs w:val="32"/>
          <w:lang w:bidi="ar-SA"/>
        </w:rPr>
        <w:t>支路</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次干路与居住区、工业区、市中心商业区、市政公用设施用地和交通设施用地内部道路的连接线。其上应有公共交通线路行驶</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并有沿街商店。支路的长度和面积率在城市道路网中占很大的比重</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在城市控制性详细规划时</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应当保证上述用地内支路的路网密度。设计行车速度为20～40km/h。</w:t>
      </w:r>
    </w:p>
    <w:p>
      <w:pPr>
        <w:spacing w:line="460" w:lineRule="exact"/>
        <w:ind w:firstLine="624"/>
        <w:rPr>
          <w:rFonts w:hint="eastAsia" w:ascii="仿宋_GB2312" w:hAnsi="Times New Roman" w:eastAsia="仿宋_GB2312" w:cs="仿宋_GB2312"/>
          <w:color w:val="000000"/>
          <w:kern w:val="2"/>
          <w:sz w:val="32"/>
          <w:szCs w:val="32"/>
          <w:lang w:val="en-US" w:eastAsia="zh-CN" w:bidi="ar-SA"/>
        </w:rPr>
      </w:pPr>
      <w:r>
        <w:rPr>
          <w:rFonts w:hint="eastAsia" w:ascii="仿宋_GB2312" w:hAnsi="Times New Roman" w:eastAsia="仿宋_GB2312" w:cs="仿宋_GB2312"/>
          <w:color w:val="000000"/>
          <w:kern w:val="2"/>
          <w:sz w:val="32"/>
          <w:szCs w:val="32"/>
          <w:lang w:val="en-US" w:eastAsia="zh-CN" w:bidi="ar-SA"/>
        </w:rPr>
        <w:t>24.港湾式停靠站</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在道路车行道外侧，采取局部拓宽路面的公共交通停靠站。</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w:t>
      </w:r>
      <w:r>
        <w:rPr>
          <w:rFonts w:hint="eastAsia" w:ascii="仿宋_GB2312" w:hAnsi="Times New Roman" w:eastAsia="仿宋_GB2312" w:cs="仿宋_GB2312"/>
          <w:color w:val="000000"/>
          <w:kern w:val="2"/>
          <w:sz w:val="32"/>
          <w:szCs w:val="32"/>
          <w:lang w:val="en-US" w:eastAsia="zh-CN" w:bidi="ar-SA"/>
        </w:rPr>
        <w:t>5.</w:t>
      </w:r>
      <w:r>
        <w:rPr>
          <w:rFonts w:hint="eastAsia" w:ascii="仿宋_GB2312" w:hAnsi="Times New Roman" w:eastAsia="仿宋_GB2312" w:cs="仿宋_GB2312"/>
          <w:color w:val="000000"/>
          <w:kern w:val="2"/>
          <w:sz w:val="32"/>
          <w:szCs w:val="32"/>
          <w:lang w:bidi="ar-SA"/>
        </w:rPr>
        <w:t>城市公共停车场</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位于道路红线以外的独立占地的面向公众服务的停车场和由建筑物代建的不占独立用地的面向公众服务的停车场。</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w:t>
      </w:r>
      <w:r>
        <w:rPr>
          <w:rFonts w:hint="eastAsia" w:ascii="仿宋_GB2312" w:hAnsi="Times New Roman" w:eastAsia="仿宋_GB2312" w:cs="仿宋_GB2312"/>
          <w:color w:val="000000"/>
          <w:kern w:val="2"/>
          <w:sz w:val="32"/>
          <w:szCs w:val="32"/>
          <w:lang w:val="en-US" w:eastAsia="zh-CN" w:bidi="ar-SA"/>
        </w:rPr>
        <w:t>6.</w:t>
      </w:r>
      <w:r>
        <w:rPr>
          <w:rFonts w:hint="eastAsia" w:ascii="仿宋_GB2312" w:hAnsi="Times New Roman" w:eastAsia="仿宋_GB2312" w:cs="仿宋_GB2312"/>
          <w:color w:val="000000"/>
          <w:kern w:val="2"/>
          <w:sz w:val="32"/>
          <w:szCs w:val="32"/>
          <w:lang w:bidi="ar-SA"/>
        </w:rPr>
        <w:t>建筑物配建停车场</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建筑物依据建筑物配建停车位指标所附设的面向本建筑物使用者和公众服务的供机动车和非机动车停放的停车场。</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w:t>
      </w:r>
      <w:r>
        <w:rPr>
          <w:rFonts w:hint="eastAsia" w:ascii="仿宋_GB2312" w:hAnsi="Times New Roman" w:eastAsia="仿宋_GB2312" w:cs="仿宋_GB2312"/>
          <w:color w:val="000000"/>
          <w:kern w:val="2"/>
          <w:sz w:val="32"/>
          <w:szCs w:val="32"/>
          <w:lang w:val="en-US" w:eastAsia="zh-CN" w:bidi="ar-SA"/>
        </w:rPr>
        <w:t>7.</w:t>
      </w:r>
      <w:r>
        <w:rPr>
          <w:rFonts w:hint="eastAsia" w:ascii="仿宋_GB2312" w:hAnsi="Times New Roman" w:eastAsia="仿宋_GB2312" w:cs="仿宋_GB2312"/>
          <w:color w:val="000000"/>
          <w:kern w:val="2"/>
          <w:sz w:val="32"/>
          <w:szCs w:val="32"/>
          <w:lang w:bidi="ar-SA"/>
        </w:rPr>
        <w:t>高压走廊：在计算导线最大风偏和安全距离情况下，高压架空电力线路两边导线向外侧延伸一定距离所形成的两条平行线之间的专用通道。</w:t>
      </w:r>
    </w:p>
    <w:p>
      <w:pPr>
        <w:spacing w:line="460" w:lineRule="exact"/>
        <w:ind w:firstLine="624"/>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val="en-US" w:eastAsia="zh-CN" w:bidi="ar-SA"/>
        </w:rPr>
        <w:t>28.</w:t>
      </w:r>
      <w:r>
        <w:rPr>
          <w:rFonts w:hint="eastAsia" w:ascii="仿宋_GB2312" w:hAnsi="Times New Roman" w:eastAsia="仿宋_GB2312" w:cs="仿宋_GB2312"/>
          <w:color w:val="000000"/>
          <w:kern w:val="2"/>
          <w:sz w:val="32"/>
          <w:szCs w:val="32"/>
          <w:lang w:bidi="ar-SA"/>
        </w:rPr>
        <w:t>海绵城市：运用低影响开发理念，改变传统城市建大管子、以快排为主的雨水处理方式，借助自然力量排水，源头分散、慢排缓释，就近收集、存蓄、渗透、净化雨水，让城市如同生态海绵般舒畅地呼吸吐纳，实现雨水在城市中的自然迁移。</w:t>
      </w:r>
    </w:p>
    <w:p>
      <w:pPr>
        <w:rPr>
          <w:rFonts w:hint="eastAsia" w:ascii="仿宋_GB2312" w:hAnsi="Times New Roman" w:eastAsia="仿宋_GB2312" w:cs="仿宋_GB2312"/>
          <w:color w:val="000000"/>
          <w:sz w:val="32"/>
          <w:szCs w:val="32"/>
          <w:lang w:val="en-US" w:eastAsia="zh-CN" w:bidi="ar-SA"/>
        </w:rPr>
      </w:pPr>
    </w:p>
    <w:p>
      <w:pPr>
        <w:rPr>
          <w:rFonts w:hint="eastAsia" w:ascii="仿宋" w:hAnsi="Times New Roman" w:eastAsia="仿宋" w:cs="仿宋"/>
          <w:color w:val="000000"/>
          <w:sz w:val="32"/>
          <w:szCs w:val="20"/>
          <w:highlight w:val="yellow"/>
          <w:lang w:val="en-US" w:eastAsia="zh-CN" w:bidi="ar-SA"/>
        </w:rPr>
      </w:pPr>
    </w:p>
    <w:p>
      <w:pPr>
        <w:rPr>
          <w:rFonts w:hint="eastAsia" w:ascii="仿宋" w:eastAsia="仿宋" w:cs="仿宋"/>
          <w:color w:val="000000"/>
          <w:lang w:val="en-US" w:eastAsia="zh-CN" w:bidi="ar-SA"/>
        </w:rPr>
        <w:sectPr>
          <w:footerReference r:id="rId3" w:type="default"/>
          <w:pgSz w:w="11906" w:h="16838"/>
          <w:pgMar w:top="2098" w:right="1474" w:bottom="1984" w:left="1587" w:header="851" w:footer="1417" w:gutter="0"/>
          <w:pgNumType w:fmt="decimal"/>
          <w:cols w:space="0" w:num="1"/>
          <w:rtlGutter w:val="0"/>
          <w:docGrid w:type="lines" w:linePitch="312" w:charSpace="0"/>
        </w:sectPr>
      </w:pPr>
    </w:p>
    <w:p>
      <w:pPr>
        <w:spacing w:line="480" w:lineRule="exact"/>
        <w:ind w:firstLine="640" w:firstLineChars="200"/>
        <w:jc w:val="both"/>
        <w:rPr>
          <w:rFonts w:hint="eastAsia" w:ascii="黑体" w:hAnsi="黑体" w:eastAsia="黑体" w:cs="黑体"/>
          <w:b w:val="0"/>
          <w:bCs/>
          <w:color w:val="000000"/>
          <w:kern w:val="2"/>
          <w:sz w:val="32"/>
          <w:szCs w:val="32"/>
          <w:lang w:bidi="ar-SA"/>
        </w:rPr>
      </w:pPr>
      <w:r>
        <w:rPr>
          <w:rFonts w:hint="eastAsia" w:ascii="黑体" w:hAnsi="黑体" w:eastAsia="黑体" w:cs="黑体"/>
          <w:b w:val="0"/>
          <w:bCs/>
          <w:color w:val="000000"/>
          <w:kern w:val="2"/>
          <w:sz w:val="32"/>
          <w:szCs w:val="32"/>
          <w:lang w:bidi="ar-SA"/>
        </w:rPr>
        <w:t>附录二  计算规则</w:t>
      </w:r>
    </w:p>
    <w:p>
      <w:pPr>
        <w:tabs>
          <w:tab w:val="left" w:pos="0"/>
        </w:tabs>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面积计算：计算建筑面积按《建筑工程建筑面积计算规范》（GB/T50353</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2013）执行。</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住宅楼的层数及面积计算应符合下列规定：</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（1）当住宅楼的所有楼层的层高不大于3</w:t>
      </w:r>
      <w:r>
        <w:rPr>
          <w:rFonts w:hint="eastAsia" w:ascii="仿宋_GB2312" w:hAnsi="Times New Roman" w:eastAsia="仿宋_GB2312" w:cs="仿宋_GB2312"/>
          <w:color w:val="000000"/>
          <w:kern w:val="2"/>
          <w:sz w:val="32"/>
          <w:szCs w:val="32"/>
          <w:lang w:val="en-US" w:eastAsia="zh-CN" w:bidi="ar-SA"/>
        </w:rPr>
        <w:t>.6</w:t>
      </w:r>
      <w:r>
        <w:rPr>
          <w:rFonts w:hint="eastAsia" w:ascii="仿宋_GB2312" w:hAnsi="Times New Roman" w:eastAsia="仿宋_GB2312" w:cs="仿宋_GB2312"/>
          <w:color w:val="000000"/>
          <w:kern w:val="2"/>
          <w:sz w:val="32"/>
          <w:szCs w:val="32"/>
          <w:lang w:bidi="ar-SA"/>
        </w:rPr>
        <w:t>米时，层数应按自然层数计</w:t>
      </w:r>
      <w:r>
        <w:rPr>
          <w:rFonts w:hint="eastAsia" w:ascii="仿宋_GB2312" w:hAnsi="Times New Roman" w:eastAsia="仿宋_GB2312" w:cs="仿宋_GB2312"/>
          <w:color w:val="000000"/>
          <w:kern w:val="2"/>
          <w:sz w:val="32"/>
          <w:szCs w:val="32"/>
          <w:lang w:eastAsia="zh-CN" w:bidi="ar-SA"/>
        </w:rPr>
        <w:t>，并</w:t>
      </w:r>
      <w:r>
        <w:rPr>
          <w:rFonts w:hint="eastAsia" w:ascii="仿宋_GB2312" w:hAnsi="Times New Roman" w:eastAsia="仿宋_GB2312" w:cs="仿宋_GB2312"/>
          <w:color w:val="000000"/>
          <w:kern w:val="2"/>
          <w:sz w:val="32"/>
          <w:szCs w:val="32"/>
          <w:lang w:bidi="ar-SA"/>
        </w:rPr>
        <w:t>计算建筑面积。</w:t>
      </w:r>
      <w:r>
        <w:rPr>
          <w:rFonts w:hint="eastAsia" w:ascii="仿宋_GB2312" w:hAnsi="Times New Roman" w:eastAsia="仿宋_GB2312" w:cs="仿宋_GB2312"/>
          <w:color w:val="000000"/>
          <w:kern w:val="2"/>
          <w:sz w:val="32"/>
          <w:szCs w:val="32"/>
          <w:lang w:bidi="ar-SA"/>
        </w:rPr>
        <w:br w:type="textWrapping"/>
      </w:r>
      <w:r>
        <w:rPr>
          <w:rFonts w:hint="eastAsia" w:ascii="仿宋_GB2312" w:hAnsi="Times New Roman" w:eastAsia="仿宋_GB2312" w:cs="仿宋_GB2312"/>
          <w:color w:val="000000"/>
          <w:kern w:val="2"/>
          <w:sz w:val="32"/>
          <w:szCs w:val="32"/>
          <w:lang w:bidi="ar-SA"/>
        </w:rPr>
        <w:t xml:space="preserve">    </w:t>
      </w:r>
      <w:r>
        <w:rPr>
          <w:rFonts w:hint="eastAsia" w:ascii="仿宋_GB2312" w:hAnsi="Times New Roman" w:eastAsia="仿宋_GB2312" w:cs="仿宋_GB2312"/>
          <w:color w:val="000000"/>
          <w:kern w:val="2"/>
          <w:sz w:val="32"/>
          <w:szCs w:val="32"/>
          <w:u w:val="none"/>
          <w:lang w:bidi="ar-SA"/>
        </w:rPr>
        <w:t>（2）</w:t>
      </w:r>
      <w:r>
        <w:rPr>
          <w:rFonts w:hint="eastAsia" w:ascii="仿宋_GB2312" w:hAnsi="Times New Roman" w:eastAsia="仿宋_GB2312" w:cs="仿宋_GB2312"/>
          <w:color w:val="000000"/>
          <w:kern w:val="2"/>
          <w:sz w:val="32"/>
          <w:szCs w:val="32"/>
          <w:u w:val="none"/>
          <w:lang w:eastAsia="zh-CN" w:bidi="ar-SA"/>
        </w:rPr>
        <w:t>居住建筑层高大于3.6米、小于或者等于5.8米（即3.6米+2.2米）的，其计容建筑面积按照该层水平投影面积的2倍计算；层高大于5.8米、小于或者等于8米（即5.8米+2.2米）的，其计容建筑面积按照该层水平投影面积的3倍计算；层高大于8米的，以此类推。</w:t>
      </w:r>
    </w:p>
    <w:p>
      <w:pPr>
        <w:spacing w:line="480" w:lineRule="exact"/>
        <w:ind w:firstLine="640" w:firstLineChars="200"/>
        <w:rPr>
          <w:rFonts w:hint="eastAsia" w:ascii="仿宋_GB2312" w:hAnsi="Times New Roman" w:eastAsia="仿宋_GB2312" w:cs="仿宋_GB2312"/>
          <w:color w:val="000000"/>
          <w:sz w:val="32"/>
          <w:szCs w:val="32"/>
          <w:lang w:val="en-US" w:eastAsia="zh-CN" w:bidi="ar-SA"/>
        </w:rPr>
      </w:pPr>
      <w:r>
        <w:rPr>
          <w:rFonts w:hint="eastAsia" w:ascii="仿宋_GB2312" w:hAnsi="Times New Roman" w:eastAsia="仿宋_GB2312" w:cs="仿宋_GB2312"/>
          <w:color w:val="000000"/>
          <w:kern w:val="2"/>
          <w:sz w:val="32"/>
          <w:szCs w:val="32"/>
          <w:lang w:bidi="ar-SA"/>
        </w:rPr>
        <w:t>复式居住建筑，其起居室、餐厅的通高部分面积不超过该自然层建筑面积的25%且小于或者等于</w:t>
      </w:r>
      <w:r>
        <w:rPr>
          <w:rFonts w:hint="eastAsia" w:ascii="仿宋_GB2312" w:hAnsi="Times New Roman" w:eastAsia="仿宋_GB2312" w:cs="仿宋_GB2312"/>
          <w:color w:val="000000"/>
          <w:kern w:val="2"/>
          <w:sz w:val="32"/>
          <w:szCs w:val="32"/>
          <w:lang w:val="en-US" w:eastAsia="zh-CN" w:bidi="ar-SA"/>
        </w:rPr>
        <w:t>7.2</w:t>
      </w:r>
      <w:r>
        <w:rPr>
          <w:rFonts w:hint="eastAsia" w:ascii="仿宋_GB2312" w:hAnsi="Times New Roman" w:eastAsia="仿宋_GB2312" w:cs="仿宋_GB2312"/>
          <w:color w:val="000000"/>
          <w:kern w:val="2"/>
          <w:sz w:val="32"/>
          <w:szCs w:val="32"/>
          <w:lang w:bidi="ar-SA"/>
        </w:rPr>
        <w:t>米的，该通高部分的计容建筑面积按照该层水平投影面积的1倍计算；通高部分超过该自然层建筑面积的25%或者大于</w:t>
      </w:r>
      <w:r>
        <w:rPr>
          <w:rFonts w:hint="eastAsia" w:ascii="仿宋_GB2312" w:hAnsi="Times New Roman" w:eastAsia="仿宋_GB2312" w:cs="仿宋_GB2312"/>
          <w:color w:val="000000"/>
          <w:kern w:val="2"/>
          <w:sz w:val="32"/>
          <w:szCs w:val="32"/>
          <w:lang w:val="en-US" w:eastAsia="zh-CN" w:bidi="ar-SA"/>
        </w:rPr>
        <w:t>7.2</w:t>
      </w:r>
      <w:r>
        <w:rPr>
          <w:rFonts w:hint="eastAsia" w:ascii="仿宋_GB2312" w:hAnsi="Times New Roman" w:eastAsia="仿宋_GB2312" w:cs="仿宋_GB2312"/>
          <w:color w:val="000000"/>
          <w:kern w:val="2"/>
          <w:sz w:val="32"/>
          <w:szCs w:val="32"/>
          <w:lang w:bidi="ar-SA"/>
        </w:rPr>
        <w:t>米的，按照本条第（2）款的规则计算。</w:t>
      </w:r>
    </w:p>
    <w:p>
      <w:pPr>
        <w:tabs>
          <w:tab w:val="left" w:pos="0"/>
        </w:tabs>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3</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商业建筑（含各类配套服务建筑）按照单元式划分，层高大于6米、小于或者等于8.2（即6+2.2）米的，不论层内是否设有夹层，其计容建筑面积按照该层水平投影面积的2倍计算；层高大于8.2米、小于或者等于10.4（即8.2+2.2）米的，不论层内是否设有夹层，其计容建筑面积按照该层水平投影面积的3倍计算；层高大于10.4米的，以此类推。</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4</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办公建筑、酒店建筑层高大于4.5米、小于或者等于6.7（即4.5+2.2）米的，不论其层内是否设有夹层，其计容建筑面积按照该层水平投影面积的2倍计算；层高大于6.7米、小于或者等于8.9（即6.7+2.2）米的，不论其层内是否设有夹层，其计容建筑面积按照该层水平投影面积的3倍计算；层高大于8.9米的，以此类推。</w:t>
      </w:r>
    </w:p>
    <w:p>
      <w:pPr>
        <w:spacing w:line="480" w:lineRule="exact"/>
        <w:ind w:firstLine="640" w:firstLineChars="200"/>
        <w:rPr>
          <w:rFonts w:hint="eastAsia" w:ascii="仿宋_GB2312" w:hAnsi="Times New Roman" w:eastAsia="仿宋_GB2312" w:cs="仿宋_GB2312"/>
          <w:color w:val="000000"/>
          <w:kern w:val="2"/>
          <w:sz w:val="32"/>
          <w:szCs w:val="32"/>
          <w:lang w:val="en-US" w:eastAsia="zh-CN" w:bidi="ar-SA"/>
        </w:rPr>
      </w:pPr>
      <w:r>
        <w:rPr>
          <w:rFonts w:hint="eastAsia" w:ascii="仿宋_GB2312" w:hAnsi="Times New Roman" w:eastAsia="仿宋_GB2312" w:cs="仿宋_GB2312"/>
          <w:color w:val="000000"/>
          <w:kern w:val="2"/>
          <w:sz w:val="32"/>
          <w:szCs w:val="32"/>
          <w:lang w:bidi="ar-SA"/>
        </w:rPr>
        <w:t>5</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建筑公共部分的门厅、大堂、中庭</w:t>
      </w:r>
      <w:r>
        <w:rPr>
          <w:rFonts w:hint="eastAsia" w:ascii="仿宋_GB2312" w:hAnsi="Times New Roman" w:eastAsia="仿宋_GB2312" w:cs="仿宋_GB2312"/>
          <w:color w:val="000000"/>
          <w:kern w:val="2"/>
          <w:sz w:val="32"/>
          <w:szCs w:val="32"/>
          <w:lang w:eastAsia="zh-CN" w:bidi="ar-SA"/>
        </w:rPr>
        <w:t>和</w:t>
      </w:r>
      <w:r>
        <w:rPr>
          <w:rFonts w:hint="eastAsia" w:ascii="仿宋_GB2312" w:hAnsi="Times New Roman" w:eastAsia="仿宋_GB2312" w:cs="仿宋_GB2312"/>
          <w:color w:val="000000"/>
          <w:kern w:val="2"/>
          <w:sz w:val="32"/>
          <w:szCs w:val="32"/>
          <w:lang w:bidi="ar-SA"/>
        </w:rPr>
        <w:t>有特殊功能需要的建筑</w:t>
      </w:r>
      <w:r>
        <w:rPr>
          <w:rFonts w:hint="eastAsia" w:ascii="仿宋_GB2312" w:hAnsi="Times New Roman" w:eastAsia="仿宋_GB2312" w:cs="仿宋_GB2312"/>
          <w:color w:val="000000"/>
          <w:kern w:val="2"/>
          <w:sz w:val="32"/>
          <w:szCs w:val="32"/>
          <w:lang w:eastAsia="zh-CN" w:bidi="ar-SA"/>
        </w:rPr>
        <w:t>及工业建筑、体育馆、博物馆和展览馆类建筑不按本规则计算建筑面积，其建筑面积的计算值按照现行《建筑工程建筑面积计算规范》（</w:t>
      </w:r>
      <w:r>
        <w:rPr>
          <w:rFonts w:hint="eastAsia" w:ascii="仿宋_GB2312" w:hAnsi="Times New Roman" w:eastAsia="仿宋_GB2312" w:cs="仿宋_GB2312"/>
          <w:color w:val="000000"/>
          <w:kern w:val="2"/>
          <w:sz w:val="32"/>
          <w:szCs w:val="32"/>
          <w:lang w:val="en-US" w:eastAsia="zh-CN" w:bidi="ar-SA"/>
        </w:rPr>
        <w:t>GB/T50353—2013</w:t>
      </w:r>
      <w:r>
        <w:rPr>
          <w:rFonts w:hint="eastAsia" w:ascii="仿宋_GB2312" w:hAnsi="Times New Roman" w:eastAsia="仿宋_GB2312" w:cs="仿宋_GB2312"/>
          <w:color w:val="000000"/>
          <w:kern w:val="2"/>
          <w:sz w:val="32"/>
          <w:szCs w:val="32"/>
          <w:lang w:eastAsia="zh-CN" w:bidi="ar-SA"/>
        </w:rPr>
        <w:t>）的规定执行。</w:t>
      </w:r>
    </w:p>
    <w:p>
      <w:pPr>
        <w:spacing w:line="480" w:lineRule="exact"/>
        <w:ind w:firstLine="640" w:firstLineChars="200"/>
        <w:rPr>
          <w:rFonts w:hint="eastAsia" w:ascii="仿宋_GB2312" w:hAnsi="Times New Roman" w:eastAsia="仿宋_GB2312" w:cs="仿宋_GB2312"/>
          <w:color w:val="000000"/>
          <w:kern w:val="2"/>
          <w:sz w:val="32"/>
          <w:szCs w:val="32"/>
          <w:u w:val="none"/>
          <w:lang w:eastAsia="zh-CN" w:bidi="ar-SA"/>
        </w:rPr>
      </w:pPr>
      <w:r>
        <w:rPr>
          <w:rFonts w:hint="eastAsia" w:ascii="仿宋_GB2312" w:hAnsi="Times New Roman" w:eastAsia="仿宋_GB2312" w:cs="仿宋_GB2312"/>
          <w:color w:val="000000"/>
          <w:kern w:val="2"/>
          <w:sz w:val="32"/>
          <w:szCs w:val="32"/>
          <w:u w:val="none"/>
          <w:lang w:eastAsia="zh-CN" w:bidi="ar-SA"/>
        </w:rPr>
        <w:t>6</w:t>
      </w:r>
      <w:r>
        <w:rPr>
          <w:rFonts w:hint="eastAsia" w:ascii="仿宋_GB2312" w:hAnsi="Times New Roman" w:eastAsia="仿宋_GB2312" w:cs="仿宋_GB2312"/>
          <w:color w:val="000000"/>
          <w:kern w:val="2"/>
          <w:sz w:val="32"/>
          <w:szCs w:val="32"/>
          <w:u w:val="none"/>
          <w:lang w:val="en-US" w:eastAsia="zh-CN" w:bidi="ar-SA"/>
        </w:rPr>
        <w:t>.</w:t>
      </w:r>
      <w:r>
        <w:rPr>
          <w:rFonts w:hint="eastAsia" w:ascii="仿宋_GB2312" w:hAnsi="Times New Roman" w:eastAsia="仿宋_GB2312" w:cs="仿宋_GB2312"/>
          <w:color w:val="000000"/>
          <w:kern w:val="2"/>
          <w:sz w:val="32"/>
          <w:szCs w:val="32"/>
          <w:u w:val="none"/>
          <w:lang w:eastAsia="zh-CN" w:bidi="ar-SA"/>
        </w:rPr>
        <w:t>建筑首层架空部分，仅用于绿化、公共休闲活动空间、公共通道等非经营性用途的，其面积不计入计容建筑面积，但应计入建筑总面积。</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7</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u w:val="none"/>
          <w:lang w:val="en-US" w:eastAsia="zh-CN" w:bidi="ar-SA"/>
        </w:rPr>
        <w:t>地下建筑面积可不计入计容建筑面积，但应计入建筑总面积。</w:t>
      </w:r>
    </w:p>
    <w:p>
      <w:pPr>
        <w:spacing w:line="480" w:lineRule="exact"/>
        <w:ind w:firstLine="640" w:firstLineChars="200"/>
        <w:rPr>
          <w:rFonts w:hint="eastAsia" w:ascii="仿宋_GB2312" w:hAnsi="Times New Roman" w:eastAsia="仿宋_GB2312" w:cs="仿宋_GB2312"/>
          <w:color w:val="000000"/>
          <w:kern w:val="2"/>
          <w:sz w:val="32"/>
          <w:szCs w:val="32"/>
          <w:u w:val="none"/>
          <w:lang w:eastAsia="zh-CN" w:bidi="ar-SA"/>
        </w:rPr>
      </w:pPr>
      <w:r>
        <w:rPr>
          <w:rFonts w:hint="eastAsia" w:ascii="仿宋_GB2312" w:hAnsi="Times New Roman" w:eastAsia="仿宋_GB2312" w:cs="仿宋_GB2312"/>
          <w:color w:val="000000"/>
          <w:kern w:val="2"/>
          <w:sz w:val="32"/>
          <w:szCs w:val="32"/>
          <w:lang w:bidi="ar-SA"/>
        </w:rPr>
        <w:t>8</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u w:val="none"/>
          <w:lang w:bidi="ar-SA"/>
        </w:rPr>
        <w:t>阳台</w:t>
      </w:r>
      <w:r>
        <w:rPr>
          <w:rFonts w:hint="eastAsia" w:ascii="仿宋_GB2312" w:hAnsi="Times New Roman" w:eastAsia="仿宋_GB2312" w:cs="仿宋_GB2312"/>
          <w:color w:val="000000"/>
          <w:kern w:val="2"/>
          <w:sz w:val="32"/>
          <w:szCs w:val="32"/>
          <w:u w:val="none"/>
          <w:lang w:eastAsia="zh-CN" w:bidi="ar-SA"/>
        </w:rPr>
        <w:t>建筑</w:t>
      </w:r>
      <w:r>
        <w:rPr>
          <w:rFonts w:hint="eastAsia" w:ascii="仿宋_GB2312" w:hAnsi="Times New Roman" w:eastAsia="仿宋_GB2312" w:cs="仿宋_GB2312"/>
          <w:color w:val="000000"/>
          <w:kern w:val="2"/>
          <w:sz w:val="32"/>
          <w:szCs w:val="32"/>
          <w:u w:val="none"/>
          <w:lang w:bidi="ar-SA"/>
        </w:rPr>
        <w:t>面积计算应参照国家现行建筑面积计算规范执行</w:t>
      </w:r>
      <w:r>
        <w:rPr>
          <w:rFonts w:hint="eastAsia" w:ascii="仿宋_GB2312" w:hAnsi="Times New Roman" w:eastAsia="仿宋_GB2312" w:cs="仿宋_GB2312"/>
          <w:color w:val="000000"/>
          <w:kern w:val="2"/>
          <w:sz w:val="32"/>
          <w:szCs w:val="32"/>
          <w:u w:val="none"/>
          <w:lang w:eastAsia="zh-CN" w:bidi="ar-SA"/>
        </w:rPr>
        <w:t>，其计容面积应按以下规定执行：</w:t>
      </w:r>
    </w:p>
    <w:p>
      <w:pPr>
        <w:spacing w:line="480" w:lineRule="exact"/>
        <w:ind w:firstLine="640" w:firstLineChars="200"/>
        <w:rPr>
          <w:rFonts w:hint="eastAsia" w:ascii="仿宋_GB2312" w:hAnsi="Times New Roman" w:eastAsia="仿宋_GB2312" w:cs="仿宋_GB2312"/>
          <w:color w:val="000000"/>
          <w:sz w:val="32"/>
          <w:szCs w:val="32"/>
          <w:u w:val="none"/>
          <w:lang w:eastAsia="zh-CN" w:bidi="ar-SA"/>
        </w:rPr>
      </w:pPr>
      <w:r>
        <w:rPr>
          <w:rFonts w:hint="eastAsia" w:ascii="仿宋_GB2312" w:hAnsi="Times New Roman" w:eastAsia="仿宋_GB2312" w:cs="仿宋_GB2312"/>
          <w:color w:val="000000"/>
          <w:kern w:val="2"/>
          <w:sz w:val="32"/>
          <w:szCs w:val="32"/>
          <w:u w:val="none"/>
          <w:lang w:bidi="ar-SA"/>
        </w:rPr>
        <w:t>（1）</w:t>
      </w:r>
      <w:r>
        <w:rPr>
          <w:rFonts w:hint="eastAsia" w:ascii="仿宋_GB2312" w:hAnsi="Times New Roman" w:eastAsia="仿宋_GB2312" w:cs="仿宋_GB2312"/>
          <w:color w:val="000000"/>
          <w:kern w:val="2"/>
          <w:sz w:val="32"/>
          <w:szCs w:val="32"/>
          <w:u w:val="none"/>
          <w:lang w:eastAsia="zh-CN" w:bidi="ar-SA"/>
        </w:rPr>
        <w:t>阳台水平投影面积大于该层水平投影面积20%的，超出部分应按其水平投影面积纳入容积率计算，</w:t>
      </w:r>
      <w:r>
        <w:rPr>
          <w:rFonts w:hint="eastAsia" w:ascii="仿宋_GB2312" w:hAnsi="Times New Roman" w:eastAsia="仿宋_GB2312" w:cs="仿宋_GB2312"/>
          <w:color w:val="000000"/>
          <w:kern w:val="2"/>
          <w:sz w:val="32"/>
          <w:szCs w:val="32"/>
          <w:u w:val="none"/>
          <w:lang w:val="en-US" w:eastAsia="zh-CN" w:bidi="ar-SA"/>
        </w:rPr>
        <w:t>未超出部分均按一半计算计容面积。</w:t>
      </w:r>
    </w:p>
    <w:p>
      <w:pPr>
        <w:spacing w:line="480" w:lineRule="exact"/>
        <w:ind w:firstLine="640" w:firstLineChars="200"/>
        <w:rPr>
          <w:rFonts w:hint="eastAsia" w:ascii="仿宋_GB2312" w:hAnsi="Times New Roman" w:eastAsia="仿宋_GB2312" w:cs="仿宋_GB2312"/>
          <w:color w:val="000000"/>
          <w:kern w:val="2"/>
          <w:sz w:val="32"/>
          <w:szCs w:val="32"/>
          <w:u w:val="none"/>
          <w:lang w:val="en-US" w:eastAsia="zh-CN" w:bidi="ar-SA"/>
        </w:rPr>
      </w:pPr>
      <w:r>
        <w:rPr>
          <w:rFonts w:hint="eastAsia" w:ascii="仿宋_GB2312" w:hAnsi="Times New Roman" w:eastAsia="仿宋_GB2312" w:cs="仿宋_GB2312"/>
          <w:color w:val="000000"/>
          <w:kern w:val="2"/>
          <w:sz w:val="32"/>
          <w:szCs w:val="32"/>
          <w:u w:val="none"/>
          <w:lang w:bidi="ar-SA"/>
        </w:rPr>
        <w:t>（2）</w:t>
      </w:r>
      <w:r>
        <w:rPr>
          <w:rFonts w:hint="eastAsia" w:ascii="仿宋_GB2312" w:hAnsi="Times New Roman" w:eastAsia="仿宋_GB2312" w:cs="仿宋_GB2312"/>
          <w:color w:val="000000"/>
          <w:kern w:val="2"/>
          <w:sz w:val="32"/>
          <w:szCs w:val="32"/>
          <w:u w:val="none"/>
          <w:lang w:eastAsia="zh-CN" w:bidi="ar-SA"/>
        </w:rPr>
        <w:t>居住建筑主体结构外阳台底板至顶板垂直高度达到或超过两个自然层的不封闭阳台，并在底板至顶板的垂直空间内无水平镂空板、连接横梁、挂墙等结构体时，可视为露台，不计算建筑面积且不纳入容积率计算。</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val="en-US" w:eastAsia="zh-CN" w:bidi="ar-SA"/>
        </w:rPr>
        <w:t>3</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建筑物附属构件（包含但不限于各类形式的构造板、结构板、入户花园</w:t>
      </w:r>
      <w:r>
        <w:rPr>
          <w:rFonts w:hint="eastAsia" w:ascii="仿宋_GB2312" w:hAnsi="Times New Roman" w:eastAsia="仿宋_GB2312" w:cs="仿宋_GB2312"/>
          <w:color w:val="000000"/>
          <w:kern w:val="2"/>
          <w:sz w:val="32"/>
          <w:szCs w:val="32"/>
          <w:lang w:eastAsia="zh-CN" w:bidi="ar-SA"/>
        </w:rPr>
        <w:t>、结构空洞</w:t>
      </w:r>
      <w:r>
        <w:rPr>
          <w:rFonts w:hint="eastAsia" w:ascii="仿宋_GB2312" w:hAnsi="Times New Roman" w:eastAsia="仿宋_GB2312" w:cs="仿宋_GB2312"/>
          <w:color w:val="000000"/>
          <w:kern w:val="2"/>
          <w:sz w:val="32"/>
          <w:szCs w:val="32"/>
          <w:lang w:bidi="ar-SA"/>
        </w:rPr>
        <w:t>等）</w:t>
      </w:r>
      <w:r>
        <w:rPr>
          <w:rFonts w:hint="eastAsia" w:ascii="仿宋_GB2312" w:hAnsi="Times New Roman" w:eastAsia="仿宋_GB2312" w:cs="仿宋_GB2312"/>
          <w:color w:val="000000"/>
          <w:kern w:val="2"/>
          <w:sz w:val="32"/>
          <w:szCs w:val="32"/>
          <w:lang w:eastAsia="zh-CN" w:bidi="ar-SA"/>
        </w:rPr>
        <w:t>、</w:t>
      </w:r>
      <w:r>
        <w:rPr>
          <w:rFonts w:hint="eastAsia" w:ascii="仿宋_GB2312" w:hAnsi="Times New Roman" w:eastAsia="仿宋_GB2312" w:cs="仿宋_GB2312"/>
          <w:color w:val="000000"/>
          <w:kern w:val="2"/>
          <w:sz w:val="32"/>
          <w:szCs w:val="32"/>
          <w:lang w:bidi="ar-SA"/>
        </w:rPr>
        <w:t>主体结构外的空调室外机搁板（进深大于</w:t>
      </w:r>
      <w:r>
        <w:rPr>
          <w:rFonts w:hint="eastAsia" w:ascii="仿宋_GB2312" w:hAnsi="Times New Roman" w:eastAsia="仿宋_GB2312" w:cs="仿宋_GB2312"/>
          <w:color w:val="000000"/>
          <w:kern w:val="2"/>
          <w:sz w:val="32"/>
          <w:szCs w:val="32"/>
          <w:lang w:val="en-US" w:eastAsia="zh-CN" w:bidi="ar-SA"/>
        </w:rPr>
        <w:t>0.8</w:t>
      </w:r>
      <w:r>
        <w:rPr>
          <w:rFonts w:hint="eastAsia" w:ascii="仿宋_GB2312" w:hAnsi="Times New Roman" w:eastAsia="仿宋_GB2312" w:cs="仿宋_GB2312"/>
          <w:color w:val="000000"/>
          <w:kern w:val="2"/>
          <w:sz w:val="32"/>
          <w:szCs w:val="32"/>
          <w:lang w:bidi="ar-SA"/>
        </w:rPr>
        <w:t>米，</w:t>
      </w:r>
      <w:r>
        <w:rPr>
          <w:rFonts w:hint="eastAsia" w:ascii="仿宋_GB2312" w:hAnsi="Times New Roman" w:eastAsia="仿宋_GB2312" w:cs="仿宋_GB2312"/>
          <w:color w:val="000000"/>
          <w:kern w:val="2"/>
          <w:sz w:val="32"/>
          <w:szCs w:val="32"/>
          <w:lang w:eastAsia="zh-CN" w:bidi="ar-SA"/>
        </w:rPr>
        <w:t>或</w:t>
      </w:r>
      <w:r>
        <w:rPr>
          <w:rFonts w:hint="eastAsia" w:ascii="仿宋_GB2312" w:hAnsi="Times New Roman" w:eastAsia="仿宋_GB2312" w:cs="仿宋_GB2312"/>
          <w:color w:val="000000"/>
          <w:kern w:val="2"/>
          <w:sz w:val="32"/>
          <w:szCs w:val="32"/>
          <w:lang w:bidi="ar-SA"/>
        </w:rPr>
        <w:t>长度大于1.8米），均视为阳台，按照本条第一项计算建筑面积，并纳入容积率计算。</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9</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飘窗计算：</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符合下列条件的飘窗，不计入建筑总面积以及计容建筑面积：</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（1）突出外墙面；</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（2）窗台板与室内地坪高差大于0.45米；</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（3）窗台板外边线至建筑外墙面距离小于或者等于0.6米；</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（4）窗台板与室内地坪高差小于或等于0.45米的，窗户净高小于2.1米。</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不符合以上条件的，或者设置在外墙、楼面结构层投影面以内的飘窗，按照窗台板投影面积计入建筑总面积以及计容建筑面积。</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10</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花池计算：</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（1）建筑计算高度小于或者等于2</w:t>
      </w:r>
      <w:r>
        <w:rPr>
          <w:rFonts w:hint="eastAsia" w:ascii="仿宋_GB2312" w:hAnsi="Times New Roman" w:eastAsia="仿宋_GB2312" w:cs="仿宋_GB2312"/>
          <w:color w:val="000000"/>
          <w:kern w:val="2"/>
          <w:sz w:val="32"/>
          <w:szCs w:val="32"/>
          <w:lang w:val="en-US" w:eastAsia="zh-CN" w:bidi="ar-SA"/>
        </w:rPr>
        <w:t>4</w:t>
      </w:r>
      <w:r>
        <w:rPr>
          <w:rFonts w:hint="eastAsia" w:ascii="仿宋_GB2312" w:hAnsi="Times New Roman" w:eastAsia="仿宋_GB2312" w:cs="仿宋_GB2312"/>
          <w:color w:val="000000"/>
          <w:kern w:val="2"/>
          <w:sz w:val="32"/>
          <w:szCs w:val="32"/>
          <w:lang w:bidi="ar-SA"/>
        </w:rPr>
        <w:t>米的住宅建筑在外墙外或者阳台外设置花池时，花池底板高于室内地坪或者阳台地坪0.6米的，花池不计入建筑总面积以及计容建筑面积；花池底板距室内地坪或者阳台地坪小于0.6米的，或者在阳台结构底板内设置花池的，花池按照阳台规定计入建筑总面积以及计容建筑面积。</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（2）建筑计算高度大于2</w:t>
      </w:r>
      <w:r>
        <w:rPr>
          <w:rFonts w:hint="eastAsia" w:ascii="仿宋_GB2312" w:hAnsi="Times New Roman" w:eastAsia="仿宋_GB2312" w:cs="仿宋_GB2312"/>
          <w:color w:val="000000"/>
          <w:kern w:val="2"/>
          <w:sz w:val="32"/>
          <w:szCs w:val="32"/>
          <w:lang w:val="en-US" w:eastAsia="zh-CN" w:bidi="ar-SA"/>
        </w:rPr>
        <w:t>4</w:t>
      </w:r>
      <w:r>
        <w:rPr>
          <w:rFonts w:hint="eastAsia" w:ascii="仿宋_GB2312" w:hAnsi="Times New Roman" w:eastAsia="仿宋_GB2312" w:cs="仿宋_GB2312"/>
          <w:color w:val="000000"/>
          <w:kern w:val="2"/>
          <w:sz w:val="32"/>
          <w:szCs w:val="32"/>
          <w:lang w:bidi="ar-SA"/>
        </w:rPr>
        <w:t>米的住宅建筑在外墙外或者阳台外设置的花池，按照阳台规定计入建筑总面积以及计容建筑面积。</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11</w:t>
      </w:r>
      <w:r>
        <w:rPr>
          <w:rFonts w:hint="eastAsia" w:ascii="仿宋_GB2312" w:hAnsi="Times New Roman" w:eastAsia="仿宋_GB2312" w:cs="仿宋_GB2312"/>
          <w:color w:val="000000"/>
          <w:kern w:val="2"/>
          <w:sz w:val="32"/>
          <w:szCs w:val="32"/>
          <w:lang w:val="en-US" w:eastAsia="zh-CN" w:bidi="ar-SA"/>
        </w:rPr>
        <w:t>.</w:t>
      </w:r>
      <w:r>
        <w:rPr>
          <w:rFonts w:hint="eastAsia" w:ascii="仿宋_GB2312" w:hAnsi="Times New Roman" w:eastAsia="仿宋_GB2312" w:cs="仿宋_GB2312"/>
          <w:color w:val="000000"/>
          <w:kern w:val="2"/>
          <w:sz w:val="32"/>
          <w:szCs w:val="32"/>
          <w:lang w:bidi="ar-SA"/>
        </w:rPr>
        <w:t>住宅建筑的地下采光井（槽）周边，除用作集中车库外，均计入计容建筑面积。</w:t>
      </w:r>
    </w:p>
    <w:p>
      <w:pPr>
        <w:spacing w:line="480" w:lineRule="exact"/>
        <w:ind w:firstLine="640" w:firstLineChars="200"/>
        <w:rPr>
          <w:rFonts w:hint="eastAsia" w:ascii="仿宋_GB2312" w:hAnsi="Times New Roman" w:eastAsia="仿宋_GB2312" w:cs="仿宋_GB2312"/>
          <w:color w:val="000000"/>
          <w:kern w:val="2"/>
          <w:sz w:val="32"/>
          <w:szCs w:val="32"/>
          <w:lang w:bidi="ar-SA"/>
        </w:rPr>
      </w:pPr>
      <w:r>
        <w:rPr>
          <w:rFonts w:hint="eastAsia" w:ascii="仿宋_GB2312" w:hAnsi="Times New Roman" w:eastAsia="仿宋_GB2312" w:cs="仿宋_GB2312"/>
          <w:color w:val="000000"/>
          <w:kern w:val="2"/>
          <w:sz w:val="32"/>
          <w:szCs w:val="32"/>
          <w:lang w:bidi="ar-SA"/>
        </w:rPr>
        <w:t>1</w:t>
      </w:r>
      <w:r>
        <w:rPr>
          <w:rFonts w:hint="eastAsia" w:ascii="仿宋_GB2312" w:hAnsi="Times New Roman" w:eastAsia="仿宋_GB2312" w:cs="仿宋_GB2312"/>
          <w:color w:val="000000"/>
          <w:kern w:val="2"/>
          <w:sz w:val="32"/>
          <w:szCs w:val="32"/>
          <w:lang w:val="en-US" w:eastAsia="zh-CN" w:bidi="ar-SA"/>
        </w:rPr>
        <w:t>2.</w:t>
      </w:r>
      <w:r>
        <w:rPr>
          <w:rFonts w:hint="eastAsia" w:ascii="仿宋_GB2312" w:hAnsi="Times New Roman" w:eastAsia="仿宋_GB2312" w:cs="仿宋_GB2312"/>
          <w:color w:val="000000"/>
          <w:kern w:val="2"/>
          <w:sz w:val="32"/>
          <w:szCs w:val="32"/>
          <w:lang w:bidi="ar-SA"/>
        </w:rPr>
        <w:t>超高层建筑避难层（非避难空间按常规计算），其面积不计入计容建筑面积，但应计入建筑总面积。</w:t>
      </w:r>
    </w:p>
    <w:p>
      <w:pPr>
        <w:spacing w:line="480" w:lineRule="exact"/>
        <w:ind w:firstLine="560" w:firstLineChars="200"/>
        <w:rPr>
          <w:rFonts w:hint="eastAsia" w:ascii="仿宋" w:hAnsi="Times New Roman" w:eastAsia="仿宋" w:cs="仿宋"/>
          <w:color w:val="000000"/>
          <w:kern w:val="2"/>
          <w:sz w:val="28"/>
          <w:szCs w:val="28"/>
          <w:lang w:bidi="ar-SA"/>
        </w:rPr>
      </w:pPr>
    </w:p>
    <w:p>
      <w:pPr>
        <w:spacing w:line="480" w:lineRule="exact"/>
        <w:ind w:firstLine="560" w:firstLineChars="200"/>
        <w:rPr>
          <w:rFonts w:hint="eastAsia" w:ascii="仿宋" w:eastAsia="仿宋" w:cs="仿宋"/>
          <w:color w:val="000000"/>
          <w:kern w:val="2"/>
          <w:sz w:val="28"/>
          <w:szCs w:val="28"/>
          <w:lang w:bidi="ar-SA"/>
        </w:rPr>
        <w:sectPr>
          <w:pgSz w:w="11906" w:h="16838"/>
          <w:pgMar w:top="1440" w:right="1800" w:bottom="1440" w:left="1800" w:header="851" w:footer="992" w:gutter="0"/>
          <w:pgNumType w:fmt="decimal"/>
          <w:cols w:space="720" w:num="1"/>
          <w:docGrid w:type="lines" w:linePitch="312" w:charSpace="0"/>
        </w:sectPr>
      </w:pPr>
    </w:p>
    <w:p>
      <w:pPr>
        <w:spacing w:line="480" w:lineRule="exact"/>
        <w:jc w:val="left"/>
        <w:rPr>
          <w:rFonts w:hint="eastAsia" w:ascii="黑体" w:hAnsi="黑体" w:eastAsia="黑体" w:cs="黑体"/>
          <w:bCs/>
          <w:color w:val="000000"/>
          <w:sz w:val="32"/>
          <w:szCs w:val="32"/>
          <w:lang w:bidi="ar-SA"/>
        </w:rPr>
      </w:pPr>
      <w:r>
        <w:rPr>
          <w:rFonts w:hint="eastAsia" w:ascii="黑体" w:hAnsi="黑体" w:eastAsia="黑体" w:cs="黑体"/>
          <w:bCs/>
          <w:color w:val="000000"/>
          <w:sz w:val="32"/>
          <w:szCs w:val="32"/>
          <w:lang w:bidi="ar-SA"/>
        </w:rPr>
        <w:t>附录三  附表</w:t>
      </w:r>
    </w:p>
    <w:p>
      <w:pPr>
        <w:widowControl/>
        <w:spacing w:line="480" w:lineRule="exact"/>
        <w:jc w:val="center"/>
        <w:rPr>
          <w:rFonts w:hint="eastAsia" w:ascii="仿宋_GB2312" w:hAnsi="仿宋_GB2312" w:eastAsia="仿宋_GB2312" w:cs="仿宋_GB2312"/>
          <w:b/>
          <w:bCs/>
          <w:color w:val="000000"/>
          <w:sz w:val="32"/>
          <w:szCs w:val="32"/>
          <w:lang w:bidi="ar-SA"/>
        </w:rPr>
      </w:pPr>
      <w:r>
        <w:rPr>
          <w:rFonts w:ascii="Times New Roman" w:hAnsi="Times New Roman" w:eastAsia="方正仿宋" w:cs="Times New Roman"/>
          <w:sz w:val="18"/>
          <w:szCs w:val="20"/>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301625</wp:posOffset>
                </wp:positionV>
                <wp:extent cx="708660" cy="518160"/>
                <wp:effectExtent l="2540" t="3810" r="5080" b="11430"/>
                <wp:wrapNone/>
                <wp:docPr id="3" name="直线 3"/>
                <wp:cNvGraphicFramePr/>
                <a:graphic xmlns:a="http://schemas.openxmlformats.org/drawingml/2006/main">
                  <a:graphicData uri="http://schemas.microsoft.com/office/word/2010/wordprocessingShape">
                    <wps:wsp>
                      <wps:cNvCnPr/>
                      <wps:spPr>
                        <a:xfrm>
                          <a:off x="867410" y="1557020"/>
                          <a:ext cx="708660" cy="518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7pt;margin-top:23.75pt;height:40.8pt;width:55.8pt;z-index:251660288;mso-width-relative:page;mso-height-relative:page;" filled="f" stroked="t" coordsize="21600,21600" o:gfxdata="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u2hnzYAAAACgEAAA8AAAAAAAAAAQAgAAAAIgAAAGRycy9kb3ducmV2LnhtbFBL&#10;AQIUABQAAAAIAIdO4kAfu58e9gEAAOoDAAAOAAAAAAAAAAEAIAAAACcBAABkcnMvZTJvRG9jLnht&#10;bFBLBQYAAAAABgAGAFkBAACPBQAAAAA=&#10;">
                <v:fill on="f" focussize="0,0"/>
                <v:stroke color="#000000" joinstyle="round"/>
                <v:imagedata o:title=""/>
                <o:lock v:ext="edit" aspectratio="f"/>
              </v:line>
            </w:pict>
          </mc:Fallback>
        </mc:AlternateContent>
      </w:r>
      <w:r>
        <w:rPr>
          <w:rFonts w:hint="eastAsia" w:ascii="仿宋_GB2312" w:hAnsi="仿宋_GB2312" w:eastAsia="仿宋_GB2312" w:cs="仿宋_GB2312"/>
          <w:b/>
          <w:bCs/>
          <w:color w:val="000000"/>
          <w:sz w:val="32"/>
          <w:szCs w:val="32"/>
          <w:lang w:bidi="ar-SA"/>
        </w:rPr>
        <w:t>附表一  各类用地建设内容适建表</w:t>
      </w:r>
    </w:p>
    <w:tbl>
      <w:tblPr>
        <w:tblStyle w:val="2"/>
        <w:tblW w:w="1438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00"/>
        <w:gridCol w:w="2070"/>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403"/>
        <w:gridCol w:w="550"/>
        <w:gridCol w:w="6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2470" w:type="dxa"/>
            <w:gridSpan w:val="2"/>
            <w:vMerge w:val="restart"/>
            <w:tcBorders>
              <w:tl2br w:val="single" w:color="000000" w:sz="6" w:space="0"/>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用地类别</w:t>
            </w:r>
          </w:p>
          <w:p>
            <w:pPr>
              <w:keepNext w:val="0"/>
              <w:keepLines w:val="0"/>
              <w:pageBreakBefore w:val="0"/>
              <w:widowControl w:val="0"/>
              <w:kinsoku/>
              <w:wordWrap/>
              <w:overflowPunct/>
              <w:topLinePunct w:val="0"/>
              <w:autoSpaceDE w:val="0"/>
              <w:autoSpaceDN w:val="0"/>
              <w:bidi w:val="0"/>
              <w:adjustRightInd w:val="0"/>
              <w:snapToGrid/>
              <w:spacing w:line="200" w:lineRule="exact"/>
              <w:ind w:firstLine="176" w:firstLineChars="98"/>
              <w:jc w:val="center"/>
              <w:textAlignment w:val="auto"/>
              <w:rPr>
                <w:rFonts w:hint="eastAsia" w:ascii="仿宋" w:hAnsi="Times New Roman" w:eastAsia="仿宋" w:cs="仿宋"/>
                <w:color w:val="000000"/>
                <w:sz w:val="18"/>
                <w:szCs w:val="18"/>
                <w:lang w:bidi="ar-SA"/>
              </w:rPr>
            </w:pPr>
          </w:p>
          <w:p>
            <w:pPr>
              <w:keepNext w:val="0"/>
              <w:keepLines w:val="0"/>
              <w:pageBreakBefore w:val="0"/>
              <w:widowControl w:val="0"/>
              <w:kinsoku/>
              <w:wordWrap/>
              <w:overflowPunct/>
              <w:topLinePunct w:val="0"/>
              <w:autoSpaceDE w:val="0"/>
              <w:autoSpaceDN w:val="0"/>
              <w:bidi w:val="0"/>
              <w:adjustRightInd w:val="0"/>
              <w:snapToGrid/>
              <w:spacing w:line="200" w:lineRule="exact"/>
              <w:ind w:firstLine="536" w:firstLineChars="298"/>
              <w:jc w:val="both"/>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相容项目</w:t>
            </w:r>
          </w:p>
          <w:p>
            <w:pPr>
              <w:keepNext w:val="0"/>
              <w:keepLines w:val="0"/>
              <w:pageBreakBefore w:val="0"/>
              <w:widowControl w:val="0"/>
              <w:kinsoku/>
              <w:wordWrap/>
              <w:overflowPunct/>
              <w:topLinePunct w:val="0"/>
              <w:autoSpaceDE w:val="0"/>
              <w:autoSpaceDN w:val="0"/>
              <w:bidi w:val="0"/>
              <w:adjustRightInd w:val="0"/>
              <w:snapToGrid/>
              <w:spacing w:line="200" w:lineRule="exact"/>
              <w:ind w:firstLine="0" w:firstLineChars="0"/>
              <w:jc w:val="both"/>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兼容建筑</w:t>
            </w:r>
          </w:p>
        </w:tc>
        <w:tc>
          <w:tcPr>
            <w:tcW w:w="1188" w:type="dxa"/>
            <w:gridSpan w:val="3"/>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居住用地</w:t>
            </w:r>
          </w:p>
        </w:tc>
        <w:tc>
          <w:tcPr>
            <w:tcW w:w="2376" w:type="dxa"/>
            <w:gridSpan w:val="6"/>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iCs/>
                <w:color w:val="000000"/>
                <w:sz w:val="18"/>
                <w:szCs w:val="18"/>
                <w:lang w:bidi="ar-SA"/>
              </w:rPr>
            </w:pPr>
            <w:r>
              <w:rPr>
                <w:rFonts w:hint="eastAsia" w:ascii="仿宋" w:hAnsi="Times New Roman" w:eastAsia="仿宋" w:cs="仿宋"/>
                <w:color w:val="000000"/>
                <w:sz w:val="18"/>
                <w:szCs w:val="18"/>
                <w:lang w:bidi="ar-SA"/>
              </w:rPr>
              <w:t>公共管理与公共服务设施</w:t>
            </w:r>
          </w:p>
        </w:tc>
        <w:tc>
          <w:tcPr>
            <w:tcW w:w="1584" w:type="dxa"/>
            <w:gridSpan w:val="4"/>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商业服务业设施</w:t>
            </w:r>
          </w:p>
        </w:tc>
        <w:tc>
          <w:tcPr>
            <w:tcW w:w="1188" w:type="dxa"/>
            <w:gridSpan w:val="3"/>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iCs/>
                <w:color w:val="000000"/>
                <w:sz w:val="18"/>
                <w:szCs w:val="18"/>
                <w:lang w:bidi="ar-SA"/>
              </w:rPr>
            </w:pPr>
            <w:r>
              <w:rPr>
                <w:rFonts w:hint="eastAsia" w:ascii="仿宋" w:hAnsi="Times New Roman" w:eastAsia="仿宋" w:cs="仿宋"/>
                <w:color w:val="000000"/>
                <w:sz w:val="18"/>
                <w:szCs w:val="18"/>
                <w:lang w:bidi="ar-SA"/>
              </w:rPr>
              <w:t>工业用地</w:t>
            </w:r>
          </w:p>
        </w:tc>
        <w:tc>
          <w:tcPr>
            <w:tcW w:w="1188" w:type="dxa"/>
            <w:gridSpan w:val="3"/>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物流仓储</w:t>
            </w:r>
          </w:p>
        </w:tc>
        <w:tc>
          <w:tcPr>
            <w:tcW w:w="1584" w:type="dxa"/>
            <w:gridSpan w:val="4"/>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iCs/>
                <w:color w:val="000000"/>
                <w:sz w:val="18"/>
                <w:szCs w:val="18"/>
                <w:lang w:bidi="ar-SA"/>
              </w:rPr>
            </w:pPr>
            <w:r>
              <w:rPr>
                <w:rFonts w:hint="eastAsia" w:ascii="仿宋" w:hAnsi="Times New Roman" w:eastAsia="仿宋" w:cs="仿宋"/>
                <w:color w:val="000000"/>
                <w:sz w:val="18"/>
                <w:szCs w:val="18"/>
                <w:lang w:bidi="ar-SA"/>
              </w:rPr>
              <w:t>道路与交通设施</w:t>
            </w:r>
          </w:p>
        </w:tc>
        <w:tc>
          <w:tcPr>
            <w:tcW w:w="1188" w:type="dxa"/>
            <w:gridSpan w:val="3"/>
            <w:tcBorders>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公用设施</w:t>
            </w:r>
          </w:p>
        </w:tc>
        <w:tc>
          <w:tcPr>
            <w:tcW w:w="1623" w:type="dxa"/>
            <w:gridSpan w:val="3"/>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i/>
                <w:iCs/>
                <w:color w:val="000000"/>
                <w:sz w:val="18"/>
                <w:szCs w:val="18"/>
                <w:lang w:bidi="ar-SA"/>
              </w:rPr>
            </w:pPr>
            <w:r>
              <w:rPr>
                <w:rFonts w:hint="eastAsia" w:ascii="仿宋" w:hAnsi="Times New Roman" w:eastAsia="仿宋" w:cs="仿宋"/>
                <w:color w:val="000000"/>
                <w:sz w:val="18"/>
                <w:szCs w:val="18"/>
                <w:lang w:bidi="ar-SA"/>
              </w:rPr>
              <w:t>绿地与广场</w:t>
            </w:r>
            <w:r>
              <w:rPr>
                <w:rFonts w:hint="eastAsia" w:ascii="仿宋" w:hAnsi="Times New Roman" w:eastAsia="仿宋" w:cs="仿宋"/>
                <w:i/>
                <w:color w:val="000000"/>
                <w:sz w:val="18"/>
                <w:szCs w:val="18"/>
                <w:lang w:bidi="ar-SA"/>
              </w:rPr>
              <w:t>用地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2470" w:type="dxa"/>
            <w:gridSpan w:val="2"/>
            <w:vMerge w:val="continue"/>
            <w:tcBorders>
              <w:tl2br w:val="nil"/>
              <w:tr2bl w:val="nil"/>
            </w:tcBorders>
            <w:vAlign w:val="center"/>
          </w:tcPr>
          <w:p>
            <w:pPr>
              <w:rPr>
                <w:rFonts w:ascii="Times New Roman" w:hAnsi="Times New Roman" w:eastAsia="方正仿宋" w:cs="Times New Roman"/>
                <w:sz w:val="32"/>
                <w:szCs w:val="20"/>
              </w:rPr>
            </w:pP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R1</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R2</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R3</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A1</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A2</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A3</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A4</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A5</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A6</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B1</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B2</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B3</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B4</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M1</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M2</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M3</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W1</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W2</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W3</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S1</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S2</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S3</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S4</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U1</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U2</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U3</w:t>
            </w:r>
          </w:p>
        </w:tc>
        <w:tc>
          <w:tcPr>
            <w:tcW w:w="403"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G1</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5"/>
                <w:szCs w:val="15"/>
                <w:lang w:bidi="ar-SA"/>
              </w:rPr>
            </w:pPr>
            <w:r>
              <w:rPr>
                <w:rFonts w:hint="eastAsia" w:ascii="仿宋" w:hAnsi="Times New Roman" w:eastAsia="仿宋" w:cs="仿宋"/>
                <w:color w:val="000000"/>
                <w:sz w:val="15"/>
                <w:szCs w:val="15"/>
                <w:lang w:bidi="ar-SA"/>
              </w:rPr>
              <w:t>G2</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i/>
                <w:color w:val="000000"/>
                <w:sz w:val="15"/>
                <w:szCs w:val="15"/>
                <w:lang w:bidi="ar-SA"/>
              </w:rPr>
            </w:pPr>
            <w:r>
              <w:rPr>
                <w:rFonts w:hint="eastAsia" w:ascii="仿宋" w:hAnsi="Times New Roman" w:eastAsia="仿宋" w:cs="仿宋"/>
                <w:i/>
                <w:color w:val="000000"/>
                <w:sz w:val="15"/>
                <w:szCs w:val="15"/>
                <w:lang w:bidi="ar-SA"/>
              </w:rPr>
              <w:t>G3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底层居住建筑</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2</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多层居住建筑</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3</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高层居住建筑</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4</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教育设施</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5</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商业商务设施</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6</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文化设施</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7</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医疗设施</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8</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体育设施</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9</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市场</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10</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办公建筑</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11</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酒店、旅馆</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12</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商住综合楼</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13</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5"/>
                <w:szCs w:val="15"/>
                <w:lang w:bidi="ar-SA"/>
              </w:rPr>
              <w:t>对环境基本无干扰、污染的工厂</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14</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对环境有干扰、污染的工厂</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15</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普通储运仓库</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16</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危险品仓库</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17</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社会停车场</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18</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加油站</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rPr>
        <w:tc>
          <w:tcPr>
            <w:tcW w:w="4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i/>
                <w:iCs/>
                <w:color w:val="000000"/>
                <w:sz w:val="18"/>
                <w:szCs w:val="18"/>
                <w:lang w:bidi="ar-SA"/>
              </w:rPr>
            </w:pPr>
            <w:r>
              <w:rPr>
                <w:rFonts w:hint="eastAsia" w:ascii="仿宋" w:hAnsi="Times New Roman" w:eastAsia="仿宋" w:cs="仿宋"/>
                <w:i w:val="0"/>
                <w:iCs w:val="0"/>
                <w:color w:val="000000"/>
                <w:sz w:val="18"/>
                <w:szCs w:val="18"/>
                <w:lang w:bidi="ar-SA"/>
              </w:rPr>
              <w:t>19</w:t>
            </w:r>
          </w:p>
        </w:tc>
        <w:tc>
          <w:tcPr>
            <w:tcW w:w="20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i/>
                <w:iCs/>
                <w:color w:val="000000"/>
                <w:sz w:val="18"/>
                <w:szCs w:val="18"/>
                <w:lang w:bidi="ar-SA"/>
              </w:rPr>
            </w:pPr>
            <w:r>
              <w:rPr>
                <w:rFonts w:hint="eastAsia" w:ascii="仿宋" w:hAnsi="Times New Roman" w:eastAsia="仿宋" w:cs="仿宋"/>
                <w:color w:val="000000"/>
                <w:sz w:val="18"/>
                <w:szCs w:val="18"/>
                <w:lang w:bidi="ar-SA"/>
              </w:rPr>
              <w:t>中小学、幼儿园</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39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403"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5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c>
          <w:tcPr>
            <w:tcW w:w="6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exact"/>
              <w:jc w:val="center"/>
              <w:textAlignment w:val="auto"/>
              <w:rPr>
                <w:rFonts w:hint="eastAsia" w:ascii="仿宋" w:hAnsi="Times New Roman" w:eastAsia="仿宋" w:cs="仿宋"/>
                <w:color w:val="000000"/>
                <w:sz w:val="18"/>
                <w:szCs w:val="18"/>
                <w:lang w:bidi="ar-SA"/>
              </w:rPr>
            </w:pPr>
            <w:r>
              <w:rPr>
                <w:rFonts w:hint="eastAsia" w:ascii="仿宋" w:hAnsi="Times New Roman" w:eastAsia="仿宋" w:cs="仿宋"/>
                <w:color w:val="000000"/>
                <w:sz w:val="18"/>
                <w:szCs w:val="18"/>
                <w:lang w:bidi="ar-SA"/>
              </w:rPr>
              <w:t>×</w:t>
            </w:r>
          </w:p>
        </w:tc>
      </w:tr>
    </w:tbl>
    <w:p>
      <w:pPr>
        <w:keepNext w:val="0"/>
        <w:keepLines w:val="0"/>
        <w:pageBreakBefore w:val="0"/>
        <w:widowControl w:val="0"/>
        <w:kinsoku/>
        <w:wordWrap/>
        <w:overflowPunct/>
        <w:topLinePunct w:val="0"/>
        <w:autoSpaceDE/>
        <w:autoSpaceDN/>
        <w:bidi w:val="0"/>
        <w:adjustRightInd/>
        <w:snapToGrid/>
        <w:spacing w:line="260" w:lineRule="exact"/>
        <w:ind w:firstLine="240" w:firstLineChars="100"/>
        <w:textAlignment w:val="auto"/>
        <w:rPr>
          <w:rFonts w:hint="eastAsia" w:ascii="仿宋_GB2312" w:hAnsi="仿宋_GB2312" w:eastAsia="仿宋_GB2312" w:cs="仿宋_GB2312"/>
          <w:color w:val="000000"/>
          <w:sz w:val="24"/>
          <w:szCs w:val="24"/>
          <w:lang w:bidi="ar-SA"/>
        </w:rPr>
      </w:pPr>
      <w:r>
        <w:rPr>
          <w:rFonts w:hint="eastAsia" w:ascii="仿宋_GB2312" w:hAnsi="仿宋_GB2312" w:eastAsia="仿宋_GB2312" w:cs="仿宋_GB2312"/>
          <w:color w:val="000000"/>
          <w:sz w:val="24"/>
          <w:szCs w:val="24"/>
          <w:lang w:bidi="ar-SA"/>
        </w:rPr>
        <w:t>注：1.“△ ”适建，“×”不适建；“○”由市</w:t>
      </w:r>
      <w:r>
        <w:rPr>
          <w:rFonts w:hint="eastAsia" w:ascii="仿宋_GB2312" w:hAnsi="仿宋_GB2312" w:eastAsia="仿宋_GB2312" w:cs="仿宋_GB2312"/>
          <w:color w:val="000000"/>
          <w:sz w:val="24"/>
          <w:szCs w:val="24"/>
          <w:lang w:val="en-US" w:eastAsia="zh-CN" w:bidi="ar-SA"/>
        </w:rPr>
        <w:t>自然资源</w:t>
      </w:r>
      <w:r>
        <w:rPr>
          <w:rFonts w:hint="eastAsia" w:ascii="仿宋_GB2312" w:hAnsi="仿宋_GB2312" w:eastAsia="仿宋_GB2312" w:cs="仿宋_GB2312"/>
          <w:color w:val="000000"/>
          <w:sz w:val="24"/>
          <w:szCs w:val="24"/>
          <w:lang w:bidi="ar-SA"/>
        </w:rPr>
        <w:t>行政主管部门根据具体条件和规划要求确定。</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sz w:val="24"/>
          <w:szCs w:val="24"/>
          <w:lang w:bidi="ar-SA"/>
        </w:rPr>
      </w:pPr>
      <w:r>
        <w:rPr>
          <w:rFonts w:hint="eastAsia" w:ascii="仿宋_GB2312" w:hAnsi="仿宋_GB2312" w:eastAsia="仿宋_GB2312" w:cs="仿宋_GB2312"/>
          <w:color w:val="000000"/>
          <w:sz w:val="24"/>
          <w:szCs w:val="24"/>
          <w:lang w:bidi="ar-SA"/>
        </w:rPr>
        <w:t xml:space="preserve">    </w:t>
      </w:r>
      <w:r>
        <w:rPr>
          <w:rFonts w:hint="eastAsia" w:ascii="仿宋_GB2312" w:hAnsi="仿宋_GB2312" w:eastAsia="仿宋_GB2312" w:cs="仿宋_GB2312"/>
          <w:color w:val="000000"/>
          <w:sz w:val="24"/>
          <w:szCs w:val="24"/>
          <w:lang w:val="en-US" w:eastAsia="zh-CN" w:bidi="ar-SA"/>
        </w:rPr>
        <w:t xml:space="preserve">  </w:t>
      </w:r>
      <w:r>
        <w:rPr>
          <w:rFonts w:hint="eastAsia" w:ascii="仿宋_GB2312" w:hAnsi="仿宋_GB2312" w:eastAsia="仿宋_GB2312" w:cs="仿宋_GB2312"/>
          <w:color w:val="000000"/>
          <w:sz w:val="24"/>
          <w:szCs w:val="24"/>
          <w:lang w:bidi="ar-SA"/>
        </w:rPr>
        <w:t>2. 表中未列出的建设项目，应由城市规划管理部门根据对周围环境的影响和基础设施的条件，具体核定。</w:t>
      </w:r>
    </w:p>
    <w:p>
      <w:pPr>
        <w:keepNext w:val="0"/>
        <w:keepLines w:val="0"/>
        <w:pageBreakBefore w:val="0"/>
        <w:widowControl w:val="0"/>
        <w:kinsoku/>
        <w:wordWrap/>
        <w:overflowPunct/>
        <w:topLinePunct w:val="0"/>
        <w:autoSpaceDE/>
        <w:autoSpaceDN/>
        <w:bidi w:val="0"/>
        <w:adjustRightInd/>
        <w:snapToGrid/>
        <w:spacing w:line="260" w:lineRule="exact"/>
        <w:ind w:left="960" w:hanging="960" w:hangingChars="400"/>
        <w:textAlignment w:val="auto"/>
        <w:rPr>
          <w:rFonts w:hint="eastAsia" w:ascii="仿宋_GB2312" w:hAnsi="仿宋_GB2312" w:eastAsia="仿宋_GB2312" w:cs="仿宋_GB2312"/>
          <w:color w:val="000000"/>
          <w:sz w:val="24"/>
          <w:szCs w:val="24"/>
          <w:lang w:bidi="ar-SA"/>
        </w:rPr>
      </w:pPr>
      <w:r>
        <w:rPr>
          <w:rFonts w:hint="eastAsia" w:ascii="仿宋_GB2312" w:hAnsi="仿宋_GB2312" w:eastAsia="仿宋_GB2312" w:cs="仿宋_GB2312"/>
          <w:color w:val="000000"/>
          <w:sz w:val="24"/>
          <w:szCs w:val="24"/>
          <w:lang w:bidi="ar-SA"/>
        </w:rPr>
        <w:t xml:space="preserve">    </w:t>
      </w:r>
      <w:r>
        <w:rPr>
          <w:rFonts w:hint="eastAsia" w:ascii="仿宋_GB2312" w:hAnsi="仿宋_GB2312" w:eastAsia="仿宋_GB2312" w:cs="仿宋_GB2312"/>
          <w:color w:val="000000"/>
          <w:sz w:val="24"/>
          <w:szCs w:val="24"/>
          <w:lang w:val="en-US" w:eastAsia="zh-CN" w:bidi="ar-SA"/>
        </w:rPr>
        <w:t xml:space="preserve">  </w:t>
      </w:r>
      <w:r>
        <w:rPr>
          <w:rFonts w:hint="eastAsia" w:ascii="仿宋_GB2312" w:hAnsi="仿宋_GB2312" w:eastAsia="仿宋_GB2312" w:cs="仿宋_GB2312"/>
          <w:color w:val="000000"/>
          <w:sz w:val="24"/>
          <w:szCs w:val="24"/>
          <w:lang w:bidi="ar-SA"/>
        </w:rPr>
        <w:t>3.当商业商务用地兼容居住时，商业商务计容建筑面积不得﹤总计容建筑面积的70%；当控规中明确表示居住用地兼容商业商务时，居住建筑面积不得＜计容面积的70%；控规中未明确表示时，居住用地一般可兼容部分商业商务用地，兼容的商业商务建筑面积＜计容建筑面积的15%（规划有特殊要求的除外）。</w:t>
      </w:r>
    </w:p>
    <w:p>
      <w:pPr>
        <w:widowControl/>
        <w:jc w:val="left"/>
        <w:rPr>
          <w:rFonts w:hint="eastAsia" w:ascii="仿宋_GB2312" w:hAnsi="仿宋_GB2312" w:eastAsia="仿宋_GB2312" w:cs="仿宋_GB2312"/>
          <w:color w:val="000000"/>
          <w:lang w:bidi="ar-SA"/>
        </w:rPr>
        <w:sectPr>
          <w:footerReference r:id="rId4" w:type="default"/>
          <w:pgSz w:w="16838" w:h="11906" w:orient="landscape"/>
          <w:pgMar w:top="1417" w:right="1417" w:bottom="1417" w:left="1417" w:header="851" w:footer="992" w:gutter="0"/>
          <w:pgNumType w:fmt="decimal"/>
          <w:cols w:space="720" w:num="1"/>
          <w:docGrid w:type="lines" w:linePitch="435" w:charSpace="0"/>
        </w:sectPr>
      </w:pPr>
    </w:p>
    <w:p>
      <w:pPr>
        <w:spacing w:line="510" w:lineRule="atLeast"/>
        <w:ind w:firstLine="623"/>
        <w:jc w:val="center"/>
        <w:rPr>
          <w:rFonts w:hint="eastAsia" w:ascii="仿宋_GB2312" w:hAnsi="仿宋_GB2312" w:eastAsia="仿宋_GB2312" w:cs="仿宋_GB2312"/>
          <w:b/>
          <w:bCs/>
          <w:color w:val="000000"/>
          <w:sz w:val="32"/>
          <w:szCs w:val="32"/>
          <w:lang w:bidi="ar-SA"/>
        </w:rPr>
      </w:pPr>
      <w:r>
        <w:rPr>
          <w:rFonts w:hint="eastAsia" w:ascii="仿宋_GB2312" w:hAnsi="仿宋_GB2312" w:eastAsia="仿宋_GB2312" w:cs="仿宋_GB2312"/>
          <w:b/>
          <w:bCs/>
          <w:color w:val="000000"/>
          <w:sz w:val="32"/>
          <w:szCs w:val="32"/>
          <w:lang w:bidi="ar-SA"/>
        </w:rPr>
        <w:t>附表二  建筑容积率、建筑密度控制指标表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44"/>
        <w:gridCol w:w="3412"/>
        <w:gridCol w:w="3839"/>
        <w:gridCol w:w="36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5" w:hRule="atLeast"/>
          <w:jc w:val="center"/>
        </w:trPr>
        <w:tc>
          <w:tcPr>
            <w:tcW w:w="6756" w:type="dxa"/>
            <w:gridSpan w:val="2"/>
            <w:tcBorders>
              <w:tl2br w:val="single" w:color="000000" w:sz="6" w:space="0"/>
              <w:tr2bl w:val="nil"/>
            </w:tcBorders>
          </w:tcPr>
          <w:p>
            <w:pPr>
              <w:spacing w:line="510" w:lineRule="atLeast"/>
              <w:jc w:val="center"/>
              <w:rPr>
                <w:rFonts w:hint="eastAsia" w:ascii="仿宋_GB2312" w:hAnsi="仿宋_GB2312" w:eastAsia="仿宋_GB2312" w:cs="仿宋_GB2312"/>
                <w:b/>
                <w:bCs/>
                <w:color w:val="000000"/>
                <w:sz w:val="21"/>
                <w:szCs w:val="21"/>
                <w:lang w:bidi="ar-SA"/>
              </w:rPr>
            </w:pPr>
            <w:r>
              <w:rPr>
                <w:rFonts w:hint="eastAsia" w:ascii="仿宋_GB2312" w:hAnsi="仿宋_GB2312" w:eastAsia="仿宋_GB2312" w:cs="仿宋_GB2312"/>
                <w:b/>
                <w:bCs/>
                <w:color w:val="000000"/>
                <w:sz w:val="21"/>
                <w:szCs w:val="21"/>
                <w:lang w:bidi="ar-SA"/>
              </w:rPr>
              <w:t xml:space="preserve">                   </w:t>
            </w:r>
            <w:r>
              <w:rPr>
                <w:rFonts w:hint="eastAsia" w:ascii="仿宋_GB2312" w:hAnsi="仿宋_GB2312" w:eastAsia="仿宋_GB2312" w:cs="仿宋_GB2312"/>
                <w:b/>
                <w:bCs/>
                <w:color w:val="000000"/>
                <w:sz w:val="21"/>
                <w:szCs w:val="21"/>
                <w:lang w:val="en-US" w:eastAsia="zh-CN" w:bidi="ar-SA"/>
              </w:rPr>
              <w:t xml:space="preserve">            </w:t>
            </w:r>
            <w:r>
              <w:rPr>
                <w:rFonts w:hint="eastAsia" w:ascii="仿宋_GB2312" w:hAnsi="仿宋_GB2312" w:eastAsia="仿宋_GB2312" w:cs="仿宋_GB2312"/>
                <w:b/>
                <w:bCs/>
                <w:color w:val="000000"/>
                <w:sz w:val="21"/>
                <w:szCs w:val="21"/>
                <w:lang w:bidi="ar-SA"/>
              </w:rPr>
              <w:t>建筑密度、建筑容积率</w:t>
            </w:r>
          </w:p>
          <w:p>
            <w:pPr>
              <w:spacing w:line="510" w:lineRule="atLeast"/>
              <w:ind w:firstLine="1261" w:firstLineChars="598"/>
              <w:rPr>
                <w:rFonts w:hint="eastAsia" w:ascii="仿宋_GB2312" w:hAnsi="仿宋_GB2312" w:eastAsia="仿宋_GB2312" w:cs="仿宋_GB2312"/>
                <w:b/>
                <w:bCs/>
                <w:color w:val="000000"/>
                <w:sz w:val="21"/>
                <w:szCs w:val="21"/>
                <w:lang w:bidi="ar-SA"/>
              </w:rPr>
            </w:pPr>
            <w:r>
              <w:rPr>
                <w:rFonts w:hint="eastAsia" w:ascii="仿宋_GB2312" w:hAnsi="仿宋_GB2312" w:eastAsia="仿宋_GB2312" w:cs="仿宋_GB2312"/>
                <w:b/>
                <w:bCs/>
                <w:color w:val="000000"/>
                <w:sz w:val="21"/>
                <w:szCs w:val="21"/>
                <w:lang w:bidi="ar-SA"/>
              </w:rPr>
              <w:t>建筑类型</w:t>
            </w:r>
          </w:p>
        </w:tc>
        <w:tc>
          <w:tcPr>
            <w:tcW w:w="3839" w:type="dxa"/>
            <w:tcBorders>
              <w:right w:val="single" w:color="auto" w:sz="4" w:space="0"/>
              <w:tl2br w:val="nil"/>
              <w:tr2bl w:val="nil"/>
            </w:tcBorders>
            <w:vAlign w:val="center"/>
          </w:tcPr>
          <w:p>
            <w:pPr>
              <w:spacing w:line="510" w:lineRule="atLeast"/>
              <w:jc w:val="center"/>
              <w:rPr>
                <w:rFonts w:hint="eastAsia" w:ascii="仿宋_GB2312" w:hAnsi="仿宋_GB2312" w:eastAsia="仿宋_GB2312" w:cs="仿宋_GB2312"/>
                <w:b/>
                <w:bCs/>
                <w:i/>
                <w:color w:val="000000"/>
                <w:sz w:val="21"/>
                <w:szCs w:val="21"/>
                <w:lang w:bidi="ar-SA"/>
              </w:rPr>
            </w:pPr>
            <w:r>
              <w:rPr>
                <w:rFonts w:hint="eastAsia" w:ascii="仿宋_GB2312" w:hAnsi="仿宋_GB2312" w:eastAsia="仿宋_GB2312" w:cs="仿宋_GB2312"/>
                <w:b/>
                <w:bCs/>
                <w:color w:val="000000"/>
                <w:sz w:val="21"/>
                <w:szCs w:val="21"/>
                <w:lang w:bidi="ar-SA"/>
              </w:rPr>
              <w:t>建筑密度（%）</w:t>
            </w:r>
          </w:p>
        </w:tc>
        <w:tc>
          <w:tcPr>
            <w:tcW w:w="3623" w:type="dxa"/>
            <w:tcBorders>
              <w:left w:val="single" w:color="auto" w:sz="4" w:space="0"/>
              <w:right w:val="single" w:color="auto" w:sz="4" w:space="0"/>
              <w:tl2br w:val="nil"/>
              <w:tr2bl w:val="nil"/>
            </w:tcBorders>
            <w:vAlign w:val="center"/>
          </w:tcPr>
          <w:p>
            <w:pPr>
              <w:spacing w:line="510" w:lineRule="atLeast"/>
              <w:jc w:val="center"/>
              <w:rPr>
                <w:rFonts w:hint="eastAsia" w:ascii="仿宋_GB2312" w:hAnsi="仿宋_GB2312" w:eastAsia="仿宋_GB2312" w:cs="仿宋_GB2312"/>
                <w:b/>
                <w:bCs/>
                <w:iCs/>
                <w:color w:val="000000"/>
                <w:sz w:val="21"/>
                <w:szCs w:val="21"/>
                <w:lang w:bidi="ar-SA"/>
              </w:rPr>
            </w:pPr>
            <w:r>
              <w:rPr>
                <w:rFonts w:hint="eastAsia" w:ascii="仿宋_GB2312" w:hAnsi="仿宋_GB2312" w:eastAsia="仿宋_GB2312" w:cs="仿宋_GB2312"/>
                <w:b/>
                <w:bCs/>
                <w:color w:val="000000"/>
                <w:sz w:val="21"/>
                <w:szCs w:val="21"/>
                <w:lang w:bidi="ar-SA"/>
              </w:rPr>
              <w:t>容积率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44" w:type="dxa"/>
            <w:vMerge w:val="restart"/>
            <w:tcBorders>
              <w:tl2br w:val="nil"/>
              <w:tr2bl w:val="nil"/>
            </w:tcBorders>
            <w:vAlign w:val="center"/>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居住建筑</w:t>
            </w:r>
          </w:p>
        </w:tc>
        <w:tc>
          <w:tcPr>
            <w:tcW w:w="3412" w:type="dxa"/>
            <w:tcBorders>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27米以下（含27米）</w:t>
            </w:r>
          </w:p>
        </w:tc>
        <w:tc>
          <w:tcPr>
            <w:tcW w:w="3839" w:type="dxa"/>
            <w:tcBorders>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≦30</w:t>
            </w:r>
          </w:p>
        </w:tc>
        <w:tc>
          <w:tcPr>
            <w:tcW w:w="3623" w:type="dxa"/>
            <w:tcBorders>
              <w:right w:val="single" w:color="auto" w:sz="4" w:space="0"/>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44" w:type="dxa"/>
            <w:vMerge w:val="continue"/>
            <w:tcBorders>
              <w:tl2br w:val="nil"/>
              <w:tr2bl w:val="nil"/>
            </w:tcBorders>
          </w:tcPr>
          <w:p>
            <w:pPr>
              <w:rPr>
                <w:rFonts w:hint="eastAsia" w:ascii="仿宋_GB2312" w:hAnsi="仿宋_GB2312" w:eastAsia="仿宋_GB2312" w:cs="仿宋_GB2312"/>
                <w:sz w:val="32"/>
                <w:szCs w:val="20"/>
              </w:rPr>
            </w:pPr>
          </w:p>
        </w:tc>
        <w:tc>
          <w:tcPr>
            <w:tcW w:w="3412" w:type="dxa"/>
            <w:tcBorders>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27米以上</w:t>
            </w:r>
          </w:p>
        </w:tc>
        <w:tc>
          <w:tcPr>
            <w:tcW w:w="3839" w:type="dxa"/>
            <w:tcBorders>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≦25</w:t>
            </w:r>
          </w:p>
        </w:tc>
        <w:tc>
          <w:tcPr>
            <w:tcW w:w="3623" w:type="dxa"/>
            <w:tcBorders>
              <w:right w:val="single" w:color="auto" w:sz="4" w:space="0"/>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44" w:type="dxa"/>
            <w:vMerge w:val="restart"/>
            <w:tcBorders>
              <w:tl2br w:val="nil"/>
              <w:tr2bl w:val="nil"/>
            </w:tcBorders>
            <w:vAlign w:val="center"/>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商业、商务建筑</w:t>
            </w:r>
          </w:p>
        </w:tc>
        <w:tc>
          <w:tcPr>
            <w:tcW w:w="3412" w:type="dxa"/>
            <w:vMerge w:val="restart"/>
            <w:tcBorders>
              <w:tl2br w:val="nil"/>
              <w:tr2bl w:val="nil"/>
            </w:tcBorders>
            <w:vAlign w:val="center"/>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24米以下（含24米）</w:t>
            </w:r>
          </w:p>
        </w:tc>
        <w:tc>
          <w:tcPr>
            <w:tcW w:w="3839" w:type="dxa"/>
            <w:tcBorders>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商业建筑≦55</w:t>
            </w:r>
          </w:p>
        </w:tc>
        <w:tc>
          <w:tcPr>
            <w:tcW w:w="3623" w:type="dxa"/>
            <w:vMerge w:val="restart"/>
            <w:tcBorders>
              <w:right w:val="single" w:color="auto" w:sz="4" w:space="0"/>
              <w:tl2br w:val="nil"/>
              <w:tr2bl w:val="nil"/>
            </w:tcBorders>
            <w:vAlign w:val="center"/>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44" w:type="dxa"/>
            <w:vMerge w:val="continue"/>
            <w:tcBorders>
              <w:tl2br w:val="nil"/>
              <w:tr2bl w:val="nil"/>
            </w:tcBorders>
          </w:tcPr>
          <w:p>
            <w:pPr>
              <w:rPr>
                <w:rFonts w:hint="eastAsia" w:ascii="仿宋_GB2312" w:hAnsi="仿宋_GB2312" w:eastAsia="仿宋_GB2312" w:cs="仿宋_GB2312"/>
                <w:sz w:val="32"/>
                <w:szCs w:val="20"/>
              </w:rPr>
            </w:pPr>
          </w:p>
        </w:tc>
        <w:tc>
          <w:tcPr>
            <w:tcW w:w="3412" w:type="dxa"/>
            <w:vMerge w:val="continue"/>
            <w:tcBorders>
              <w:tl2br w:val="nil"/>
              <w:tr2bl w:val="nil"/>
            </w:tcBorders>
          </w:tcPr>
          <w:p>
            <w:pPr>
              <w:rPr>
                <w:rFonts w:hint="eastAsia" w:ascii="仿宋_GB2312" w:hAnsi="仿宋_GB2312" w:eastAsia="仿宋_GB2312" w:cs="仿宋_GB2312"/>
                <w:sz w:val="32"/>
                <w:szCs w:val="20"/>
              </w:rPr>
            </w:pPr>
          </w:p>
        </w:tc>
        <w:tc>
          <w:tcPr>
            <w:tcW w:w="3839" w:type="dxa"/>
            <w:tcBorders>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商务建筑≦35</w:t>
            </w:r>
          </w:p>
        </w:tc>
        <w:tc>
          <w:tcPr>
            <w:tcW w:w="3623" w:type="dxa"/>
            <w:vMerge w:val="continue"/>
            <w:tcBorders>
              <w:right w:val="single" w:color="auto" w:sz="4" w:space="0"/>
              <w:tl2br w:val="nil"/>
              <w:tr2bl w:val="nil"/>
            </w:tcBorders>
          </w:tcPr>
          <w:p>
            <w:pPr>
              <w:rPr>
                <w:rFonts w:hint="eastAsia" w:ascii="仿宋_GB2312" w:hAnsi="仿宋_GB2312" w:eastAsia="仿宋_GB2312" w:cs="仿宋_GB2312"/>
                <w:sz w:val="32"/>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44" w:type="dxa"/>
            <w:vMerge w:val="continue"/>
            <w:tcBorders>
              <w:tl2br w:val="nil"/>
              <w:tr2bl w:val="nil"/>
            </w:tcBorders>
          </w:tcPr>
          <w:p>
            <w:pPr>
              <w:rPr>
                <w:rFonts w:hint="eastAsia" w:ascii="仿宋_GB2312" w:hAnsi="仿宋_GB2312" w:eastAsia="仿宋_GB2312" w:cs="仿宋_GB2312"/>
                <w:sz w:val="32"/>
                <w:szCs w:val="20"/>
              </w:rPr>
            </w:pPr>
          </w:p>
        </w:tc>
        <w:tc>
          <w:tcPr>
            <w:tcW w:w="3412" w:type="dxa"/>
            <w:vMerge w:val="restart"/>
            <w:tcBorders>
              <w:tl2br w:val="nil"/>
              <w:tr2bl w:val="nil"/>
            </w:tcBorders>
            <w:vAlign w:val="center"/>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24米以上100米以下（含100米）</w:t>
            </w:r>
          </w:p>
        </w:tc>
        <w:tc>
          <w:tcPr>
            <w:tcW w:w="3839" w:type="dxa"/>
            <w:tcBorders>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商业建筑≦50</w:t>
            </w:r>
          </w:p>
        </w:tc>
        <w:tc>
          <w:tcPr>
            <w:tcW w:w="3623" w:type="dxa"/>
            <w:vMerge w:val="restart"/>
            <w:tcBorders>
              <w:right w:val="single" w:color="auto" w:sz="4" w:space="0"/>
              <w:tl2br w:val="nil"/>
              <w:tr2bl w:val="nil"/>
            </w:tcBorders>
            <w:vAlign w:val="center"/>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44" w:type="dxa"/>
            <w:vMerge w:val="continue"/>
            <w:tcBorders>
              <w:tl2br w:val="nil"/>
              <w:tr2bl w:val="nil"/>
            </w:tcBorders>
          </w:tcPr>
          <w:p>
            <w:pPr>
              <w:rPr>
                <w:rFonts w:hint="eastAsia" w:ascii="仿宋_GB2312" w:hAnsi="仿宋_GB2312" w:eastAsia="仿宋_GB2312" w:cs="仿宋_GB2312"/>
                <w:sz w:val="32"/>
                <w:szCs w:val="20"/>
              </w:rPr>
            </w:pPr>
          </w:p>
        </w:tc>
        <w:tc>
          <w:tcPr>
            <w:tcW w:w="3412" w:type="dxa"/>
            <w:vMerge w:val="continue"/>
            <w:tcBorders>
              <w:tl2br w:val="nil"/>
              <w:tr2bl w:val="nil"/>
            </w:tcBorders>
          </w:tcPr>
          <w:p>
            <w:pPr>
              <w:rPr>
                <w:rFonts w:hint="eastAsia" w:ascii="仿宋_GB2312" w:hAnsi="仿宋_GB2312" w:eastAsia="仿宋_GB2312" w:cs="仿宋_GB2312"/>
                <w:sz w:val="32"/>
                <w:szCs w:val="20"/>
              </w:rPr>
            </w:pPr>
          </w:p>
        </w:tc>
        <w:tc>
          <w:tcPr>
            <w:tcW w:w="3839" w:type="dxa"/>
            <w:tcBorders>
              <w:tl2br w:val="nil"/>
              <w:tr2bl w:val="nil"/>
            </w:tcBorders>
          </w:tcPr>
          <w:p>
            <w:pPr>
              <w:spacing w:line="510" w:lineRule="atLeast"/>
              <w:jc w:val="center"/>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商务建筑≦35</w:t>
            </w:r>
          </w:p>
        </w:tc>
        <w:tc>
          <w:tcPr>
            <w:tcW w:w="3623" w:type="dxa"/>
            <w:vMerge w:val="continue"/>
            <w:tcBorders>
              <w:right w:val="single" w:color="auto" w:sz="4" w:space="0"/>
              <w:tl2br w:val="nil"/>
              <w:tr2bl w:val="nil"/>
            </w:tcBorders>
          </w:tcPr>
          <w:p>
            <w:pPr>
              <w:rPr>
                <w:rFonts w:hint="eastAsia" w:ascii="仿宋_GB2312" w:hAnsi="仿宋_GB2312" w:eastAsia="仿宋_GB2312" w:cs="仿宋_GB2312"/>
                <w:sz w:val="32"/>
                <w:szCs w:val="20"/>
              </w:rPr>
            </w:pPr>
          </w:p>
        </w:tc>
      </w:tr>
    </w:tbl>
    <w:p>
      <w:pPr>
        <w:spacing w:line="440" w:lineRule="exact"/>
        <w:rPr>
          <w:rFonts w:hint="eastAsia" w:ascii="仿宋_GB2312" w:hAnsi="仿宋_GB2312" w:eastAsia="仿宋_GB2312" w:cs="仿宋_GB2312"/>
          <w:color w:val="000000"/>
          <w:sz w:val="21"/>
          <w:szCs w:val="21"/>
          <w:lang w:bidi="ar-SA"/>
        </w:rPr>
      </w:pPr>
      <w:r>
        <w:rPr>
          <w:rFonts w:hint="eastAsia" w:ascii="仿宋_GB2312" w:hAnsi="仿宋_GB2312" w:eastAsia="仿宋_GB2312" w:cs="仿宋_GB2312"/>
          <w:color w:val="000000"/>
          <w:sz w:val="21"/>
          <w:szCs w:val="21"/>
          <w:lang w:bidi="ar-SA"/>
        </w:rPr>
        <w:t xml:space="preserve">  注：当商业、商务、居住等用地性质混合使用时，其容积率不得突破各用地的最大容积率的平均值</w:t>
      </w:r>
    </w:p>
    <w:p>
      <w:pPr>
        <w:widowControl/>
        <w:jc w:val="left"/>
        <w:rPr>
          <w:rFonts w:hint="eastAsia" w:ascii="仿宋" w:eastAsia="仿宋" w:cs="仿宋"/>
          <w:color w:val="000000"/>
          <w:sz w:val="21"/>
          <w:szCs w:val="21"/>
          <w:lang w:bidi="ar-SA"/>
        </w:rPr>
        <w:sectPr>
          <w:pgSz w:w="16838" w:h="11906" w:orient="landscape"/>
          <w:pgMar w:top="1701" w:right="1417" w:bottom="1701" w:left="1417" w:header="851" w:footer="992" w:gutter="0"/>
          <w:pgNumType w:fmt="decimal"/>
          <w:cols w:space="720" w:num="1"/>
          <w:docGrid w:type="lines" w:linePitch="435" w:charSpace="0"/>
        </w:sectPr>
      </w:pPr>
    </w:p>
    <w:p>
      <w:pPr>
        <w:widowControl/>
        <w:spacing w:before="300" w:beforeAutospacing="1" w:after="300" w:afterAutospacing="1" w:line="368" w:lineRule="atLeast"/>
        <w:ind w:firstLine="420"/>
        <w:jc w:val="center"/>
        <w:rPr>
          <w:rFonts w:hint="eastAsia" w:ascii="仿宋_GB2312" w:hAnsi="Times New Roman" w:eastAsia="仿宋_GB2312" w:cs="仿宋_GB2312"/>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附表三  中心城区建筑物停车泊位配建指标</w:t>
      </w:r>
    </w:p>
    <w:tbl>
      <w:tblPr>
        <w:tblStyle w:val="2"/>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91"/>
        <w:gridCol w:w="2880"/>
        <w:gridCol w:w="2721"/>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368" w:lineRule="atLeast"/>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序号</w:t>
            </w:r>
          </w:p>
        </w:tc>
        <w:tc>
          <w:tcPr>
            <w:tcW w:w="4671"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368" w:lineRule="atLeast"/>
              <w:ind w:firstLine="420"/>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建筑使用功能</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368" w:lineRule="atLeast"/>
              <w:ind w:firstLine="420"/>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单位</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368" w:lineRule="atLeast"/>
              <w:jc w:val="center"/>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firstLineChars="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w:t>
            </w:r>
          </w:p>
        </w:tc>
        <w:tc>
          <w:tcPr>
            <w:tcW w:w="4671" w:type="dxa"/>
            <w:gridSpan w:val="2"/>
            <w:tcBorders>
              <w:top w:val="single" w:color="auto" w:sz="4" w:space="0"/>
              <w:left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住宅</w:t>
            </w:r>
          </w:p>
        </w:tc>
        <w:tc>
          <w:tcPr>
            <w:tcW w:w="2721" w:type="dxa"/>
            <w:tcBorders>
              <w:top w:val="single" w:color="auto" w:sz="4" w:space="0"/>
              <w:left w:val="single" w:color="auto" w:sz="4" w:space="0"/>
              <w:right w:val="single" w:color="auto" w:sz="4" w:space="0"/>
              <w:tl2br w:val="nil"/>
              <w:tr2bl w:val="nil"/>
            </w:tcBorders>
            <w:vAlign w:val="center"/>
          </w:tcPr>
          <w:p>
            <w:pPr>
              <w:widowControl/>
              <w:spacing w:before="300" w:beforeAutospacing="1" w:after="300" w:afterAutospacing="1" w:line="520" w:lineRule="exact"/>
              <w:ind w:firstLine="0" w:firstLineChars="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firstLineChars="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w:t>
            </w:r>
          </w:p>
        </w:tc>
        <w:tc>
          <w:tcPr>
            <w:tcW w:w="4671"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商业、办公、酒店、公寓</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firstLineChars="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240" w:firstLineChars="10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w:t>
            </w:r>
          </w:p>
        </w:tc>
        <w:tc>
          <w:tcPr>
            <w:tcW w:w="17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医院</w:t>
            </w: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三甲医院</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240" w:firstLineChars="10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17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20" w:lineRule="exact"/>
              <w:jc w:val="center"/>
              <w:rPr>
                <w:rFonts w:hint="eastAsia" w:ascii="仿宋_GB2312" w:hAnsi="仿宋_GB2312" w:eastAsia="仿宋_GB2312" w:cs="仿宋_GB2312"/>
                <w:sz w:val="32"/>
                <w:szCs w:val="20"/>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其他医院</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240" w:firstLineChars="10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w:t>
            </w:r>
          </w:p>
        </w:tc>
        <w:tc>
          <w:tcPr>
            <w:tcW w:w="4671"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展览馆、科技馆、图书馆、剧院等文化设施</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5</w:t>
            </w:r>
          </w:p>
        </w:tc>
        <w:tc>
          <w:tcPr>
            <w:tcW w:w="17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场馆（不包括设在学校内的体育场（馆））</w:t>
            </w: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会展中心</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17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大型体育场（馆）</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车位/100座</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17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其他体育场（馆）</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车位/100座</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tcBorders>
              <w:top w:val="single" w:color="auto" w:sz="4" w:space="0"/>
              <w:left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6</w:t>
            </w:r>
          </w:p>
        </w:tc>
        <w:tc>
          <w:tcPr>
            <w:tcW w:w="1791" w:type="dxa"/>
            <w:vMerge w:val="restart"/>
            <w:tcBorders>
              <w:top w:val="single" w:color="auto" w:sz="4" w:space="0"/>
              <w:left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学校</w:t>
            </w: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大中专院校</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tcBorders>
              <w:left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1791" w:type="dxa"/>
            <w:vMerge w:val="continue"/>
            <w:tcBorders>
              <w:left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firstLineChars="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中小学</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车位/班级</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15" w:type="dxa"/>
            <w:vMerge w:val="continue"/>
            <w:tcBorders>
              <w:left w:val="single" w:color="auto" w:sz="4" w:space="0"/>
              <w:bottom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1791" w:type="dxa"/>
            <w:vMerge w:val="continue"/>
            <w:tcBorders>
              <w:left w:val="single" w:color="auto" w:sz="4" w:space="0"/>
              <w:bottom w:val="single" w:color="auto" w:sz="4" w:space="0"/>
              <w:right w:val="single" w:color="auto" w:sz="4" w:space="0"/>
              <w:tl2br w:val="nil"/>
              <w:tr2bl w:val="nil"/>
            </w:tcBorders>
            <w:vAlign w:val="center"/>
          </w:tcPr>
          <w:p>
            <w:pPr>
              <w:widowControl/>
              <w:spacing w:line="520" w:lineRule="exact"/>
              <w:rPr>
                <w:rFonts w:hint="eastAsia" w:ascii="仿宋_GB2312" w:hAnsi="仿宋_GB2312" w:eastAsia="仿宋_GB2312" w:cs="仿宋_GB2312"/>
                <w:sz w:val="32"/>
                <w:szCs w:val="20"/>
              </w:rPr>
            </w:pP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firstLineChars="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幼儿园</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7</w:t>
            </w:r>
          </w:p>
        </w:tc>
        <w:tc>
          <w:tcPr>
            <w:tcW w:w="4671"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长途客运站、火车站、机场</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4"/>
                <w:szCs w:val="24"/>
                <w:lang w:val="en-US" w:eastAsia="zh-CN" w:bidi="ar-SA"/>
              </w:rPr>
              <w:t>8</w:t>
            </w:r>
          </w:p>
        </w:tc>
        <w:tc>
          <w:tcPr>
            <w:tcW w:w="4671"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公园</w:t>
            </w:r>
          </w:p>
        </w:tc>
        <w:tc>
          <w:tcPr>
            <w:tcW w:w="272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车位/100㎡陆地面积</w:t>
            </w: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300" w:beforeAutospacing="1" w:after="300" w:afterAutospacing="1" w:line="520" w:lineRule="exact"/>
              <w:ind w:firstLine="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0.1</w:t>
            </w:r>
          </w:p>
        </w:tc>
      </w:tr>
    </w:tbl>
    <w:p>
      <w:pPr>
        <w:keepNext w:val="0"/>
        <w:keepLines w:val="0"/>
        <w:pageBreakBefore w:val="0"/>
        <w:widowControl w:val="0"/>
        <w:kinsoku/>
        <w:wordWrap/>
        <w:overflowPunct/>
        <w:topLinePunct w:val="0"/>
        <w:autoSpaceDE/>
        <w:autoSpaceDN/>
        <w:bidi w:val="0"/>
        <w:adjustRightInd/>
        <w:snapToGrid/>
        <w:spacing w:before="0" w:beforeLines="0" w:line="200" w:lineRule="exact"/>
        <w:ind w:left="0" w:hanging="720" w:hangingChars="300"/>
        <w:textAlignment w:val="auto"/>
        <w:rPr>
          <w:rFonts w:hint="eastAsia" w:ascii="仿宋_GB2312" w:hAnsi="仿宋_GB2312" w:eastAsia="仿宋_GB2312" w:cs="仿宋_GB2312"/>
          <w:color w:val="000000"/>
          <w:sz w:val="24"/>
          <w:szCs w:val="24"/>
          <w:lang w:bidi="ar-SA"/>
        </w:rPr>
      </w:pPr>
    </w:p>
    <w:p>
      <w:pPr>
        <w:keepNext w:val="0"/>
        <w:keepLines w:val="0"/>
        <w:pageBreakBefore w:val="0"/>
        <w:widowControl w:val="0"/>
        <w:kinsoku/>
        <w:wordWrap/>
        <w:overflowPunct/>
        <w:topLinePunct w:val="0"/>
        <w:autoSpaceDE/>
        <w:autoSpaceDN/>
        <w:bidi w:val="0"/>
        <w:adjustRightInd/>
        <w:snapToGrid/>
        <w:spacing w:line="400" w:lineRule="exact"/>
        <w:ind w:left="705" w:hanging="720" w:hangingChars="300"/>
        <w:textAlignment w:val="auto"/>
        <w:rPr>
          <w:rFonts w:hint="eastAsia" w:ascii="仿宋_GB2312" w:hAnsi="仿宋_GB2312" w:eastAsia="仿宋_GB2312" w:cs="仿宋_GB2312"/>
          <w:color w:val="000000"/>
          <w:sz w:val="24"/>
          <w:szCs w:val="24"/>
          <w:lang w:eastAsia="zh-CN" w:bidi="ar-SA"/>
        </w:rPr>
      </w:pPr>
      <w:r>
        <w:rPr>
          <w:rFonts w:hint="eastAsia" w:ascii="仿宋_GB2312" w:hAnsi="仿宋_GB2312" w:eastAsia="仿宋_GB2312" w:cs="仿宋_GB2312"/>
          <w:color w:val="000000"/>
          <w:sz w:val="24"/>
          <w:szCs w:val="24"/>
          <w:lang w:bidi="ar-SA"/>
        </w:rPr>
        <w:t>注</w:t>
      </w:r>
      <w:r>
        <w:rPr>
          <w:rFonts w:hint="eastAsia" w:ascii="仿宋_GB2312" w:hAnsi="仿宋_GB2312" w:eastAsia="仿宋_GB2312" w:cs="仿宋_GB2312"/>
          <w:color w:val="000000"/>
          <w:sz w:val="24"/>
          <w:szCs w:val="24"/>
          <w:lang w:eastAsia="zh-CN" w:bidi="ar-SA"/>
        </w:rPr>
        <w:t>：</w:t>
      </w:r>
      <w:r>
        <w:rPr>
          <w:rFonts w:hint="eastAsia" w:ascii="仿宋_GB2312" w:hAnsi="仿宋_GB2312" w:eastAsia="仿宋_GB2312" w:cs="仿宋_GB2312"/>
          <w:color w:val="000000"/>
          <w:sz w:val="24"/>
          <w:szCs w:val="24"/>
          <w:lang w:bidi="ar-SA"/>
        </w:rPr>
        <w:t>1.本表中停车位均指小型汽车的停车位，微型车位不纳入指标计算，计算出的停车位数量不足1个的按照1个计算</w:t>
      </w:r>
      <w:r>
        <w:rPr>
          <w:rFonts w:hint="eastAsia" w:ascii="仿宋_GB2312" w:hAnsi="仿宋_GB2312" w:eastAsia="仿宋_GB2312" w:cs="仿宋_GB2312"/>
          <w:color w:val="000000"/>
          <w:sz w:val="24"/>
          <w:szCs w:val="24"/>
          <w:lang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2.保障性住房可按0.5辆/100平方米配套；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lang w:eastAsia="zh-CN" w:bidi="ar-SA"/>
        </w:rPr>
      </w:pPr>
      <w:r>
        <w:rPr>
          <w:rFonts w:hint="eastAsia" w:ascii="仿宋_GB2312" w:hAnsi="仿宋_GB2312" w:eastAsia="仿宋_GB2312" w:cs="仿宋_GB2312"/>
          <w:color w:val="000000"/>
          <w:sz w:val="24"/>
          <w:szCs w:val="24"/>
          <w:lang w:val="en-US" w:eastAsia="zh-CN" w:bidi="ar-SA"/>
        </w:rPr>
        <w:t>3</w:t>
      </w:r>
      <w:r>
        <w:rPr>
          <w:rFonts w:hint="eastAsia" w:ascii="仿宋_GB2312" w:hAnsi="仿宋_GB2312" w:eastAsia="仿宋_GB2312" w:cs="仿宋_GB2312"/>
          <w:color w:val="000000"/>
          <w:sz w:val="24"/>
          <w:szCs w:val="24"/>
          <w:lang w:bidi="ar-SA"/>
        </w:rPr>
        <w:t>.本表中停车位为建设项目应当配建的停车位数量下限</w:t>
      </w:r>
      <w:r>
        <w:rPr>
          <w:rFonts w:hint="eastAsia" w:ascii="仿宋_GB2312" w:hAnsi="仿宋_GB2312" w:eastAsia="仿宋_GB2312" w:cs="仿宋_GB2312"/>
          <w:color w:val="000000"/>
          <w:sz w:val="24"/>
          <w:szCs w:val="24"/>
          <w:lang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lang w:bidi="ar-SA"/>
        </w:rPr>
      </w:pPr>
      <w:r>
        <w:rPr>
          <w:rFonts w:hint="eastAsia" w:ascii="仿宋_GB2312" w:hAnsi="仿宋_GB2312" w:eastAsia="仿宋_GB2312" w:cs="仿宋_GB2312"/>
          <w:color w:val="000000"/>
          <w:sz w:val="24"/>
          <w:szCs w:val="24"/>
          <w:lang w:val="en-US" w:eastAsia="zh-CN" w:bidi="ar-SA"/>
        </w:rPr>
        <w:t>4</w:t>
      </w:r>
      <w:r>
        <w:rPr>
          <w:rFonts w:hint="eastAsia" w:ascii="仿宋_GB2312" w:hAnsi="仿宋_GB2312" w:eastAsia="仿宋_GB2312" w:cs="仿宋_GB2312"/>
          <w:color w:val="000000"/>
          <w:sz w:val="24"/>
          <w:szCs w:val="24"/>
          <w:lang w:bidi="ar-SA"/>
        </w:rPr>
        <w:t>.综合性建筑应按各类性质和规模分别计算并累加；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lang w:eastAsia="zh-CN" w:bidi="ar-SA"/>
        </w:rPr>
      </w:pPr>
      <w:r>
        <w:rPr>
          <w:rFonts w:hint="eastAsia" w:ascii="仿宋_GB2312" w:hAnsi="仿宋_GB2312" w:eastAsia="仿宋_GB2312" w:cs="仿宋_GB2312"/>
          <w:color w:val="000000"/>
          <w:sz w:val="24"/>
          <w:szCs w:val="24"/>
          <w:lang w:val="en-US" w:eastAsia="zh-CN" w:bidi="ar-SA"/>
        </w:rPr>
        <w:t>5</w:t>
      </w:r>
      <w:r>
        <w:rPr>
          <w:rFonts w:hint="eastAsia" w:ascii="仿宋_GB2312" w:hAnsi="仿宋_GB2312" w:eastAsia="仿宋_GB2312" w:cs="仿宋_GB2312"/>
          <w:color w:val="000000"/>
          <w:sz w:val="24"/>
          <w:szCs w:val="24"/>
          <w:lang w:bidi="ar-SA"/>
        </w:rPr>
        <w:t>.居住区室外停车泊位一般不超过</w:t>
      </w:r>
      <w:r>
        <w:rPr>
          <w:rFonts w:hint="eastAsia" w:ascii="仿宋_GB2312" w:hAnsi="仿宋_GB2312" w:eastAsia="仿宋_GB2312" w:cs="仿宋_GB2312"/>
          <w:color w:val="000000"/>
          <w:sz w:val="24"/>
          <w:szCs w:val="24"/>
          <w:lang w:eastAsia="zh-CN" w:bidi="ar-SA"/>
        </w:rPr>
        <w:t>住宅总套数</w:t>
      </w:r>
      <w:r>
        <w:rPr>
          <w:rFonts w:hint="eastAsia" w:ascii="仿宋_GB2312" w:hAnsi="仿宋_GB2312" w:eastAsia="仿宋_GB2312" w:cs="仿宋_GB2312"/>
          <w:color w:val="000000"/>
          <w:sz w:val="24"/>
          <w:szCs w:val="24"/>
          <w:lang w:bidi="ar-SA"/>
        </w:rPr>
        <w:t>的10%</w:t>
      </w:r>
      <w:r>
        <w:rPr>
          <w:rFonts w:hint="eastAsia" w:ascii="仿宋_GB2312" w:hAnsi="仿宋_GB2312" w:eastAsia="仿宋_GB2312" w:cs="仿宋_GB2312"/>
          <w:color w:val="000000"/>
          <w:sz w:val="24"/>
          <w:szCs w:val="24"/>
          <w:lang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left="555" w:leftChars="150" w:hanging="240" w:hangingChars="100"/>
        <w:textAlignment w:val="auto"/>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6.各县（市）可结合当地机动车机动化发展水平、居住区所处区位、用地及公共交通条件综合确定停车位配建标准。</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hint="eastAsia" w:ascii="Times New Roman" w:hAnsi="Times New Roman" w:eastAsia="宋体" w:cs="Times New Roman"/>
        <w:kern w:val="2"/>
        <w:sz w:val="18"/>
        <w:szCs w:val="20"/>
        <w:lang w:val="en-US" w:eastAsia="zh-CN" w:bidi="ar-SA"/>
      </w:rPr>
    </w:pPr>
    <w:r>
      <w:rPr>
        <w:rFonts w:ascii="Times New Roman" w:hAnsi="Times New Roman" w:eastAsia="方正仿宋"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622300" cy="230251"/>
                      </a:xfrm>
                      <a:prstGeom prst="rect">
                        <a:avLst/>
                      </a:prstGeom>
                      <a:noFill/>
                      <a:ln w="9525" cap="flat" cmpd="sng">
                        <a:noFill/>
                        <a:prstDash val="solid"/>
                        <a:miter/>
                      </a:ln>
                    </wps:spPr>
                    <wps:txbx>
                      <w:txbxContent>
                        <w:p>
                          <w:pPr>
                            <w:snapToGrid w:val="0"/>
                            <w:rPr>
                              <w:rFonts w:hint="eastAsia" w:ascii="宋体" w:hAnsi="Times New Roman" w:eastAsia="宋体" w:cs="宋体"/>
                              <w:sz w:val="28"/>
                              <w:szCs w:val="28"/>
                              <w:lang w:eastAsia="zh-CN" w:bidi="ar-SA"/>
                            </w:rPr>
                          </w:pPr>
                          <w:r>
                            <w:rPr>
                              <w:rFonts w:hint="eastAsia" w:ascii="宋体" w:hAnsi="Times New Roman" w:eastAsia="宋体" w:cs="宋体"/>
                              <w:sz w:val="28"/>
                              <w:szCs w:val="28"/>
                              <w:lang w:eastAsia="zh-CN" w:bidi="ar-SA"/>
                            </w:rPr>
                            <w:t>—</w:t>
                          </w:r>
                          <w:r>
                            <w:rPr>
                              <w:rFonts w:hint="eastAsia" w:ascii="宋体" w:hAnsi="Times New Roman" w:eastAsia="宋体" w:cs="宋体"/>
                              <w:sz w:val="28"/>
                              <w:szCs w:val="28"/>
                              <w:lang w:bidi="ar-SA"/>
                            </w:rPr>
                            <w:t xml:space="preserve"> </w:t>
                          </w:r>
                          <w:r>
                            <w:rPr>
                              <w:rFonts w:hint="eastAsia" w:ascii="宋体" w:hAnsi="Times New Roman" w:eastAsia="宋体" w:cs="宋体"/>
                              <w:sz w:val="28"/>
                              <w:szCs w:val="28"/>
                              <w:lang w:bidi="ar-SA"/>
                            </w:rPr>
                            <w:fldChar w:fldCharType="begin"/>
                          </w:r>
                          <w:r>
                            <w:rPr>
                              <w:rFonts w:hint="eastAsia" w:ascii="宋体" w:hAnsi="Times New Roman" w:eastAsia="宋体" w:cs="宋体"/>
                              <w:sz w:val="28"/>
                              <w:szCs w:val="28"/>
                              <w:lang w:bidi="ar-SA"/>
                            </w:rPr>
                            <w:instrText xml:space="preserve"> PAGE  \* MERGEFORMAT </w:instrText>
                          </w:r>
                          <w:r>
                            <w:rPr>
                              <w:rFonts w:hint="eastAsia" w:ascii="宋体" w:hAnsi="Times New Roman" w:eastAsia="宋体" w:cs="宋体"/>
                              <w:sz w:val="28"/>
                              <w:szCs w:val="28"/>
                              <w:lang w:bidi="ar-SA"/>
                            </w:rPr>
                            <w:fldChar w:fldCharType="separate"/>
                          </w:r>
                          <w:r>
                            <w:rPr>
                              <w:rFonts w:hint="eastAsia" w:ascii="宋体" w:hAnsi="Times New Roman" w:eastAsia="宋体" w:cs="宋体"/>
                              <w:sz w:val="28"/>
                              <w:szCs w:val="28"/>
                              <w:lang w:bidi="ar-SA"/>
                            </w:rPr>
                            <w:t>- 1 -</w:t>
                          </w:r>
                          <w:r>
                            <w:rPr>
                              <w:rFonts w:hint="eastAsia" w:ascii="宋体" w:hAnsi="Times New Roman" w:eastAsia="宋体" w:cs="宋体"/>
                              <w:sz w:val="28"/>
                              <w:szCs w:val="28"/>
                              <w:lang w:bidi="ar-SA"/>
                            </w:rPr>
                            <w:fldChar w:fldCharType="end"/>
                          </w:r>
                          <w:r>
                            <w:rPr>
                              <w:rFonts w:hint="eastAsia" w:ascii="宋体" w:hAnsi="Times New Roman" w:eastAsia="宋体" w:cs="宋体"/>
                              <w:sz w:val="28"/>
                              <w:szCs w:val="28"/>
                              <w:lang w:bidi="ar-SA"/>
                            </w:rPr>
                            <w:t xml:space="preserve"> </w:t>
                          </w:r>
                          <w:r>
                            <w:rPr>
                              <w:rFonts w:hint="eastAsia" w:ascii="宋体" w:hAnsi="Times New Roman" w:eastAsia="宋体" w:cs="宋体"/>
                              <w:sz w:val="28"/>
                              <w:szCs w:val="28"/>
                              <w:lang w:eastAsia="zh-CN" w:bidi="ar-SA"/>
                            </w:rPr>
                            <w:t>—</w:t>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hPw0QAAAAMBAAAPAAAAAAAAAAEAIAAAACIAAABkcnMvZG93bnJldi54&#10;bWxQSwECFAAUAAAACACHTuJA7RSddQECAAD0AwAADgAAAAAAAAABACAAAAAgAQAAZHJzL2Uyb0Rv&#10;Yy54bWxQSwUGAAAAAAYABgBZAQAAkwUAAAAA&#10;">
              <v:fill on="f" focussize="0,0"/>
              <v:stroke on="f" joinstyle="miter"/>
              <v:imagedata o:title=""/>
              <o:lock v:ext="edit" aspectratio="f"/>
              <v:textbox inset="0mm,0mm,0mm,0mm" style="mso-fit-shape-to-text:t;">
                <w:txbxContent>
                  <w:p>
                    <w:pPr>
                      <w:snapToGrid w:val="0"/>
                      <w:rPr>
                        <w:rFonts w:hint="eastAsia" w:ascii="宋体" w:hAnsi="Times New Roman" w:eastAsia="宋体" w:cs="宋体"/>
                        <w:sz w:val="28"/>
                        <w:szCs w:val="28"/>
                        <w:lang w:eastAsia="zh-CN" w:bidi="ar-SA"/>
                      </w:rPr>
                    </w:pPr>
                    <w:r>
                      <w:rPr>
                        <w:rFonts w:hint="eastAsia" w:ascii="宋体" w:hAnsi="Times New Roman" w:eastAsia="宋体" w:cs="宋体"/>
                        <w:sz w:val="28"/>
                        <w:szCs w:val="28"/>
                        <w:lang w:eastAsia="zh-CN" w:bidi="ar-SA"/>
                      </w:rPr>
                      <w:t>—</w:t>
                    </w:r>
                    <w:r>
                      <w:rPr>
                        <w:rFonts w:hint="eastAsia" w:ascii="宋体" w:hAnsi="Times New Roman" w:eastAsia="宋体" w:cs="宋体"/>
                        <w:sz w:val="28"/>
                        <w:szCs w:val="28"/>
                        <w:lang w:bidi="ar-SA"/>
                      </w:rPr>
                      <w:t xml:space="preserve"> </w:t>
                    </w:r>
                    <w:r>
                      <w:rPr>
                        <w:rFonts w:hint="eastAsia" w:ascii="宋体" w:hAnsi="Times New Roman" w:eastAsia="宋体" w:cs="宋体"/>
                        <w:sz w:val="28"/>
                        <w:szCs w:val="28"/>
                        <w:lang w:bidi="ar-SA"/>
                      </w:rPr>
                      <w:fldChar w:fldCharType="begin"/>
                    </w:r>
                    <w:r>
                      <w:rPr>
                        <w:rFonts w:hint="eastAsia" w:ascii="宋体" w:hAnsi="Times New Roman" w:eastAsia="宋体" w:cs="宋体"/>
                        <w:sz w:val="28"/>
                        <w:szCs w:val="28"/>
                        <w:lang w:bidi="ar-SA"/>
                      </w:rPr>
                      <w:instrText xml:space="preserve"> PAGE  \* MERGEFORMAT </w:instrText>
                    </w:r>
                    <w:r>
                      <w:rPr>
                        <w:rFonts w:hint="eastAsia" w:ascii="宋体" w:hAnsi="Times New Roman" w:eastAsia="宋体" w:cs="宋体"/>
                        <w:sz w:val="28"/>
                        <w:szCs w:val="28"/>
                        <w:lang w:bidi="ar-SA"/>
                      </w:rPr>
                      <w:fldChar w:fldCharType="separate"/>
                    </w:r>
                    <w:r>
                      <w:rPr>
                        <w:rFonts w:hint="eastAsia" w:ascii="宋体" w:hAnsi="Times New Roman" w:eastAsia="宋体" w:cs="宋体"/>
                        <w:sz w:val="28"/>
                        <w:szCs w:val="28"/>
                        <w:lang w:bidi="ar-SA"/>
                      </w:rPr>
                      <w:t>- 1 -</w:t>
                    </w:r>
                    <w:r>
                      <w:rPr>
                        <w:rFonts w:hint="eastAsia" w:ascii="宋体" w:hAnsi="Times New Roman" w:eastAsia="宋体" w:cs="宋体"/>
                        <w:sz w:val="28"/>
                        <w:szCs w:val="28"/>
                        <w:lang w:bidi="ar-SA"/>
                      </w:rPr>
                      <w:fldChar w:fldCharType="end"/>
                    </w:r>
                    <w:r>
                      <w:rPr>
                        <w:rFonts w:hint="eastAsia" w:ascii="宋体" w:hAnsi="Times New Roman" w:eastAsia="宋体" w:cs="宋体"/>
                        <w:sz w:val="28"/>
                        <w:szCs w:val="28"/>
                        <w:lang w:bidi="ar-SA"/>
                      </w:rPr>
                      <w:t xml:space="preserve"> </w:t>
                    </w:r>
                    <w:r>
                      <w:rPr>
                        <w:rFonts w:hint="eastAsia" w:ascii="宋体" w:hAnsi="Times New Roman" w:eastAsia="宋体" w:cs="宋体"/>
                        <w:sz w:val="28"/>
                        <w:szCs w:val="28"/>
                        <w:lang w:eastAsia="zh-CN" w:bidi="ar-SA"/>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hint="eastAsia" w:ascii="Times New Roman" w:hAnsi="Times New Roman" w:eastAsia="宋体" w:cs="Times New Roman"/>
        <w:kern w:val="2"/>
        <w:sz w:val="18"/>
        <w:szCs w:val="20"/>
        <w:lang w:val="en-US" w:eastAsia="zh-CN" w:bidi="ar-SA"/>
      </w:rPr>
    </w:pPr>
    <w:r>
      <w:rPr>
        <w:rFonts w:ascii="Times New Roman" w:hAnsi="Times New Roman" w:eastAsia="方正仿宋"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39" name="文本框 2"/>
              <wp:cNvGraphicFramePr/>
              <a:graphic xmlns:a="http://schemas.openxmlformats.org/drawingml/2006/main">
                <a:graphicData uri="http://schemas.microsoft.com/office/word/2010/wordprocessingShape">
                  <wps:wsp>
                    <wps:cNvSpPr/>
                    <wps:spPr>
                      <a:xfrm>
                        <a:off x="0" y="0"/>
                        <a:ext cx="711200" cy="230505"/>
                      </a:xfrm>
                      <a:prstGeom prst="rect">
                        <a:avLst/>
                      </a:prstGeom>
                      <a:noFill/>
                      <a:ln w="9525" cap="flat" cmpd="sng">
                        <a:noFill/>
                        <a:prstDash val="solid"/>
                        <a:miter/>
                      </a:ln>
                    </wps:spPr>
                    <wps:txbx>
                      <w:txbxContent>
                        <w:p>
                          <w:pPr>
                            <w:snapToGrid w:val="0"/>
                            <w:rPr>
                              <w:rFonts w:hint="eastAsia" w:ascii="宋体" w:hAnsi="Times New Roman" w:eastAsia="宋体" w:cs="宋体"/>
                              <w:sz w:val="28"/>
                              <w:szCs w:val="28"/>
                              <w:lang w:eastAsia="zh-CN" w:bidi="ar-SA"/>
                            </w:rPr>
                          </w:pPr>
                          <w:r>
                            <w:rPr>
                              <w:rFonts w:hint="eastAsia" w:ascii="宋体" w:hAnsi="Times New Roman" w:eastAsia="宋体" w:cs="宋体"/>
                              <w:sz w:val="28"/>
                              <w:szCs w:val="28"/>
                              <w:lang w:eastAsia="zh-CN" w:bidi="ar-SA"/>
                            </w:rPr>
                            <w:t>—</w:t>
                          </w:r>
                          <w:r>
                            <w:rPr>
                              <w:rFonts w:hint="eastAsia" w:ascii="宋体" w:hAnsi="Times New Roman" w:eastAsia="宋体" w:cs="宋体"/>
                              <w:sz w:val="28"/>
                              <w:szCs w:val="28"/>
                              <w:lang w:bidi="ar-SA"/>
                            </w:rPr>
                            <w:t xml:space="preserve"> </w:t>
                          </w:r>
                          <w:r>
                            <w:rPr>
                              <w:rFonts w:hint="eastAsia" w:ascii="宋体" w:hAnsi="Times New Roman" w:eastAsia="宋体" w:cs="宋体"/>
                              <w:sz w:val="28"/>
                              <w:szCs w:val="28"/>
                              <w:lang w:bidi="ar-SA"/>
                            </w:rPr>
                            <w:fldChar w:fldCharType="begin"/>
                          </w:r>
                          <w:r>
                            <w:rPr>
                              <w:rFonts w:hint="eastAsia" w:ascii="宋体" w:hAnsi="Times New Roman" w:eastAsia="宋体" w:cs="宋体"/>
                              <w:sz w:val="28"/>
                              <w:szCs w:val="28"/>
                              <w:lang w:bidi="ar-SA"/>
                            </w:rPr>
                            <w:instrText xml:space="preserve"> PAGE  \* MERGEFORMAT </w:instrText>
                          </w:r>
                          <w:r>
                            <w:rPr>
                              <w:rFonts w:hint="eastAsia" w:ascii="宋体" w:hAnsi="Times New Roman" w:eastAsia="宋体" w:cs="宋体"/>
                              <w:sz w:val="28"/>
                              <w:szCs w:val="28"/>
                              <w:lang w:bidi="ar-SA"/>
                            </w:rPr>
                            <w:fldChar w:fldCharType="separate"/>
                          </w:r>
                          <w:r>
                            <w:rPr>
                              <w:rFonts w:hint="eastAsia" w:ascii="宋体" w:hAnsi="Times New Roman" w:eastAsia="宋体" w:cs="宋体"/>
                              <w:sz w:val="28"/>
                              <w:szCs w:val="28"/>
                              <w:lang w:bidi="ar-SA"/>
                            </w:rPr>
                            <w:t>51</w:t>
                          </w:r>
                          <w:r>
                            <w:rPr>
                              <w:rFonts w:hint="eastAsia" w:ascii="宋体" w:hAnsi="Times New Roman" w:eastAsia="宋体" w:cs="宋体"/>
                              <w:sz w:val="28"/>
                              <w:szCs w:val="28"/>
                              <w:lang w:bidi="ar-SA"/>
                            </w:rPr>
                            <w:fldChar w:fldCharType="end"/>
                          </w:r>
                          <w:r>
                            <w:rPr>
                              <w:rFonts w:hint="eastAsia" w:ascii="宋体" w:hAnsi="Times New Roman" w:eastAsia="宋体" w:cs="宋体"/>
                              <w:sz w:val="28"/>
                              <w:szCs w:val="28"/>
                              <w:lang w:bidi="ar-SA"/>
                            </w:rPr>
                            <w:t xml:space="preserve"> </w:t>
                          </w:r>
                          <w:r>
                            <w:rPr>
                              <w:rFonts w:hint="eastAsia" w:ascii="宋体" w:hAnsi="Times New Roman" w:eastAsia="宋体" w:cs="宋体"/>
                              <w:sz w:val="28"/>
                              <w:szCs w:val="28"/>
                              <w:lang w:eastAsia="zh-CN" w:bidi="ar-SA"/>
                            </w:rPr>
                            <w:t>—</w:t>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8.15pt;width:56pt;mso-position-horizontal:outside;mso-position-horizontal-relative:margin;mso-wrap-style:none;z-index:251659264;mso-width-relative:page;mso-height-relative:page;" filled="f" stroked="f" coordsize="21600,21600" o:gfxdata="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AkmS0QAAAAQBAAAPAAAAAAAAAAEAIAAAACIAAABkcnMvZG93bnJl&#10;di54bWxQSwECFAAUAAAACACHTuJARZd5EAQCAAD1AwAADgAAAAAAAAABACAAAAAgAQAAZHJzL2Uy&#10;b0RvYy54bWxQSwUGAAAAAAYABgBZAQAAlgUAAAAA&#10;">
              <v:fill on="f" focussize="0,0"/>
              <v:stroke on="f" joinstyle="miter"/>
              <v:imagedata o:title=""/>
              <o:lock v:ext="edit" aspectratio="f"/>
              <v:textbox inset="0mm,0mm,0mm,0mm" style="mso-fit-shape-to-text:t;">
                <w:txbxContent>
                  <w:p>
                    <w:pPr>
                      <w:snapToGrid w:val="0"/>
                      <w:rPr>
                        <w:rFonts w:hint="eastAsia" w:ascii="宋体" w:hAnsi="Times New Roman" w:eastAsia="宋体" w:cs="宋体"/>
                        <w:sz w:val="28"/>
                        <w:szCs w:val="28"/>
                        <w:lang w:eastAsia="zh-CN" w:bidi="ar-SA"/>
                      </w:rPr>
                    </w:pPr>
                    <w:r>
                      <w:rPr>
                        <w:rFonts w:hint="eastAsia" w:ascii="宋体" w:hAnsi="Times New Roman" w:eastAsia="宋体" w:cs="宋体"/>
                        <w:sz w:val="28"/>
                        <w:szCs w:val="28"/>
                        <w:lang w:eastAsia="zh-CN" w:bidi="ar-SA"/>
                      </w:rPr>
                      <w:t>—</w:t>
                    </w:r>
                    <w:r>
                      <w:rPr>
                        <w:rFonts w:hint="eastAsia" w:ascii="宋体" w:hAnsi="Times New Roman" w:eastAsia="宋体" w:cs="宋体"/>
                        <w:sz w:val="28"/>
                        <w:szCs w:val="28"/>
                        <w:lang w:bidi="ar-SA"/>
                      </w:rPr>
                      <w:t xml:space="preserve"> </w:t>
                    </w:r>
                    <w:r>
                      <w:rPr>
                        <w:rFonts w:hint="eastAsia" w:ascii="宋体" w:hAnsi="Times New Roman" w:eastAsia="宋体" w:cs="宋体"/>
                        <w:sz w:val="28"/>
                        <w:szCs w:val="28"/>
                        <w:lang w:bidi="ar-SA"/>
                      </w:rPr>
                      <w:fldChar w:fldCharType="begin"/>
                    </w:r>
                    <w:r>
                      <w:rPr>
                        <w:rFonts w:hint="eastAsia" w:ascii="宋体" w:hAnsi="Times New Roman" w:eastAsia="宋体" w:cs="宋体"/>
                        <w:sz w:val="28"/>
                        <w:szCs w:val="28"/>
                        <w:lang w:bidi="ar-SA"/>
                      </w:rPr>
                      <w:instrText xml:space="preserve"> PAGE  \* MERGEFORMAT </w:instrText>
                    </w:r>
                    <w:r>
                      <w:rPr>
                        <w:rFonts w:hint="eastAsia" w:ascii="宋体" w:hAnsi="Times New Roman" w:eastAsia="宋体" w:cs="宋体"/>
                        <w:sz w:val="28"/>
                        <w:szCs w:val="28"/>
                        <w:lang w:bidi="ar-SA"/>
                      </w:rPr>
                      <w:fldChar w:fldCharType="separate"/>
                    </w:r>
                    <w:r>
                      <w:rPr>
                        <w:rFonts w:hint="eastAsia" w:ascii="宋体" w:hAnsi="Times New Roman" w:eastAsia="宋体" w:cs="宋体"/>
                        <w:sz w:val="28"/>
                        <w:szCs w:val="28"/>
                        <w:lang w:bidi="ar-SA"/>
                      </w:rPr>
                      <w:t>51</w:t>
                    </w:r>
                    <w:r>
                      <w:rPr>
                        <w:rFonts w:hint="eastAsia" w:ascii="宋体" w:hAnsi="Times New Roman" w:eastAsia="宋体" w:cs="宋体"/>
                        <w:sz w:val="28"/>
                        <w:szCs w:val="28"/>
                        <w:lang w:bidi="ar-SA"/>
                      </w:rPr>
                      <w:fldChar w:fldCharType="end"/>
                    </w:r>
                    <w:r>
                      <w:rPr>
                        <w:rFonts w:hint="eastAsia" w:ascii="宋体" w:hAnsi="Times New Roman" w:eastAsia="宋体" w:cs="宋体"/>
                        <w:sz w:val="28"/>
                        <w:szCs w:val="28"/>
                        <w:lang w:bidi="ar-SA"/>
                      </w:rPr>
                      <w:t xml:space="preserve"> </w:t>
                    </w:r>
                    <w:r>
                      <w:rPr>
                        <w:rFonts w:hint="eastAsia" w:ascii="宋体" w:hAnsi="Times New Roman" w:eastAsia="宋体" w:cs="宋体"/>
                        <w:sz w:val="28"/>
                        <w:szCs w:val="28"/>
                        <w:lang w:eastAsia="zh-CN" w:bidi="ar-SA"/>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7CB94162"/>
    <w:rsid w:val="003958A2"/>
    <w:rsid w:val="03675021"/>
    <w:rsid w:val="09645432"/>
    <w:rsid w:val="0FC94153"/>
    <w:rsid w:val="12C62BAF"/>
    <w:rsid w:val="13AD0F2E"/>
    <w:rsid w:val="14AE5D91"/>
    <w:rsid w:val="1BD26664"/>
    <w:rsid w:val="1BDB6577"/>
    <w:rsid w:val="1EBA391F"/>
    <w:rsid w:val="25686098"/>
    <w:rsid w:val="25922D54"/>
    <w:rsid w:val="268416F1"/>
    <w:rsid w:val="2A1A1D8A"/>
    <w:rsid w:val="2A354D3F"/>
    <w:rsid w:val="2B9E2A58"/>
    <w:rsid w:val="2C42269E"/>
    <w:rsid w:val="2D54313D"/>
    <w:rsid w:val="2F9D1D65"/>
    <w:rsid w:val="317D6DFB"/>
    <w:rsid w:val="36486FA3"/>
    <w:rsid w:val="365A5F1A"/>
    <w:rsid w:val="40840874"/>
    <w:rsid w:val="42993727"/>
    <w:rsid w:val="4CF7760E"/>
    <w:rsid w:val="4ED116E7"/>
    <w:rsid w:val="50BA34B6"/>
    <w:rsid w:val="53692E94"/>
    <w:rsid w:val="5F4B180F"/>
    <w:rsid w:val="5FEB3A4D"/>
    <w:rsid w:val="60A31321"/>
    <w:rsid w:val="6797284E"/>
    <w:rsid w:val="738845C7"/>
    <w:rsid w:val="77FB58C2"/>
    <w:rsid w:val="7A474D5D"/>
    <w:rsid w:val="7CB94162"/>
    <w:rsid w:val="7DB9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2022-09-26T01:15:00Z</dcterms:created>
  <dc:creator>huuuliii</dc:creator>
  <cp:lastModifiedBy>huuuliii</cp:lastModifiedBy>
  <dcterms:modified xsi:type="dcterms:W3CDTF">2022-09-26T01:16:56Z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F6B6A8F32E5D4A169E597183972E2B29</vt:lpwstr>
  </property>
</Properties>
</file>